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0" w:beforeLines="50" w:after="120" w:afterLines="50" w:line="720" w:lineRule="exact"/>
        <w:jc w:val="center"/>
        <w:rPr>
          <w:rFonts w:hint="default" w:ascii="Times New Roman" w:hAnsi="Times New Roman" w:eastAsia="宋体" w:cs="Times New Roman"/>
          <w:b/>
          <w:color w:val="auto"/>
          <w:sz w:val="44"/>
          <w:szCs w:val="44"/>
        </w:rPr>
      </w:pPr>
    </w:p>
    <w:p>
      <w:pPr>
        <w:spacing w:before="120" w:beforeLines="50" w:after="120" w:afterLines="50" w:line="720" w:lineRule="exact"/>
        <w:jc w:val="center"/>
        <w:rPr>
          <w:rFonts w:hint="default" w:ascii="Times New Roman" w:hAnsi="Times New Roman" w:eastAsia="宋体" w:cs="Times New Roman"/>
          <w:b/>
          <w:color w:val="auto"/>
          <w:sz w:val="44"/>
          <w:szCs w:val="44"/>
        </w:rPr>
      </w:pPr>
    </w:p>
    <w:p>
      <w:pPr>
        <w:snapToGrid w:val="0"/>
        <w:spacing w:before="72" w:beforeLines="30" w:after="72" w:afterLines="30" w:line="720" w:lineRule="exact"/>
        <w:jc w:val="center"/>
        <w:rPr>
          <w:rFonts w:hint="default" w:ascii="Times New Roman" w:hAnsi="Times New Roman" w:eastAsia="宋体" w:cs="Times New Roman"/>
          <w:b/>
          <w:color w:val="auto"/>
          <w:w w:val="98"/>
          <w:sz w:val="48"/>
          <w:szCs w:val="48"/>
          <w:lang w:eastAsia="zh-CN"/>
        </w:rPr>
      </w:pPr>
      <w:r>
        <w:rPr>
          <w:rFonts w:hint="default" w:ascii="Times New Roman" w:hAnsi="Times New Roman" w:eastAsia="宋体" w:cs="Times New Roman"/>
          <w:b/>
          <w:color w:val="auto"/>
          <w:w w:val="98"/>
          <w:sz w:val="48"/>
          <w:szCs w:val="48"/>
          <w:lang w:eastAsia="zh-CN"/>
        </w:rPr>
        <w:t>苏州市太湖渔洋山水源地</w:t>
      </w:r>
    </w:p>
    <w:p>
      <w:pPr>
        <w:snapToGrid w:val="0"/>
        <w:spacing w:before="72" w:beforeLines="30" w:after="72" w:afterLines="30" w:line="720" w:lineRule="exact"/>
        <w:jc w:val="center"/>
        <w:rPr>
          <w:rFonts w:hint="default" w:ascii="Times New Roman" w:hAnsi="Times New Roman" w:eastAsia="宋体" w:cs="Times New Roman"/>
          <w:b/>
          <w:color w:val="auto"/>
          <w:w w:val="98"/>
          <w:sz w:val="48"/>
          <w:szCs w:val="48"/>
          <w:lang w:eastAsia="zh-CN"/>
        </w:rPr>
      </w:pPr>
      <w:r>
        <w:rPr>
          <w:rFonts w:hint="default" w:ascii="Times New Roman" w:hAnsi="Times New Roman" w:eastAsia="宋体" w:cs="Times New Roman"/>
          <w:b/>
          <w:color w:val="auto"/>
          <w:w w:val="98"/>
          <w:sz w:val="48"/>
          <w:szCs w:val="48"/>
          <w:lang w:eastAsia="zh-CN"/>
        </w:rPr>
        <w:t>近岸生态修复工程项目</w:t>
      </w:r>
    </w:p>
    <w:p>
      <w:pPr>
        <w:snapToGrid w:val="0"/>
        <w:spacing w:before="72" w:beforeLines="30" w:after="72" w:afterLines="30" w:line="720" w:lineRule="exact"/>
        <w:jc w:val="center"/>
        <w:rPr>
          <w:rFonts w:hint="default" w:ascii="Times New Roman" w:hAnsi="Times New Roman" w:eastAsia="宋体" w:cs="Times New Roman"/>
          <w:b/>
          <w:color w:val="auto"/>
          <w:w w:val="98"/>
          <w:sz w:val="48"/>
          <w:szCs w:val="48"/>
        </w:rPr>
      </w:pPr>
      <w:r>
        <w:rPr>
          <w:rFonts w:hint="default" w:ascii="Times New Roman" w:hAnsi="Times New Roman" w:eastAsia="宋体" w:cs="Times New Roman"/>
          <w:b/>
          <w:color w:val="auto"/>
          <w:w w:val="98"/>
          <w:sz w:val="48"/>
          <w:szCs w:val="48"/>
        </w:rPr>
        <w:t>环境影响报告书</w:t>
      </w:r>
    </w:p>
    <w:p>
      <w:pPr>
        <w:spacing w:before="72" w:beforeLines="30" w:after="120" w:afterLines="50" w:line="720" w:lineRule="exact"/>
        <w:jc w:val="center"/>
        <w:rPr>
          <w:rFonts w:hint="default" w:ascii="Times New Roman" w:hAnsi="Times New Roman" w:eastAsia="宋体" w:cs="Times New Roman"/>
          <w:b/>
          <w:color w:val="auto"/>
          <w:sz w:val="44"/>
          <w:szCs w:val="44"/>
        </w:rPr>
      </w:pPr>
      <w:bookmarkStart w:id="0" w:name="_Toc14418"/>
      <w:bookmarkStart w:id="1" w:name="_Toc4090769"/>
      <w:bookmarkStart w:id="2" w:name="_Toc4565563"/>
      <w:bookmarkStart w:id="3" w:name="_Toc29652"/>
      <w:r>
        <w:rPr>
          <w:rFonts w:hint="default" w:ascii="Times New Roman" w:hAnsi="Times New Roman" w:eastAsia="宋体" w:cs="Times New Roman"/>
          <w:b/>
          <w:color w:val="auto"/>
          <w:sz w:val="44"/>
          <w:szCs w:val="44"/>
        </w:rPr>
        <w:t>（</w:t>
      </w:r>
      <w:r>
        <w:rPr>
          <w:rFonts w:hint="eastAsia" w:cs="Times New Roman"/>
          <w:b/>
          <w:color w:val="auto"/>
          <w:sz w:val="44"/>
          <w:szCs w:val="44"/>
          <w:lang w:val="en-US" w:eastAsia="zh-CN"/>
        </w:rPr>
        <w:t>送审</w:t>
      </w:r>
      <w:r>
        <w:rPr>
          <w:rFonts w:hint="default" w:ascii="Times New Roman" w:hAnsi="Times New Roman" w:eastAsia="宋体" w:cs="Times New Roman"/>
          <w:b/>
          <w:color w:val="auto"/>
          <w:sz w:val="44"/>
          <w:szCs w:val="44"/>
        </w:rPr>
        <w:t>稿）</w:t>
      </w:r>
      <w:bookmarkEnd w:id="0"/>
      <w:bookmarkEnd w:id="1"/>
      <w:bookmarkEnd w:id="2"/>
      <w:bookmarkEnd w:id="3"/>
    </w:p>
    <w:p>
      <w:pPr>
        <w:spacing w:line="360" w:lineRule="auto"/>
        <w:jc w:val="center"/>
        <w:rPr>
          <w:rFonts w:hint="default" w:ascii="Times New Roman" w:hAnsi="Times New Roman" w:eastAsia="宋体" w:cs="Times New Roman"/>
          <w:b/>
          <w:color w:val="auto"/>
          <w:sz w:val="32"/>
          <w:szCs w:val="32"/>
        </w:rPr>
      </w:pPr>
    </w:p>
    <w:p>
      <w:pPr>
        <w:spacing w:line="360" w:lineRule="auto"/>
        <w:jc w:val="center"/>
        <w:rPr>
          <w:rFonts w:hint="default" w:ascii="Times New Roman" w:hAnsi="Times New Roman" w:eastAsia="宋体" w:cs="Times New Roman"/>
          <w:b/>
          <w:color w:val="auto"/>
          <w:sz w:val="32"/>
          <w:szCs w:val="32"/>
        </w:rPr>
      </w:pPr>
    </w:p>
    <w:p>
      <w:pPr>
        <w:spacing w:line="360" w:lineRule="auto"/>
        <w:jc w:val="center"/>
        <w:rPr>
          <w:rFonts w:hint="default" w:ascii="Times New Roman" w:hAnsi="Times New Roman" w:eastAsia="宋体" w:cs="Times New Roman"/>
          <w:b/>
          <w:color w:val="auto"/>
          <w:sz w:val="21"/>
          <w:szCs w:val="21"/>
        </w:rPr>
      </w:pPr>
    </w:p>
    <w:p>
      <w:pPr>
        <w:spacing w:line="360" w:lineRule="auto"/>
        <w:jc w:val="center"/>
        <w:rPr>
          <w:rFonts w:hint="default" w:ascii="Times New Roman" w:hAnsi="Times New Roman" w:eastAsia="宋体" w:cs="Times New Roman"/>
          <w:b/>
          <w:color w:val="auto"/>
          <w:w w:val="98"/>
          <w:sz w:val="21"/>
          <w:szCs w:val="21"/>
        </w:rPr>
      </w:pPr>
    </w:p>
    <w:p>
      <w:pPr>
        <w:spacing w:line="360" w:lineRule="auto"/>
        <w:jc w:val="center"/>
        <w:rPr>
          <w:rFonts w:hint="default" w:ascii="Times New Roman" w:hAnsi="Times New Roman" w:eastAsia="宋体" w:cs="Times New Roman"/>
          <w:b/>
          <w:color w:val="auto"/>
          <w:w w:val="98"/>
          <w:sz w:val="21"/>
          <w:szCs w:val="21"/>
        </w:rPr>
      </w:pPr>
    </w:p>
    <w:p>
      <w:pPr>
        <w:spacing w:line="360" w:lineRule="auto"/>
        <w:jc w:val="center"/>
        <w:rPr>
          <w:rFonts w:hint="default" w:ascii="Times New Roman" w:hAnsi="Times New Roman" w:eastAsia="宋体" w:cs="Times New Roman"/>
          <w:b/>
          <w:color w:val="auto"/>
          <w:w w:val="98"/>
          <w:sz w:val="21"/>
          <w:szCs w:val="21"/>
        </w:rPr>
      </w:pPr>
    </w:p>
    <w:p>
      <w:pPr>
        <w:spacing w:line="360" w:lineRule="auto"/>
        <w:jc w:val="center"/>
        <w:rPr>
          <w:rFonts w:hint="default" w:ascii="Times New Roman" w:hAnsi="Times New Roman" w:eastAsia="宋体" w:cs="Times New Roman"/>
          <w:b/>
          <w:color w:val="auto"/>
          <w:w w:val="98"/>
          <w:sz w:val="21"/>
          <w:szCs w:val="21"/>
        </w:rPr>
      </w:pPr>
    </w:p>
    <w:p>
      <w:pPr>
        <w:spacing w:line="360" w:lineRule="auto"/>
        <w:jc w:val="center"/>
        <w:rPr>
          <w:rFonts w:hint="default" w:ascii="Times New Roman" w:hAnsi="Times New Roman" w:eastAsia="宋体" w:cs="Times New Roman"/>
          <w:b/>
          <w:color w:val="auto"/>
          <w:w w:val="98"/>
          <w:sz w:val="21"/>
          <w:szCs w:val="21"/>
        </w:rPr>
      </w:pPr>
    </w:p>
    <w:p>
      <w:pPr>
        <w:spacing w:line="360" w:lineRule="auto"/>
        <w:jc w:val="center"/>
        <w:rPr>
          <w:rFonts w:hint="default" w:ascii="Times New Roman" w:hAnsi="Times New Roman" w:eastAsia="宋体" w:cs="Times New Roman"/>
          <w:b/>
          <w:color w:val="auto"/>
          <w:w w:val="98"/>
          <w:sz w:val="21"/>
          <w:szCs w:val="21"/>
        </w:rPr>
      </w:pPr>
    </w:p>
    <w:p>
      <w:pPr>
        <w:spacing w:line="360" w:lineRule="auto"/>
        <w:jc w:val="center"/>
        <w:rPr>
          <w:rFonts w:hint="default" w:ascii="Times New Roman" w:hAnsi="Times New Roman" w:eastAsia="宋体" w:cs="Times New Roman"/>
          <w:b/>
          <w:color w:val="auto"/>
          <w:sz w:val="32"/>
          <w:szCs w:val="32"/>
        </w:rPr>
      </w:pPr>
    </w:p>
    <w:p>
      <w:pPr>
        <w:spacing w:line="360" w:lineRule="auto"/>
        <w:jc w:val="center"/>
        <w:rPr>
          <w:rFonts w:hint="default" w:ascii="Times New Roman" w:hAnsi="Times New Roman" w:eastAsia="宋体" w:cs="Times New Roman"/>
          <w:b/>
          <w:color w:val="auto"/>
          <w:sz w:val="32"/>
          <w:szCs w:val="32"/>
        </w:rPr>
      </w:pPr>
    </w:p>
    <w:p>
      <w:pPr>
        <w:spacing w:line="360" w:lineRule="auto"/>
        <w:rPr>
          <w:rFonts w:hint="default" w:ascii="Times New Roman" w:hAnsi="Times New Roman" w:eastAsia="宋体" w:cs="Times New Roman"/>
          <w:b/>
          <w:color w:val="auto"/>
          <w:sz w:val="32"/>
          <w:szCs w:val="32"/>
        </w:rPr>
      </w:pPr>
    </w:p>
    <w:p>
      <w:pPr>
        <w:spacing w:before="120" w:beforeLines="50" w:after="120" w:afterLines="50" w:line="720" w:lineRule="exact"/>
        <w:jc w:val="both"/>
        <w:rPr>
          <w:rFonts w:hint="default" w:ascii="Times New Roman" w:hAnsi="Times New Roman" w:eastAsia="宋体" w:cs="Times New Roman"/>
          <w:b/>
          <w:color w:val="auto"/>
          <w:sz w:val="32"/>
          <w:szCs w:val="32"/>
        </w:rPr>
      </w:pPr>
    </w:p>
    <w:p>
      <w:pPr>
        <w:spacing w:before="120" w:beforeLines="50" w:after="120" w:afterLines="50" w:line="720" w:lineRule="exact"/>
        <w:jc w:val="center"/>
        <w:rPr>
          <w:rFonts w:hint="default" w:ascii="Times New Roman" w:hAnsi="Times New Roman" w:eastAsia="宋体" w:cs="Times New Roman"/>
          <w:b/>
          <w:color w:val="auto"/>
          <w:sz w:val="44"/>
          <w:szCs w:val="44"/>
        </w:rPr>
      </w:pPr>
      <w:r>
        <w:rPr>
          <w:rFonts w:hint="default" w:ascii="Times New Roman" w:hAnsi="Times New Roman" w:eastAsia="宋体" w:cs="Times New Roman"/>
          <w:b/>
          <w:color w:val="auto"/>
          <w:sz w:val="32"/>
          <w:szCs w:val="32"/>
        </w:rPr>
        <w:t>建设单位：苏州市吴中区水务局</w:t>
      </w:r>
    </w:p>
    <w:p>
      <w:pPr>
        <w:spacing w:line="720" w:lineRule="exact"/>
        <w:jc w:val="center"/>
        <w:rPr>
          <w:rFonts w:hint="default" w:ascii="Times New Roman" w:hAnsi="Times New Roman" w:eastAsia="宋体" w:cs="Times New Roman"/>
          <w:b/>
          <w:color w:val="auto"/>
          <w:sz w:val="32"/>
          <w:szCs w:val="32"/>
        </w:rPr>
        <w:sectPr>
          <w:headerReference r:id="rId3" w:type="first"/>
          <w:pgSz w:w="11906" w:h="16838"/>
          <w:pgMar w:top="1440" w:right="1800" w:bottom="1440" w:left="1800" w:header="851" w:footer="851" w:gutter="0"/>
          <w:pgBorders>
            <w:top w:val="none" w:sz="0" w:space="0"/>
            <w:left w:val="none" w:sz="0" w:space="0"/>
            <w:bottom w:val="none" w:sz="0" w:space="0"/>
            <w:right w:val="none" w:sz="0" w:space="0"/>
          </w:pgBorders>
          <w:pgNumType w:fmt="upperRoman" w:start="1"/>
          <w:cols w:space="720" w:num="1"/>
          <w:titlePg/>
          <w:docGrid w:linePitch="498" w:charSpace="-4148"/>
        </w:sectPr>
      </w:pPr>
      <w:r>
        <w:rPr>
          <w:rFonts w:hint="default" w:ascii="Times New Roman" w:hAnsi="Times New Roman" w:eastAsia="宋体" w:cs="Times New Roman"/>
          <w:b/>
          <w:color w:val="auto"/>
          <w:sz w:val="32"/>
          <w:szCs w:val="32"/>
        </w:rPr>
        <w:t>2021 年 0</w:t>
      </w:r>
      <w:r>
        <w:rPr>
          <w:rFonts w:hint="eastAsia" w:cs="Times New Roman"/>
          <w:b/>
          <w:color w:val="auto"/>
          <w:sz w:val="32"/>
          <w:szCs w:val="32"/>
          <w:lang w:val="en-US" w:eastAsia="zh-CN"/>
        </w:rPr>
        <w:t>9</w:t>
      </w:r>
      <w:r>
        <w:rPr>
          <w:rFonts w:hint="default" w:ascii="Times New Roman" w:hAnsi="Times New Roman" w:eastAsia="宋体" w:cs="Times New Roman"/>
          <w:b/>
          <w:color w:val="auto"/>
          <w:sz w:val="32"/>
          <w:szCs w:val="32"/>
        </w:rPr>
        <w:t xml:space="preserve"> 月</w:t>
      </w:r>
    </w:p>
    <w:p>
      <w:pPr>
        <w:pStyle w:val="2"/>
        <w:rPr>
          <w:rFonts w:hint="default"/>
        </w:rPr>
        <w:sectPr>
          <w:pgSz w:w="11906" w:h="16838"/>
          <w:pgMar w:top="1440" w:right="1800" w:bottom="1440" w:left="1800" w:header="851" w:footer="851" w:gutter="0"/>
          <w:pgBorders>
            <w:top w:val="none" w:sz="0" w:space="0"/>
            <w:left w:val="none" w:sz="0" w:space="0"/>
            <w:bottom w:val="none" w:sz="0" w:space="0"/>
            <w:right w:val="none" w:sz="0" w:space="0"/>
          </w:pgBorders>
          <w:pgNumType w:fmt="upperRoman" w:start="1"/>
          <w:cols w:space="720" w:num="1"/>
          <w:titlePg/>
          <w:docGrid w:linePitch="498" w:charSpace="-4148"/>
        </w:sectPr>
      </w:pPr>
    </w:p>
    <w:p>
      <w:pPr>
        <w:keepNext w:val="0"/>
        <w:keepLines w:val="0"/>
        <w:pageBreakBefore w:val="0"/>
        <w:widowControl/>
        <w:kinsoku/>
        <w:wordWrap/>
        <w:overflowPunct/>
        <w:topLinePunct w:val="0"/>
        <w:autoSpaceDE/>
        <w:autoSpaceDN/>
        <w:bidi w:val="0"/>
        <w:adjustRightInd/>
        <w:snapToGrid/>
        <w:spacing w:line="480" w:lineRule="exact"/>
        <w:ind w:firstLine="562" w:firstLineChars="200"/>
        <w:jc w:val="center"/>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b/>
          <w:bCs w:val="0"/>
          <w:color w:val="auto"/>
          <w:sz w:val="28"/>
          <w:szCs w:val="28"/>
        </w:rPr>
        <w:t>目   录</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TOC \o "1-3" \h \z \u </w:instrText>
      </w:r>
      <w:r>
        <w:rPr>
          <w:rFonts w:hint="default" w:ascii="Times New Roman" w:hAnsi="Times New Roman" w:eastAsia="宋体" w:cs="Times New Roman"/>
          <w:color w:val="auto"/>
          <w:sz w:val="24"/>
          <w:szCs w:val="24"/>
        </w:rPr>
        <w:fldChar w:fldCharType="separate"/>
      </w:r>
    </w:p>
    <w:p>
      <w:pPr>
        <w:pStyle w:val="35"/>
        <w:keepNext w:val="0"/>
        <w:keepLines w:val="0"/>
        <w:pageBreakBefore w:val="0"/>
        <w:tabs>
          <w:tab w:val="right" w:leader="dot" w:pos="9070"/>
          <w:tab w:val="clear" w:pos="906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_Toc19997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1概况</w:t>
      </w:r>
      <w:r>
        <w:rPr>
          <w:sz w:val="24"/>
          <w:szCs w:val="24"/>
        </w:rPr>
        <w:tab/>
      </w:r>
      <w:r>
        <w:rPr>
          <w:sz w:val="24"/>
          <w:szCs w:val="24"/>
        </w:rPr>
        <w:fldChar w:fldCharType="begin"/>
      </w:r>
      <w:r>
        <w:rPr>
          <w:sz w:val="24"/>
          <w:szCs w:val="24"/>
        </w:rPr>
        <w:instrText xml:space="preserve"> PAGEREF _Toc19997 \h </w:instrText>
      </w:r>
      <w:r>
        <w:rPr>
          <w:sz w:val="24"/>
          <w:szCs w:val="24"/>
        </w:rPr>
        <w:fldChar w:fldCharType="separate"/>
      </w:r>
      <w:r>
        <w:rPr>
          <w:sz w:val="24"/>
          <w:szCs w:val="24"/>
        </w:rPr>
        <w:t>1</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_Toc5088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1.1项目由来</w:t>
      </w:r>
      <w:r>
        <w:rPr>
          <w:sz w:val="24"/>
          <w:szCs w:val="24"/>
        </w:rPr>
        <w:tab/>
      </w:r>
      <w:r>
        <w:rPr>
          <w:sz w:val="24"/>
          <w:szCs w:val="24"/>
        </w:rPr>
        <w:fldChar w:fldCharType="begin"/>
      </w:r>
      <w:r>
        <w:rPr>
          <w:sz w:val="24"/>
          <w:szCs w:val="24"/>
        </w:rPr>
        <w:instrText xml:space="preserve"> PAGEREF _Toc5088 \h </w:instrText>
      </w:r>
      <w:r>
        <w:rPr>
          <w:sz w:val="24"/>
          <w:szCs w:val="24"/>
        </w:rPr>
        <w:fldChar w:fldCharType="separate"/>
      </w:r>
      <w:r>
        <w:rPr>
          <w:sz w:val="24"/>
          <w:szCs w:val="24"/>
        </w:rPr>
        <w:t>1</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_Toc30561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环境影响评价</w:t>
      </w:r>
      <w:r>
        <w:rPr>
          <w:rFonts w:hint="default" w:ascii="Times New Roman" w:hAnsi="Times New Roman" w:eastAsia="宋体" w:cs="Times New Roman"/>
          <w:sz w:val="24"/>
          <w:szCs w:val="24"/>
          <w:lang w:val="en-US" w:eastAsia="zh-CN"/>
        </w:rPr>
        <w:t>技术路线</w:t>
      </w:r>
      <w:r>
        <w:rPr>
          <w:sz w:val="24"/>
          <w:szCs w:val="24"/>
        </w:rPr>
        <w:tab/>
      </w:r>
      <w:r>
        <w:rPr>
          <w:sz w:val="24"/>
          <w:szCs w:val="24"/>
        </w:rPr>
        <w:fldChar w:fldCharType="begin"/>
      </w:r>
      <w:r>
        <w:rPr>
          <w:sz w:val="24"/>
          <w:szCs w:val="24"/>
        </w:rPr>
        <w:instrText xml:space="preserve"> PAGEREF _Toc30561 \h </w:instrText>
      </w:r>
      <w:r>
        <w:rPr>
          <w:sz w:val="24"/>
          <w:szCs w:val="24"/>
        </w:rPr>
        <w:fldChar w:fldCharType="separate"/>
      </w:r>
      <w:r>
        <w:rPr>
          <w:sz w:val="24"/>
          <w:szCs w:val="24"/>
        </w:rPr>
        <w:t>2</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_Toc24117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分析判定相关情况</w:t>
      </w:r>
      <w:r>
        <w:rPr>
          <w:sz w:val="24"/>
          <w:szCs w:val="24"/>
        </w:rPr>
        <w:tab/>
      </w:r>
      <w:r>
        <w:rPr>
          <w:sz w:val="24"/>
          <w:szCs w:val="24"/>
        </w:rPr>
        <w:fldChar w:fldCharType="begin"/>
      </w:r>
      <w:r>
        <w:rPr>
          <w:sz w:val="24"/>
          <w:szCs w:val="24"/>
        </w:rPr>
        <w:instrText xml:space="preserve"> PAGEREF _Toc24117 \h </w:instrText>
      </w:r>
      <w:r>
        <w:rPr>
          <w:sz w:val="24"/>
          <w:szCs w:val="24"/>
        </w:rPr>
        <w:fldChar w:fldCharType="separate"/>
      </w:r>
      <w:r>
        <w:rPr>
          <w:sz w:val="24"/>
          <w:szCs w:val="24"/>
        </w:rPr>
        <w:t>4</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_Toc9890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.1产业政策相符性</w:t>
      </w:r>
      <w:r>
        <w:rPr>
          <w:sz w:val="24"/>
          <w:szCs w:val="24"/>
        </w:rPr>
        <w:tab/>
      </w:r>
      <w:r>
        <w:rPr>
          <w:sz w:val="24"/>
          <w:szCs w:val="24"/>
        </w:rPr>
        <w:fldChar w:fldCharType="begin"/>
      </w:r>
      <w:r>
        <w:rPr>
          <w:sz w:val="24"/>
          <w:szCs w:val="24"/>
        </w:rPr>
        <w:instrText xml:space="preserve"> PAGEREF _Toc9890 \h </w:instrText>
      </w:r>
      <w:r>
        <w:rPr>
          <w:sz w:val="24"/>
          <w:szCs w:val="24"/>
        </w:rPr>
        <w:fldChar w:fldCharType="separate"/>
      </w:r>
      <w:r>
        <w:rPr>
          <w:sz w:val="24"/>
          <w:szCs w:val="24"/>
        </w:rPr>
        <w:t>4</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_Toc975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eastAsia" w:cs="Times New Roman"/>
          <w:sz w:val="24"/>
          <w:szCs w:val="24"/>
          <w:lang w:val="en-US" w:eastAsia="zh-CN"/>
        </w:rPr>
        <w:t>3</w:t>
      </w:r>
      <w:r>
        <w:rPr>
          <w:rFonts w:hint="default" w:ascii="Times New Roman" w:hAnsi="Times New Roman" w:eastAsia="宋体" w:cs="Times New Roman"/>
          <w:sz w:val="24"/>
          <w:szCs w:val="24"/>
        </w:rPr>
        <w:t>.2《饮用水水源保护区污染防治管理规定》（2010修改）相符性</w:t>
      </w:r>
      <w:r>
        <w:rPr>
          <w:sz w:val="24"/>
          <w:szCs w:val="24"/>
        </w:rPr>
        <w:tab/>
      </w:r>
      <w:r>
        <w:rPr>
          <w:sz w:val="24"/>
          <w:szCs w:val="24"/>
        </w:rPr>
        <w:fldChar w:fldCharType="begin"/>
      </w:r>
      <w:r>
        <w:rPr>
          <w:sz w:val="24"/>
          <w:szCs w:val="24"/>
        </w:rPr>
        <w:instrText xml:space="preserve"> PAGEREF _Toc975 \h </w:instrText>
      </w:r>
      <w:r>
        <w:rPr>
          <w:sz w:val="24"/>
          <w:szCs w:val="24"/>
        </w:rPr>
        <w:fldChar w:fldCharType="separate"/>
      </w:r>
      <w:r>
        <w:rPr>
          <w:sz w:val="24"/>
          <w:szCs w:val="24"/>
        </w:rPr>
        <w:t>4</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_Toc351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.3</w:t>
      </w:r>
      <w:r>
        <w:rPr>
          <w:rFonts w:hint="eastAsia" w:cs="Times New Roman"/>
          <w:sz w:val="24"/>
          <w:szCs w:val="24"/>
          <w:lang w:eastAsia="zh-CN"/>
        </w:rPr>
        <w:t>“</w:t>
      </w:r>
      <w:r>
        <w:rPr>
          <w:rFonts w:hint="default" w:ascii="Times New Roman" w:hAnsi="Times New Roman" w:eastAsia="宋体" w:cs="Times New Roman"/>
          <w:sz w:val="24"/>
          <w:szCs w:val="24"/>
        </w:rPr>
        <w:t>三线一单</w:t>
      </w:r>
      <w:r>
        <w:rPr>
          <w:rFonts w:hint="eastAsia" w:cs="Times New Roman"/>
          <w:sz w:val="24"/>
          <w:szCs w:val="24"/>
          <w:lang w:eastAsia="zh-CN"/>
        </w:rPr>
        <w:t>”</w:t>
      </w:r>
      <w:r>
        <w:rPr>
          <w:rFonts w:hint="default" w:ascii="Times New Roman" w:hAnsi="Times New Roman" w:eastAsia="宋体" w:cs="Times New Roman"/>
          <w:sz w:val="24"/>
          <w:szCs w:val="24"/>
        </w:rPr>
        <w:t>相符性</w:t>
      </w:r>
      <w:r>
        <w:rPr>
          <w:sz w:val="24"/>
          <w:szCs w:val="24"/>
        </w:rPr>
        <w:tab/>
      </w:r>
      <w:r>
        <w:rPr>
          <w:sz w:val="24"/>
          <w:szCs w:val="24"/>
        </w:rPr>
        <w:fldChar w:fldCharType="begin"/>
      </w:r>
      <w:r>
        <w:rPr>
          <w:sz w:val="24"/>
          <w:szCs w:val="24"/>
        </w:rPr>
        <w:instrText xml:space="preserve"> PAGEREF _Toc351 \h </w:instrText>
      </w:r>
      <w:r>
        <w:rPr>
          <w:sz w:val="24"/>
          <w:szCs w:val="24"/>
        </w:rPr>
        <w:fldChar w:fldCharType="separate"/>
      </w:r>
      <w:r>
        <w:rPr>
          <w:sz w:val="24"/>
          <w:szCs w:val="24"/>
        </w:rPr>
        <w:t>4</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_Toc24604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4项目与区域相关规划符合性分析</w:t>
      </w:r>
      <w:r>
        <w:rPr>
          <w:sz w:val="24"/>
          <w:szCs w:val="24"/>
        </w:rPr>
        <w:tab/>
      </w:r>
      <w:r>
        <w:rPr>
          <w:sz w:val="24"/>
          <w:szCs w:val="24"/>
        </w:rPr>
        <w:fldChar w:fldCharType="begin"/>
      </w:r>
      <w:r>
        <w:rPr>
          <w:sz w:val="24"/>
          <w:szCs w:val="24"/>
        </w:rPr>
        <w:instrText xml:space="preserve"> PAGEREF _Toc24604 \h </w:instrText>
      </w:r>
      <w:r>
        <w:rPr>
          <w:sz w:val="24"/>
          <w:szCs w:val="24"/>
        </w:rPr>
        <w:fldChar w:fldCharType="separate"/>
      </w:r>
      <w:r>
        <w:rPr>
          <w:sz w:val="24"/>
          <w:szCs w:val="24"/>
        </w:rPr>
        <w:t>7</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_Toc14729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5</w:t>
      </w:r>
      <w:r>
        <w:rPr>
          <w:rFonts w:hint="eastAsia" w:cs="Times New Roman"/>
          <w:sz w:val="24"/>
          <w:szCs w:val="24"/>
          <w:lang w:val="en-US" w:eastAsia="zh-CN"/>
        </w:rPr>
        <w:t>与</w:t>
      </w:r>
      <w:r>
        <w:rPr>
          <w:rFonts w:hint="default" w:ascii="Times New Roman" w:hAnsi="Times New Roman" w:eastAsia="宋体" w:cs="Times New Roman"/>
          <w:sz w:val="24"/>
          <w:szCs w:val="24"/>
          <w:lang w:val="en-US" w:eastAsia="zh-CN"/>
        </w:rPr>
        <w:t>《苏州市</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三线一单</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生态环境分区管控实施方案》（苏环办字[2020]313号）相符性分析</w:t>
      </w:r>
      <w:r>
        <w:rPr>
          <w:sz w:val="24"/>
          <w:szCs w:val="24"/>
        </w:rPr>
        <w:tab/>
      </w:r>
      <w:r>
        <w:rPr>
          <w:sz w:val="24"/>
          <w:szCs w:val="24"/>
        </w:rPr>
        <w:fldChar w:fldCharType="begin"/>
      </w:r>
      <w:r>
        <w:rPr>
          <w:sz w:val="24"/>
          <w:szCs w:val="24"/>
        </w:rPr>
        <w:instrText xml:space="preserve"> PAGEREF _Toc14729 \h </w:instrText>
      </w:r>
      <w:r>
        <w:rPr>
          <w:sz w:val="24"/>
          <w:szCs w:val="24"/>
        </w:rPr>
        <w:fldChar w:fldCharType="separate"/>
      </w:r>
      <w:r>
        <w:rPr>
          <w:sz w:val="24"/>
          <w:szCs w:val="24"/>
        </w:rPr>
        <w:t>8</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_Toc6276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eastAsia" w:cs="Times New Roman"/>
          <w:sz w:val="24"/>
          <w:szCs w:val="24"/>
          <w:lang w:val="en-US" w:eastAsia="zh-CN"/>
        </w:rPr>
        <w:t>4</w:t>
      </w:r>
      <w:r>
        <w:rPr>
          <w:rFonts w:hint="default" w:ascii="Times New Roman" w:hAnsi="Times New Roman" w:eastAsia="宋体" w:cs="Times New Roman"/>
          <w:sz w:val="24"/>
          <w:szCs w:val="24"/>
        </w:rPr>
        <w:t>关注的主要环境问题及环境影响</w:t>
      </w:r>
      <w:r>
        <w:rPr>
          <w:sz w:val="24"/>
          <w:szCs w:val="24"/>
        </w:rPr>
        <w:tab/>
      </w:r>
      <w:r>
        <w:rPr>
          <w:sz w:val="24"/>
          <w:szCs w:val="24"/>
        </w:rPr>
        <w:fldChar w:fldCharType="begin"/>
      </w:r>
      <w:r>
        <w:rPr>
          <w:sz w:val="24"/>
          <w:szCs w:val="24"/>
        </w:rPr>
        <w:instrText xml:space="preserve"> PAGEREF _Toc6276 \h </w:instrText>
      </w:r>
      <w:r>
        <w:rPr>
          <w:sz w:val="24"/>
          <w:szCs w:val="24"/>
        </w:rPr>
        <w:fldChar w:fldCharType="separate"/>
      </w:r>
      <w:r>
        <w:rPr>
          <w:sz w:val="24"/>
          <w:szCs w:val="24"/>
        </w:rPr>
        <w:t>8</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_Toc5441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eastAsia" w:cs="Times New Roman"/>
          <w:sz w:val="24"/>
          <w:szCs w:val="24"/>
          <w:lang w:val="en-US" w:eastAsia="zh-CN"/>
        </w:rPr>
        <w:t>5</w:t>
      </w:r>
      <w:r>
        <w:rPr>
          <w:rFonts w:hint="default" w:ascii="Times New Roman" w:hAnsi="Times New Roman" w:eastAsia="宋体" w:cs="Times New Roman"/>
          <w:sz w:val="24"/>
          <w:szCs w:val="24"/>
        </w:rPr>
        <w:t>环境影响评价的主要结论</w:t>
      </w:r>
      <w:r>
        <w:rPr>
          <w:sz w:val="24"/>
          <w:szCs w:val="24"/>
        </w:rPr>
        <w:tab/>
      </w:r>
      <w:r>
        <w:rPr>
          <w:sz w:val="24"/>
          <w:szCs w:val="24"/>
        </w:rPr>
        <w:fldChar w:fldCharType="begin"/>
      </w:r>
      <w:r>
        <w:rPr>
          <w:sz w:val="24"/>
          <w:szCs w:val="24"/>
        </w:rPr>
        <w:instrText xml:space="preserve"> PAGEREF _Toc5441 \h </w:instrText>
      </w:r>
      <w:r>
        <w:rPr>
          <w:sz w:val="24"/>
          <w:szCs w:val="24"/>
        </w:rPr>
        <w:fldChar w:fldCharType="separate"/>
      </w:r>
      <w:r>
        <w:rPr>
          <w:sz w:val="24"/>
          <w:szCs w:val="24"/>
        </w:rPr>
        <w:t>8</w:t>
      </w:r>
      <w:r>
        <w:rPr>
          <w:sz w:val="24"/>
          <w:szCs w:val="24"/>
        </w:rPr>
        <w:fldChar w:fldCharType="end"/>
      </w:r>
      <w:r>
        <w:rPr>
          <w:rFonts w:hint="default" w:ascii="Times New Roman" w:hAnsi="Times New Roman" w:eastAsia="宋体" w:cs="Times New Roman"/>
          <w:color w:val="auto"/>
          <w:sz w:val="24"/>
          <w:szCs w:val="24"/>
        </w:rPr>
        <w:fldChar w:fldCharType="end"/>
      </w:r>
    </w:p>
    <w:p>
      <w:pPr>
        <w:pStyle w:val="35"/>
        <w:keepNext w:val="0"/>
        <w:keepLines w:val="0"/>
        <w:pageBreakBefore w:val="0"/>
        <w:tabs>
          <w:tab w:val="right" w:leader="dot" w:pos="9070"/>
          <w:tab w:val="clear" w:pos="906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_Toc32682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2总则</w:t>
      </w:r>
      <w:r>
        <w:rPr>
          <w:sz w:val="24"/>
          <w:szCs w:val="24"/>
        </w:rPr>
        <w:tab/>
      </w:r>
      <w:r>
        <w:rPr>
          <w:sz w:val="24"/>
          <w:szCs w:val="24"/>
        </w:rPr>
        <w:fldChar w:fldCharType="begin"/>
      </w:r>
      <w:r>
        <w:rPr>
          <w:sz w:val="24"/>
          <w:szCs w:val="24"/>
        </w:rPr>
        <w:instrText xml:space="preserve"> PAGEREF _Toc32682 \h </w:instrText>
      </w:r>
      <w:r>
        <w:rPr>
          <w:sz w:val="24"/>
          <w:szCs w:val="24"/>
        </w:rPr>
        <w:fldChar w:fldCharType="separate"/>
      </w:r>
      <w:r>
        <w:rPr>
          <w:sz w:val="24"/>
          <w:szCs w:val="24"/>
        </w:rPr>
        <w:t>10</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_Toc21885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2.1编制依据</w:t>
      </w:r>
      <w:r>
        <w:rPr>
          <w:sz w:val="24"/>
          <w:szCs w:val="24"/>
        </w:rPr>
        <w:tab/>
      </w:r>
      <w:r>
        <w:rPr>
          <w:sz w:val="24"/>
          <w:szCs w:val="24"/>
        </w:rPr>
        <w:fldChar w:fldCharType="begin"/>
      </w:r>
      <w:r>
        <w:rPr>
          <w:sz w:val="24"/>
          <w:szCs w:val="24"/>
        </w:rPr>
        <w:instrText xml:space="preserve"> PAGEREF _Toc21885 \h </w:instrText>
      </w:r>
      <w:r>
        <w:rPr>
          <w:sz w:val="24"/>
          <w:szCs w:val="24"/>
        </w:rPr>
        <w:fldChar w:fldCharType="separate"/>
      </w:r>
      <w:r>
        <w:rPr>
          <w:sz w:val="24"/>
          <w:szCs w:val="24"/>
        </w:rPr>
        <w:t>10</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_Toc12303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2.1.1国家法规与政策</w:t>
      </w:r>
      <w:r>
        <w:rPr>
          <w:sz w:val="24"/>
          <w:szCs w:val="24"/>
        </w:rPr>
        <w:tab/>
      </w:r>
      <w:r>
        <w:rPr>
          <w:sz w:val="24"/>
          <w:szCs w:val="24"/>
        </w:rPr>
        <w:fldChar w:fldCharType="begin"/>
      </w:r>
      <w:r>
        <w:rPr>
          <w:sz w:val="24"/>
          <w:szCs w:val="24"/>
        </w:rPr>
        <w:instrText xml:space="preserve"> PAGEREF _Toc12303 \h </w:instrText>
      </w:r>
      <w:r>
        <w:rPr>
          <w:sz w:val="24"/>
          <w:szCs w:val="24"/>
        </w:rPr>
        <w:fldChar w:fldCharType="separate"/>
      </w:r>
      <w:r>
        <w:rPr>
          <w:sz w:val="24"/>
          <w:szCs w:val="24"/>
        </w:rPr>
        <w:t>10</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_Toc31406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2.1.2地方法规与政策</w:t>
      </w:r>
      <w:r>
        <w:rPr>
          <w:sz w:val="24"/>
          <w:szCs w:val="24"/>
        </w:rPr>
        <w:tab/>
      </w:r>
      <w:r>
        <w:rPr>
          <w:sz w:val="24"/>
          <w:szCs w:val="24"/>
        </w:rPr>
        <w:fldChar w:fldCharType="begin"/>
      </w:r>
      <w:r>
        <w:rPr>
          <w:sz w:val="24"/>
          <w:szCs w:val="24"/>
        </w:rPr>
        <w:instrText xml:space="preserve"> PAGEREF _Toc31406 \h </w:instrText>
      </w:r>
      <w:r>
        <w:rPr>
          <w:sz w:val="24"/>
          <w:szCs w:val="24"/>
        </w:rPr>
        <w:fldChar w:fldCharType="separate"/>
      </w:r>
      <w:r>
        <w:rPr>
          <w:sz w:val="24"/>
          <w:szCs w:val="24"/>
        </w:rPr>
        <w:t>11</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_Toc127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2.1.3评价技术导则及相关技术规范</w:t>
      </w:r>
      <w:r>
        <w:rPr>
          <w:sz w:val="24"/>
          <w:szCs w:val="24"/>
        </w:rPr>
        <w:tab/>
      </w:r>
      <w:r>
        <w:rPr>
          <w:sz w:val="24"/>
          <w:szCs w:val="24"/>
        </w:rPr>
        <w:fldChar w:fldCharType="begin"/>
      </w:r>
      <w:r>
        <w:rPr>
          <w:sz w:val="24"/>
          <w:szCs w:val="24"/>
        </w:rPr>
        <w:instrText xml:space="preserve"> PAGEREF _Toc127 \h </w:instrText>
      </w:r>
      <w:r>
        <w:rPr>
          <w:sz w:val="24"/>
          <w:szCs w:val="24"/>
        </w:rPr>
        <w:fldChar w:fldCharType="separate"/>
      </w:r>
      <w:r>
        <w:rPr>
          <w:sz w:val="24"/>
          <w:szCs w:val="24"/>
        </w:rPr>
        <w:t>13</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_Toc8175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2.1.4其他相关文件及资料</w:t>
      </w:r>
      <w:r>
        <w:rPr>
          <w:sz w:val="24"/>
          <w:szCs w:val="24"/>
        </w:rPr>
        <w:tab/>
      </w:r>
      <w:r>
        <w:rPr>
          <w:sz w:val="24"/>
          <w:szCs w:val="24"/>
        </w:rPr>
        <w:fldChar w:fldCharType="begin"/>
      </w:r>
      <w:r>
        <w:rPr>
          <w:sz w:val="24"/>
          <w:szCs w:val="24"/>
        </w:rPr>
        <w:instrText xml:space="preserve"> PAGEREF _Toc8175 \h </w:instrText>
      </w:r>
      <w:r>
        <w:rPr>
          <w:sz w:val="24"/>
          <w:szCs w:val="24"/>
        </w:rPr>
        <w:fldChar w:fldCharType="separate"/>
      </w:r>
      <w:r>
        <w:rPr>
          <w:sz w:val="24"/>
          <w:szCs w:val="24"/>
        </w:rPr>
        <w:t>14</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_Toc18732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2.2环境影响因素识别、评价因子确定和评价标准</w:t>
      </w:r>
      <w:r>
        <w:rPr>
          <w:sz w:val="24"/>
          <w:szCs w:val="24"/>
        </w:rPr>
        <w:tab/>
      </w:r>
      <w:r>
        <w:rPr>
          <w:sz w:val="24"/>
          <w:szCs w:val="24"/>
        </w:rPr>
        <w:fldChar w:fldCharType="begin"/>
      </w:r>
      <w:r>
        <w:rPr>
          <w:sz w:val="24"/>
          <w:szCs w:val="24"/>
        </w:rPr>
        <w:instrText xml:space="preserve"> PAGEREF _Toc18732 \h </w:instrText>
      </w:r>
      <w:r>
        <w:rPr>
          <w:sz w:val="24"/>
          <w:szCs w:val="24"/>
        </w:rPr>
        <w:fldChar w:fldCharType="separate"/>
      </w:r>
      <w:r>
        <w:rPr>
          <w:sz w:val="24"/>
          <w:szCs w:val="24"/>
        </w:rPr>
        <w:t>15</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_Toc10298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2.2.1环境影响因素识别</w:t>
      </w:r>
      <w:r>
        <w:rPr>
          <w:sz w:val="24"/>
          <w:szCs w:val="24"/>
        </w:rPr>
        <w:tab/>
      </w:r>
      <w:r>
        <w:rPr>
          <w:sz w:val="24"/>
          <w:szCs w:val="24"/>
        </w:rPr>
        <w:fldChar w:fldCharType="begin"/>
      </w:r>
      <w:r>
        <w:rPr>
          <w:sz w:val="24"/>
          <w:szCs w:val="24"/>
        </w:rPr>
        <w:instrText xml:space="preserve"> PAGEREF _Toc10298 \h </w:instrText>
      </w:r>
      <w:r>
        <w:rPr>
          <w:sz w:val="24"/>
          <w:szCs w:val="24"/>
        </w:rPr>
        <w:fldChar w:fldCharType="separate"/>
      </w:r>
      <w:r>
        <w:rPr>
          <w:sz w:val="24"/>
          <w:szCs w:val="24"/>
        </w:rPr>
        <w:t>15</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_Toc26219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2.2.2环境影响评价因子</w:t>
      </w:r>
      <w:r>
        <w:rPr>
          <w:sz w:val="24"/>
          <w:szCs w:val="24"/>
        </w:rPr>
        <w:tab/>
      </w:r>
      <w:r>
        <w:rPr>
          <w:sz w:val="24"/>
          <w:szCs w:val="24"/>
        </w:rPr>
        <w:fldChar w:fldCharType="begin"/>
      </w:r>
      <w:r>
        <w:rPr>
          <w:sz w:val="24"/>
          <w:szCs w:val="24"/>
        </w:rPr>
        <w:instrText xml:space="preserve"> PAGEREF _Toc26219 \h </w:instrText>
      </w:r>
      <w:r>
        <w:rPr>
          <w:sz w:val="24"/>
          <w:szCs w:val="24"/>
        </w:rPr>
        <w:fldChar w:fldCharType="separate"/>
      </w:r>
      <w:r>
        <w:rPr>
          <w:sz w:val="24"/>
          <w:szCs w:val="24"/>
        </w:rPr>
        <w:t>15</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_Toc5816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2.2.3环境质量标准</w:t>
      </w:r>
      <w:r>
        <w:rPr>
          <w:sz w:val="24"/>
          <w:szCs w:val="24"/>
        </w:rPr>
        <w:tab/>
      </w:r>
      <w:r>
        <w:rPr>
          <w:sz w:val="24"/>
          <w:szCs w:val="24"/>
        </w:rPr>
        <w:fldChar w:fldCharType="begin"/>
      </w:r>
      <w:r>
        <w:rPr>
          <w:sz w:val="24"/>
          <w:szCs w:val="24"/>
        </w:rPr>
        <w:instrText xml:space="preserve"> PAGEREF _Toc5816 \h </w:instrText>
      </w:r>
      <w:r>
        <w:rPr>
          <w:sz w:val="24"/>
          <w:szCs w:val="24"/>
        </w:rPr>
        <w:fldChar w:fldCharType="separate"/>
      </w:r>
      <w:r>
        <w:rPr>
          <w:sz w:val="24"/>
          <w:szCs w:val="24"/>
        </w:rPr>
        <w:t>16</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_Toc3680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2.2.4污染物排放标准</w:t>
      </w:r>
      <w:r>
        <w:rPr>
          <w:sz w:val="24"/>
          <w:szCs w:val="24"/>
        </w:rPr>
        <w:tab/>
      </w:r>
      <w:r>
        <w:rPr>
          <w:sz w:val="24"/>
          <w:szCs w:val="24"/>
        </w:rPr>
        <w:fldChar w:fldCharType="begin"/>
      </w:r>
      <w:r>
        <w:rPr>
          <w:sz w:val="24"/>
          <w:szCs w:val="24"/>
        </w:rPr>
        <w:instrText xml:space="preserve"> PAGEREF _Toc3680 \h </w:instrText>
      </w:r>
      <w:r>
        <w:rPr>
          <w:sz w:val="24"/>
          <w:szCs w:val="24"/>
        </w:rPr>
        <w:fldChar w:fldCharType="separate"/>
      </w:r>
      <w:r>
        <w:rPr>
          <w:sz w:val="24"/>
          <w:szCs w:val="24"/>
        </w:rPr>
        <w:t>18</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_Toc29229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2.3评价工作等级及评价范围</w:t>
      </w:r>
      <w:r>
        <w:rPr>
          <w:sz w:val="24"/>
          <w:szCs w:val="24"/>
        </w:rPr>
        <w:tab/>
      </w:r>
      <w:r>
        <w:rPr>
          <w:sz w:val="24"/>
          <w:szCs w:val="24"/>
        </w:rPr>
        <w:fldChar w:fldCharType="begin"/>
      </w:r>
      <w:r>
        <w:rPr>
          <w:sz w:val="24"/>
          <w:szCs w:val="24"/>
        </w:rPr>
        <w:instrText xml:space="preserve"> PAGEREF _Toc29229 \h </w:instrText>
      </w:r>
      <w:r>
        <w:rPr>
          <w:sz w:val="24"/>
          <w:szCs w:val="24"/>
        </w:rPr>
        <w:fldChar w:fldCharType="separate"/>
      </w:r>
      <w:r>
        <w:rPr>
          <w:sz w:val="24"/>
          <w:szCs w:val="24"/>
        </w:rPr>
        <w:t>20</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_Toc31017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2.3.1评价工作等级</w:t>
      </w:r>
      <w:r>
        <w:rPr>
          <w:sz w:val="24"/>
          <w:szCs w:val="24"/>
        </w:rPr>
        <w:tab/>
      </w:r>
      <w:r>
        <w:rPr>
          <w:sz w:val="24"/>
          <w:szCs w:val="24"/>
        </w:rPr>
        <w:fldChar w:fldCharType="begin"/>
      </w:r>
      <w:r>
        <w:rPr>
          <w:sz w:val="24"/>
          <w:szCs w:val="24"/>
        </w:rPr>
        <w:instrText xml:space="preserve"> PAGEREF _Toc31017 \h </w:instrText>
      </w:r>
      <w:r>
        <w:rPr>
          <w:sz w:val="24"/>
          <w:szCs w:val="24"/>
        </w:rPr>
        <w:fldChar w:fldCharType="separate"/>
      </w:r>
      <w:r>
        <w:rPr>
          <w:sz w:val="24"/>
          <w:szCs w:val="24"/>
        </w:rPr>
        <w:t>20</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_Toc21760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2.3.2 评价范围</w:t>
      </w:r>
      <w:r>
        <w:rPr>
          <w:sz w:val="24"/>
          <w:szCs w:val="24"/>
        </w:rPr>
        <w:tab/>
      </w:r>
      <w:r>
        <w:rPr>
          <w:sz w:val="24"/>
          <w:szCs w:val="24"/>
        </w:rPr>
        <w:fldChar w:fldCharType="begin"/>
      </w:r>
      <w:r>
        <w:rPr>
          <w:sz w:val="24"/>
          <w:szCs w:val="24"/>
        </w:rPr>
        <w:instrText xml:space="preserve"> PAGEREF _Toc21760 \h </w:instrText>
      </w:r>
      <w:r>
        <w:rPr>
          <w:sz w:val="24"/>
          <w:szCs w:val="24"/>
        </w:rPr>
        <w:fldChar w:fldCharType="separate"/>
      </w:r>
      <w:r>
        <w:rPr>
          <w:sz w:val="24"/>
          <w:szCs w:val="24"/>
        </w:rPr>
        <w:t>25</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_Toc5957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rPr>
        <w:t>2.</w:t>
      </w:r>
      <w:r>
        <w:rPr>
          <w:rFonts w:hint="default" w:ascii="Times New Roman" w:hAnsi="Times New Roman" w:eastAsia="宋体" w:cs="Times New Roman"/>
          <w:bCs/>
          <w:sz w:val="24"/>
          <w:szCs w:val="24"/>
          <w:lang w:val="en-US" w:eastAsia="zh-CN"/>
        </w:rPr>
        <w:t>4</w:t>
      </w:r>
      <w:r>
        <w:rPr>
          <w:rFonts w:hint="default" w:ascii="Times New Roman" w:hAnsi="Times New Roman" w:eastAsia="宋体" w:cs="Times New Roman"/>
          <w:bCs/>
          <w:sz w:val="24"/>
          <w:szCs w:val="24"/>
        </w:rPr>
        <w:t>主要环境保护目标</w:t>
      </w:r>
      <w:r>
        <w:rPr>
          <w:sz w:val="24"/>
          <w:szCs w:val="24"/>
        </w:rPr>
        <w:tab/>
      </w:r>
      <w:r>
        <w:rPr>
          <w:sz w:val="24"/>
          <w:szCs w:val="24"/>
        </w:rPr>
        <w:fldChar w:fldCharType="begin"/>
      </w:r>
      <w:r>
        <w:rPr>
          <w:sz w:val="24"/>
          <w:szCs w:val="24"/>
        </w:rPr>
        <w:instrText xml:space="preserve"> PAGEREF _Toc5957 \h </w:instrText>
      </w:r>
      <w:r>
        <w:rPr>
          <w:sz w:val="24"/>
          <w:szCs w:val="24"/>
        </w:rPr>
        <w:fldChar w:fldCharType="separate"/>
      </w:r>
      <w:r>
        <w:rPr>
          <w:sz w:val="24"/>
          <w:szCs w:val="24"/>
        </w:rPr>
        <w:t>26</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_Toc5765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rPr>
        <w:t>2.</w:t>
      </w:r>
      <w:r>
        <w:rPr>
          <w:rFonts w:hint="default" w:ascii="Times New Roman" w:hAnsi="Times New Roman" w:eastAsia="宋体" w:cs="Times New Roman"/>
          <w:bCs/>
          <w:sz w:val="24"/>
          <w:szCs w:val="24"/>
          <w:lang w:val="en-US" w:eastAsia="zh-CN"/>
        </w:rPr>
        <w:t>5</w:t>
      </w:r>
      <w:r>
        <w:rPr>
          <w:rFonts w:hint="default" w:ascii="Times New Roman" w:hAnsi="Times New Roman" w:eastAsia="宋体" w:cs="Times New Roman"/>
          <w:bCs/>
          <w:sz w:val="24"/>
          <w:szCs w:val="24"/>
        </w:rPr>
        <w:t>相关规划及</w:t>
      </w:r>
      <w:r>
        <w:rPr>
          <w:rFonts w:hint="default" w:ascii="Times New Roman" w:hAnsi="Times New Roman" w:eastAsia="宋体" w:cs="Times New Roman"/>
          <w:bCs/>
          <w:sz w:val="24"/>
          <w:szCs w:val="24"/>
          <w:lang w:val="en-US" w:eastAsia="zh-CN"/>
        </w:rPr>
        <w:t>符合性分析</w:t>
      </w:r>
      <w:r>
        <w:rPr>
          <w:sz w:val="24"/>
          <w:szCs w:val="24"/>
        </w:rPr>
        <w:tab/>
      </w:r>
      <w:r>
        <w:rPr>
          <w:sz w:val="24"/>
          <w:szCs w:val="24"/>
        </w:rPr>
        <w:fldChar w:fldCharType="begin"/>
      </w:r>
      <w:r>
        <w:rPr>
          <w:sz w:val="24"/>
          <w:szCs w:val="24"/>
        </w:rPr>
        <w:instrText xml:space="preserve"> PAGEREF _Toc5765 \h </w:instrText>
      </w:r>
      <w:r>
        <w:rPr>
          <w:sz w:val="24"/>
          <w:szCs w:val="24"/>
        </w:rPr>
        <w:fldChar w:fldCharType="separate"/>
      </w:r>
      <w:r>
        <w:rPr>
          <w:sz w:val="24"/>
          <w:szCs w:val="24"/>
        </w:rPr>
        <w:t>28</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_Toc12362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2.</w:t>
      </w:r>
      <w:r>
        <w:rPr>
          <w:rFonts w:hint="eastAsia" w:cs="Times New Roman"/>
          <w:sz w:val="24"/>
          <w:szCs w:val="24"/>
          <w:lang w:val="en-US" w:eastAsia="zh-CN"/>
        </w:rPr>
        <w:t>5</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zh-CN"/>
        </w:rPr>
        <w:t>苏州太湖国家旅游度假区总体规划</w:t>
      </w:r>
      <w:r>
        <w:rPr>
          <w:sz w:val="24"/>
          <w:szCs w:val="24"/>
        </w:rPr>
        <w:tab/>
      </w:r>
      <w:r>
        <w:rPr>
          <w:sz w:val="24"/>
          <w:szCs w:val="24"/>
        </w:rPr>
        <w:fldChar w:fldCharType="begin"/>
      </w:r>
      <w:r>
        <w:rPr>
          <w:sz w:val="24"/>
          <w:szCs w:val="24"/>
        </w:rPr>
        <w:instrText xml:space="preserve"> PAGEREF _Toc12362 \h </w:instrText>
      </w:r>
      <w:r>
        <w:rPr>
          <w:sz w:val="24"/>
          <w:szCs w:val="24"/>
        </w:rPr>
        <w:fldChar w:fldCharType="separate"/>
      </w:r>
      <w:r>
        <w:rPr>
          <w:sz w:val="24"/>
          <w:szCs w:val="24"/>
        </w:rPr>
        <w:t>28</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_Toc8031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eastAsia" w:cs="Times New Roman"/>
          <w:sz w:val="24"/>
          <w:szCs w:val="24"/>
          <w:lang w:val="en-US" w:eastAsia="zh-CN"/>
        </w:rPr>
        <w:t>5</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《太湖风景名胜区总体规划（2001-2030年）》</w:t>
      </w:r>
      <w:r>
        <w:rPr>
          <w:sz w:val="24"/>
          <w:szCs w:val="24"/>
        </w:rPr>
        <w:tab/>
      </w:r>
      <w:r>
        <w:rPr>
          <w:sz w:val="24"/>
          <w:szCs w:val="24"/>
        </w:rPr>
        <w:fldChar w:fldCharType="begin"/>
      </w:r>
      <w:r>
        <w:rPr>
          <w:sz w:val="24"/>
          <w:szCs w:val="24"/>
        </w:rPr>
        <w:instrText xml:space="preserve"> PAGEREF _Toc8031 \h </w:instrText>
      </w:r>
      <w:r>
        <w:rPr>
          <w:sz w:val="24"/>
          <w:szCs w:val="24"/>
        </w:rPr>
        <w:fldChar w:fldCharType="separate"/>
      </w:r>
      <w:r>
        <w:rPr>
          <w:sz w:val="24"/>
          <w:szCs w:val="24"/>
        </w:rPr>
        <w:t>33</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_Toc21538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2.</w:t>
      </w:r>
      <w:r>
        <w:rPr>
          <w:rFonts w:hint="eastAsia" w:cs="Times New Roman"/>
          <w:sz w:val="24"/>
          <w:szCs w:val="24"/>
          <w:lang w:val="en-US" w:eastAsia="zh-CN"/>
        </w:rPr>
        <w:t>5</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3</w:t>
      </w:r>
      <w:r>
        <w:rPr>
          <w:rFonts w:hint="default" w:ascii="Times New Roman" w:hAnsi="Times New Roman" w:eastAsia="宋体" w:cs="Times New Roman"/>
          <w:sz w:val="24"/>
          <w:szCs w:val="24"/>
        </w:rPr>
        <w:t>工程与《苏南现代化建设示范区规划》协调性分析</w:t>
      </w:r>
      <w:r>
        <w:rPr>
          <w:sz w:val="24"/>
          <w:szCs w:val="24"/>
        </w:rPr>
        <w:tab/>
      </w:r>
      <w:r>
        <w:rPr>
          <w:sz w:val="24"/>
          <w:szCs w:val="24"/>
        </w:rPr>
        <w:fldChar w:fldCharType="begin"/>
      </w:r>
      <w:r>
        <w:rPr>
          <w:sz w:val="24"/>
          <w:szCs w:val="24"/>
        </w:rPr>
        <w:instrText xml:space="preserve"> PAGEREF _Toc21538 \h </w:instrText>
      </w:r>
      <w:r>
        <w:rPr>
          <w:sz w:val="24"/>
          <w:szCs w:val="24"/>
        </w:rPr>
        <w:fldChar w:fldCharType="separate"/>
      </w:r>
      <w:r>
        <w:rPr>
          <w:sz w:val="24"/>
          <w:szCs w:val="24"/>
        </w:rPr>
        <w:t>35</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_Toc19006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2.</w:t>
      </w:r>
      <w:r>
        <w:rPr>
          <w:rFonts w:hint="eastAsia" w:cs="Times New Roman"/>
          <w:sz w:val="24"/>
          <w:szCs w:val="24"/>
          <w:lang w:val="en-US" w:eastAsia="zh-CN"/>
        </w:rPr>
        <w:t>5</w:t>
      </w:r>
      <w:r>
        <w:rPr>
          <w:rFonts w:hint="default" w:ascii="Times New Roman" w:hAnsi="Times New Roman" w:eastAsia="宋体" w:cs="Times New Roman"/>
          <w:sz w:val="24"/>
          <w:szCs w:val="24"/>
          <w:lang w:val="en-US" w:eastAsia="zh-CN"/>
        </w:rPr>
        <w:t>.4工程与水利改革发展</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十三五</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规划协调性分析</w:t>
      </w:r>
      <w:r>
        <w:rPr>
          <w:sz w:val="24"/>
          <w:szCs w:val="24"/>
        </w:rPr>
        <w:tab/>
      </w:r>
      <w:r>
        <w:rPr>
          <w:sz w:val="24"/>
          <w:szCs w:val="24"/>
        </w:rPr>
        <w:fldChar w:fldCharType="begin"/>
      </w:r>
      <w:r>
        <w:rPr>
          <w:sz w:val="24"/>
          <w:szCs w:val="24"/>
        </w:rPr>
        <w:instrText xml:space="preserve"> PAGEREF _Toc19006 \h </w:instrText>
      </w:r>
      <w:r>
        <w:rPr>
          <w:sz w:val="24"/>
          <w:szCs w:val="24"/>
        </w:rPr>
        <w:fldChar w:fldCharType="separate"/>
      </w:r>
      <w:r>
        <w:rPr>
          <w:sz w:val="24"/>
          <w:szCs w:val="24"/>
        </w:rPr>
        <w:t>36</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_Toc7023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2.</w:t>
      </w:r>
      <w:r>
        <w:rPr>
          <w:rFonts w:hint="eastAsia" w:cs="Times New Roman"/>
          <w:sz w:val="24"/>
          <w:szCs w:val="24"/>
          <w:lang w:val="en-US" w:eastAsia="zh-CN"/>
        </w:rPr>
        <w:t>5</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工程与江苏省</w:t>
      </w:r>
      <w:r>
        <w:rPr>
          <w:rFonts w:hint="eastAsia" w:cs="Times New Roman"/>
          <w:sz w:val="24"/>
          <w:szCs w:val="24"/>
          <w:lang w:eastAsia="zh-CN"/>
        </w:rPr>
        <w:t>“</w:t>
      </w:r>
      <w:r>
        <w:rPr>
          <w:rFonts w:hint="default" w:ascii="Times New Roman" w:hAnsi="Times New Roman" w:eastAsia="宋体" w:cs="Times New Roman"/>
          <w:sz w:val="24"/>
          <w:szCs w:val="24"/>
        </w:rPr>
        <w:t>十三五</w:t>
      </w:r>
      <w:r>
        <w:rPr>
          <w:rFonts w:hint="eastAsia" w:cs="Times New Roman"/>
          <w:sz w:val="24"/>
          <w:szCs w:val="24"/>
          <w:lang w:eastAsia="zh-CN"/>
        </w:rPr>
        <w:t>”</w:t>
      </w:r>
      <w:r>
        <w:rPr>
          <w:rFonts w:hint="default" w:ascii="Times New Roman" w:hAnsi="Times New Roman" w:eastAsia="宋体" w:cs="Times New Roman"/>
          <w:sz w:val="24"/>
          <w:szCs w:val="24"/>
        </w:rPr>
        <w:t>水利发展规划协调性分析</w:t>
      </w:r>
      <w:r>
        <w:rPr>
          <w:sz w:val="24"/>
          <w:szCs w:val="24"/>
        </w:rPr>
        <w:tab/>
      </w:r>
      <w:r>
        <w:rPr>
          <w:sz w:val="24"/>
          <w:szCs w:val="24"/>
        </w:rPr>
        <w:fldChar w:fldCharType="begin"/>
      </w:r>
      <w:r>
        <w:rPr>
          <w:sz w:val="24"/>
          <w:szCs w:val="24"/>
        </w:rPr>
        <w:instrText xml:space="preserve"> PAGEREF _Toc7023 \h </w:instrText>
      </w:r>
      <w:r>
        <w:rPr>
          <w:sz w:val="24"/>
          <w:szCs w:val="24"/>
        </w:rPr>
        <w:fldChar w:fldCharType="separate"/>
      </w:r>
      <w:r>
        <w:rPr>
          <w:sz w:val="24"/>
          <w:szCs w:val="24"/>
        </w:rPr>
        <w:t>37</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_Toc31555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eastAsia" w:cs="Times New Roman"/>
          <w:sz w:val="24"/>
          <w:szCs w:val="24"/>
          <w:lang w:val="en-US" w:eastAsia="zh-CN"/>
        </w:rPr>
        <w:t>5</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 xml:space="preserve"> 相关政策及符合性分析</w:t>
      </w:r>
      <w:r>
        <w:rPr>
          <w:sz w:val="24"/>
          <w:szCs w:val="24"/>
        </w:rPr>
        <w:tab/>
      </w:r>
      <w:r>
        <w:rPr>
          <w:sz w:val="24"/>
          <w:szCs w:val="24"/>
        </w:rPr>
        <w:fldChar w:fldCharType="begin"/>
      </w:r>
      <w:r>
        <w:rPr>
          <w:sz w:val="24"/>
          <w:szCs w:val="24"/>
        </w:rPr>
        <w:instrText xml:space="preserve"> PAGEREF _Toc31555 \h </w:instrText>
      </w:r>
      <w:r>
        <w:rPr>
          <w:sz w:val="24"/>
          <w:szCs w:val="24"/>
        </w:rPr>
        <w:fldChar w:fldCharType="separate"/>
      </w:r>
      <w:r>
        <w:rPr>
          <w:sz w:val="24"/>
          <w:szCs w:val="24"/>
        </w:rPr>
        <w:t>37</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_Toc22463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eastAsia" w:cs="Times New Roman"/>
          <w:sz w:val="24"/>
          <w:szCs w:val="24"/>
          <w:lang w:val="en-US" w:eastAsia="zh-CN"/>
        </w:rPr>
        <w:t>5</w:t>
      </w:r>
      <w:r>
        <w:rPr>
          <w:rFonts w:hint="default"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rPr>
        <w:t xml:space="preserve"> </w:t>
      </w:r>
      <w:r>
        <w:rPr>
          <w:rFonts w:hint="eastAsia" w:cs="Times New Roman"/>
          <w:sz w:val="24"/>
          <w:szCs w:val="24"/>
          <w:lang w:eastAsia="zh-CN"/>
        </w:rPr>
        <w:t>“</w:t>
      </w:r>
      <w:r>
        <w:rPr>
          <w:rFonts w:hint="default" w:ascii="Times New Roman" w:hAnsi="Times New Roman" w:eastAsia="宋体" w:cs="Times New Roman"/>
          <w:sz w:val="24"/>
          <w:szCs w:val="24"/>
        </w:rPr>
        <w:t>三线一单</w:t>
      </w:r>
      <w:r>
        <w:rPr>
          <w:rFonts w:hint="eastAsia" w:cs="Times New Roman"/>
          <w:sz w:val="24"/>
          <w:szCs w:val="24"/>
          <w:lang w:eastAsia="zh-CN"/>
        </w:rPr>
        <w:t>”</w:t>
      </w:r>
      <w:r>
        <w:rPr>
          <w:rFonts w:hint="default" w:ascii="Times New Roman" w:hAnsi="Times New Roman" w:eastAsia="宋体" w:cs="Times New Roman"/>
          <w:sz w:val="24"/>
          <w:szCs w:val="24"/>
        </w:rPr>
        <w:t>相符性</w:t>
      </w:r>
      <w:r>
        <w:rPr>
          <w:sz w:val="24"/>
          <w:szCs w:val="24"/>
        </w:rPr>
        <w:tab/>
      </w:r>
      <w:r>
        <w:rPr>
          <w:sz w:val="24"/>
          <w:szCs w:val="24"/>
        </w:rPr>
        <w:fldChar w:fldCharType="begin"/>
      </w:r>
      <w:r>
        <w:rPr>
          <w:sz w:val="24"/>
          <w:szCs w:val="24"/>
        </w:rPr>
        <w:instrText xml:space="preserve"> PAGEREF _Toc22463 \h </w:instrText>
      </w:r>
      <w:r>
        <w:rPr>
          <w:sz w:val="24"/>
          <w:szCs w:val="24"/>
        </w:rPr>
        <w:fldChar w:fldCharType="separate"/>
      </w:r>
      <w:r>
        <w:rPr>
          <w:sz w:val="24"/>
          <w:szCs w:val="24"/>
        </w:rPr>
        <w:t>59</w:t>
      </w:r>
      <w:r>
        <w:rPr>
          <w:sz w:val="24"/>
          <w:szCs w:val="24"/>
        </w:rPr>
        <w:fldChar w:fldCharType="end"/>
      </w:r>
      <w:r>
        <w:rPr>
          <w:rFonts w:hint="default" w:ascii="Times New Roman" w:hAnsi="Times New Roman" w:eastAsia="宋体" w:cs="Times New Roman"/>
          <w:color w:val="auto"/>
          <w:sz w:val="24"/>
          <w:szCs w:val="24"/>
        </w:rPr>
        <w:fldChar w:fldCharType="end"/>
      </w:r>
    </w:p>
    <w:p>
      <w:pPr>
        <w:pStyle w:val="35"/>
        <w:keepNext w:val="0"/>
        <w:keepLines w:val="0"/>
        <w:pageBreakBefore w:val="0"/>
        <w:tabs>
          <w:tab w:val="right" w:leader="dot" w:pos="9070"/>
          <w:tab w:val="clear" w:pos="906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_Toc11216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3项目工程分析</w:t>
      </w:r>
      <w:r>
        <w:rPr>
          <w:sz w:val="24"/>
          <w:szCs w:val="24"/>
        </w:rPr>
        <w:tab/>
      </w:r>
      <w:r>
        <w:rPr>
          <w:sz w:val="24"/>
          <w:szCs w:val="24"/>
        </w:rPr>
        <w:fldChar w:fldCharType="begin"/>
      </w:r>
      <w:r>
        <w:rPr>
          <w:sz w:val="24"/>
          <w:szCs w:val="24"/>
        </w:rPr>
        <w:instrText xml:space="preserve"> PAGEREF _Toc11216 \h </w:instrText>
      </w:r>
      <w:r>
        <w:rPr>
          <w:sz w:val="24"/>
          <w:szCs w:val="24"/>
        </w:rPr>
        <w:fldChar w:fldCharType="separate"/>
      </w:r>
      <w:r>
        <w:rPr>
          <w:sz w:val="24"/>
          <w:szCs w:val="24"/>
        </w:rPr>
        <w:t>65</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_Toc6843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3.1工程地理位置及现状</w:t>
      </w:r>
      <w:r>
        <w:rPr>
          <w:sz w:val="24"/>
          <w:szCs w:val="24"/>
        </w:rPr>
        <w:tab/>
      </w:r>
      <w:r>
        <w:rPr>
          <w:sz w:val="24"/>
          <w:szCs w:val="24"/>
        </w:rPr>
        <w:fldChar w:fldCharType="begin"/>
      </w:r>
      <w:r>
        <w:rPr>
          <w:sz w:val="24"/>
          <w:szCs w:val="24"/>
        </w:rPr>
        <w:instrText xml:space="preserve"> PAGEREF _Toc6843 \h </w:instrText>
      </w:r>
      <w:r>
        <w:rPr>
          <w:sz w:val="24"/>
          <w:szCs w:val="24"/>
        </w:rPr>
        <w:fldChar w:fldCharType="separate"/>
      </w:r>
      <w:r>
        <w:rPr>
          <w:sz w:val="24"/>
          <w:szCs w:val="24"/>
        </w:rPr>
        <w:t>65</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_Toc21906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3.1.1工程地理位置</w:t>
      </w:r>
      <w:r>
        <w:rPr>
          <w:sz w:val="24"/>
          <w:szCs w:val="24"/>
        </w:rPr>
        <w:tab/>
      </w:r>
      <w:r>
        <w:rPr>
          <w:sz w:val="24"/>
          <w:szCs w:val="24"/>
        </w:rPr>
        <w:fldChar w:fldCharType="begin"/>
      </w:r>
      <w:r>
        <w:rPr>
          <w:sz w:val="24"/>
          <w:szCs w:val="24"/>
        </w:rPr>
        <w:instrText xml:space="preserve"> PAGEREF _Toc21906 \h </w:instrText>
      </w:r>
      <w:r>
        <w:rPr>
          <w:sz w:val="24"/>
          <w:szCs w:val="24"/>
        </w:rPr>
        <w:fldChar w:fldCharType="separate"/>
      </w:r>
      <w:r>
        <w:rPr>
          <w:sz w:val="24"/>
          <w:szCs w:val="24"/>
        </w:rPr>
        <w:t>65</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_Toc29560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3.1.2工程位置现状</w:t>
      </w:r>
      <w:r>
        <w:rPr>
          <w:sz w:val="24"/>
          <w:szCs w:val="24"/>
        </w:rPr>
        <w:tab/>
      </w:r>
      <w:r>
        <w:rPr>
          <w:sz w:val="24"/>
          <w:szCs w:val="24"/>
        </w:rPr>
        <w:fldChar w:fldCharType="begin"/>
      </w:r>
      <w:r>
        <w:rPr>
          <w:sz w:val="24"/>
          <w:szCs w:val="24"/>
        </w:rPr>
        <w:instrText xml:space="preserve"> PAGEREF _Toc29560 \h </w:instrText>
      </w:r>
      <w:r>
        <w:rPr>
          <w:sz w:val="24"/>
          <w:szCs w:val="24"/>
        </w:rPr>
        <w:fldChar w:fldCharType="separate"/>
      </w:r>
      <w:r>
        <w:rPr>
          <w:sz w:val="24"/>
          <w:szCs w:val="24"/>
        </w:rPr>
        <w:t>66</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_Toc16122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rPr>
        <w:t>3.2工程建设必要性</w:t>
      </w:r>
      <w:r>
        <w:rPr>
          <w:sz w:val="24"/>
          <w:szCs w:val="24"/>
        </w:rPr>
        <w:tab/>
      </w:r>
      <w:r>
        <w:rPr>
          <w:sz w:val="24"/>
          <w:szCs w:val="24"/>
        </w:rPr>
        <w:fldChar w:fldCharType="begin"/>
      </w:r>
      <w:r>
        <w:rPr>
          <w:sz w:val="24"/>
          <w:szCs w:val="24"/>
        </w:rPr>
        <w:instrText xml:space="preserve"> PAGEREF _Toc16122 \h </w:instrText>
      </w:r>
      <w:r>
        <w:rPr>
          <w:sz w:val="24"/>
          <w:szCs w:val="24"/>
        </w:rPr>
        <w:fldChar w:fldCharType="separate"/>
      </w:r>
      <w:r>
        <w:rPr>
          <w:sz w:val="24"/>
          <w:szCs w:val="24"/>
        </w:rPr>
        <w:t>68</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_Toc31624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3.2.1是响应国家政策的要求</w:t>
      </w:r>
      <w:r>
        <w:rPr>
          <w:sz w:val="24"/>
          <w:szCs w:val="24"/>
        </w:rPr>
        <w:tab/>
      </w:r>
      <w:r>
        <w:rPr>
          <w:sz w:val="24"/>
          <w:szCs w:val="24"/>
        </w:rPr>
        <w:fldChar w:fldCharType="begin"/>
      </w:r>
      <w:r>
        <w:rPr>
          <w:sz w:val="24"/>
          <w:szCs w:val="24"/>
        </w:rPr>
        <w:instrText xml:space="preserve"> PAGEREF _Toc31624 \h </w:instrText>
      </w:r>
      <w:r>
        <w:rPr>
          <w:sz w:val="24"/>
          <w:szCs w:val="24"/>
        </w:rPr>
        <w:fldChar w:fldCharType="separate"/>
      </w:r>
      <w:r>
        <w:rPr>
          <w:sz w:val="24"/>
          <w:szCs w:val="24"/>
        </w:rPr>
        <w:t>68</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_Toc31888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.2改善湖泊水质、水生态，满足区域供水的需要</w:t>
      </w:r>
      <w:r>
        <w:rPr>
          <w:sz w:val="24"/>
          <w:szCs w:val="24"/>
        </w:rPr>
        <w:tab/>
      </w:r>
      <w:r>
        <w:rPr>
          <w:sz w:val="24"/>
          <w:szCs w:val="24"/>
        </w:rPr>
        <w:fldChar w:fldCharType="begin"/>
      </w:r>
      <w:r>
        <w:rPr>
          <w:sz w:val="24"/>
          <w:szCs w:val="24"/>
        </w:rPr>
        <w:instrText xml:space="preserve"> PAGEREF _Toc31888 \h </w:instrText>
      </w:r>
      <w:r>
        <w:rPr>
          <w:sz w:val="24"/>
          <w:szCs w:val="24"/>
        </w:rPr>
        <w:fldChar w:fldCharType="separate"/>
      </w:r>
      <w:r>
        <w:rPr>
          <w:sz w:val="24"/>
          <w:szCs w:val="24"/>
        </w:rPr>
        <w:t>68</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_Toc22927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3.2.3保护自然环境，人与自然和谐共处需要</w:t>
      </w:r>
      <w:r>
        <w:rPr>
          <w:sz w:val="24"/>
          <w:szCs w:val="24"/>
        </w:rPr>
        <w:tab/>
      </w:r>
      <w:r>
        <w:rPr>
          <w:sz w:val="24"/>
          <w:szCs w:val="24"/>
        </w:rPr>
        <w:fldChar w:fldCharType="begin"/>
      </w:r>
      <w:r>
        <w:rPr>
          <w:sz w:val="24"/>
          <w:szCs w:val="24"/>
        </w:rPr>
        <w:instrText xml:space="preserve"> PAGEREF _Toc22927 \h </w:instrText>
      </w:r>
      <w:r>
        <w:rPr>
          <w:sz w:val="24"/>
          <w:szCs w:val="24"/>
        </w:rPr>
        <w:fldChar w:fldCharType="separate"/>
      </w:r>
      <w:r>
        <w:rPr>
          <w:sz w:val="24"/>
          <w:szCs w:val="24"/>
        </w:rPr>
        <w:t>69</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_Toc21950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w:t>
      </w:r>
      <w:r>
        <w:rPr>
          <w:rFonts w:hint="eastAsia" w:cs="Times New Roman"/>
          <w:bCs/>
          <w:sz w:val="24"/>
          <w:szCs w:val="24"/>
          <w:lang w:val="en-US" w:eastAsia="zh-CN"/>
        </w:rPr>
        <w:t>3</w:t>
      </w:r>
      <w:r>
        <w:rPr>
          <w:rFonts w:hint="default" w:ascii="Times New Roman" w:hAnsi="Times New Roman" w:eastAsia="宋体" w:cs="Times New Roman"/>
          <w:bCs/>
          <w:sz w:val="24"/>
          <w:szCs w:val="24"/>
          <w:lang w:val="en-US" w:eastAsia="zh-CN"/>
        </w:rPr>
        <w:t>工程任务、目标及规模</w:t>
      </w:r>
      <w:r>
        <w:rPr>
          <w:sz w:val="24"/>
          <w:szCs w:val="24"/>
        </w:rPr>
        <w:tab/>
      </w:r>
      <w:r>
        <w:rPr>
          <w:sz w:val="24"/>
          <w:szCs w:val="24"/>
        </w:rPr>
        <w:fldChar w:fldCharType="begin"/>
      </w:r>
      <w:r>
        <w:rPr>
          <w:sz w:val="24"/>
          <w:szCs w:val="24"/>
        </w:rPr>
        <w:instrText xml:space="preserve"> PAGEREF _Toc21950 \h </w:instrText>
      </w:r>
      <w:r>
        <w:rPr>
          <w:sz w:val="24"/>
          <w:szCs w:val="24"/>
        </w:rPr>
        <w:fldChar w:fldCharType="separate"/>
      </w:r>
      <w:r>
        <w:rPr>
          <w:sz w:val="24"/>
          <w:szCs w:val="24"/>
        </w:rPr>
        <w:t>69</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_Toc19801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3.3</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 xml:space="preserve"> 项目基本情况</w:t>
      </w:r>
      <w:r>
        <w:rPr>
          <w:sz w:val="24"/>
          <w:szCs w:val="24"/>
        </w:rPr>
        <w:tab/>
      </w:r>
      <w:r>
        <w:rPr>
          <w:sz w:val="24"/>
          <w:szCs w:val="24"/>
        </w:rPr>
        <w:fldChar w:fldCharType="begin"/>
      </w:r>
      <w:r>
        <w:rPr>
          <w:sz w:val="24"/>
          <w:szCs w:val="24"/>
        </w:rPr>
        <w:instrText xml:space="preserve"> PAGEREF _Toc19801 \h </w:instrText>
      </w:r>
      <w:r>
        <w:rPr>
          <w:sz w:val="24"/>
          <w:szCs w:val="24"/>
        </w:rPr>
        <w:fldChar w:fldCharType="separate"/>
      </w:r>
      <w:r>
        <w:rPr>
          <w:sz w:val="24"/>
          <w:szCs w:val="24"/>
        </w:rPr>
        <w:t>69</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_Toc28930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eastAsia" w:cs="Times New Roman"/>
          <w:sz w:val="24"/>
          <w:szCs w:val="24"/>
          <w:lang w:val="en-US" w:eastAsia="zh-CN"/>
        </w:rPr>
        <w:t>3</w:t>
      </w:r>
      <w:r>
        <w:rPr>
          <w:rFonts w:hint="default" w:ascii="Times New Roman" w:hAnsi="Times New Roman" w:eastAsia="宋体" w:cs="Times New Roman"/>
          <w:sz w:val="24"/>
          <w:szCs w:val="24"/>
        </w:rPr>
        <w:t>.</w:t>
      </w:r>
      <w:r>
        <w:rPr>
          <w:rFonts w:hint="eastAsia" w:cs="Times New Roman"/>
          <w:sz w:val="24"/>
          <w:szCs w:val="24"/>
          <w:lang w:val="en-US" w:eastAsia="zh-CN"/>
        </w:rPr>
        <w:t>2</w:t>
      </w:r>
      <w:r>
        <w:rPr>
          <w:rFonts w:hint="default" w:ascii="Times New Roman" w:hAnsi="Times New Roman" w:eastAsia="宋体" w:cs="Times New Roman"/>
          <w:sz w:val="24"/>
          <w:szCs w:val="24"/>
        </w:rPr>
        <w:t xml:space="preserve"> 工程任务及目标</w:t>
      </w:r>
      <w:r>
        <w:rPr>
          <w:sz w:val="24"/>
          <w:szCs w:val="24"/>
        </w:rPr>
        <w:tab/>
      </w:r>
      <w:r>
        <w:rPr>
          <w:sz w:val="24"/>
          <w:szCs w:val="24"/>
        </w:rPr>
        <w:fldChar w:fldCharType="begin"/>
      </w:r>
      <w:r>
        <w:rPr>
          <w:sz w:val="24"/>
          <w:szCs w:val="24"/>
        </w:rPr>
        <w:instrText xml:space="preserve"> PAGEREF _Toc28930 \h </w:instrText>
      </w:r>
      <w:r>
        <w:rPr>
          <w:sz w:val="24"/>
          <w:szCs w:val="24"/>
        </w:rPr>
        <w:fldChar w:fldCharType="separate"/>
      </w:r>
      <w:r>
        <w:rPr>
          <w:sz w:val="24"/>
          <w:szCs w:val="24"/>
        </w:rPr>
        <w:t>70</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_Toc14791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eastAsia" w:cs="Times New Roman"/>
          <w:sz w:val="24"/>
          <w:szCs w:val="24"/>
          <w:lang w:val="en-US" w:eastAsia="zh-CN"/>
        </w:rPr>
        <w:t>3</w:t>
      </w:r>
      <w:r>
        <w:rPr>
          <w:rFonts w:hint="default" w:ascii="Times New Roman" w:hAnsi="Times New Roman" w:eastAsia="宋体" w:cs="Times New Roman"/>
          <w:sz w:val="24"/>
          <w:szCs w:val="24"/>
        </w:rPr>
        <w:t>.</w:t>
      </w:r>
      <w:r>
        <w:rPr>
          <w:rFonts w:hint="eastAsia" w:cs="Times New Roman"/>
          <w:sz w:val="24"/>
          <w:szCs w:val="24"/>
          <w:lang w:val="en-US" w:eastAsia="zh-CN"/>
        </w:rPr>
        <w:t>3</w:t>
      </w:r>
      <w:r>
        <w:rPr>
          <w:rFonts w:hint="default" w:ascii="Times New Roman" w:hAnsi="Times New Roman" w:eastAsia="宋体" w:cs="Times New Roman"/>
          <w:sz w:val="24"/>
          <w:szCs w:val="24"/>
        </w:rPr>
        <w:t xml:space="preserve"> 工程</w:t>
      </w:r>
      <w:r>
        <w:rPr>
          <w:rFonts w:hint="default" w:ascii="Times New Roman" w:hAnsi="Times New Roman" w:eastAsia="宋体" w:cs="Times New Roman"/>
          <w:sz w:val="24"/>
          <w:szCs w:val="24"/>
          <w:lang w:val="en-US" w:eastAsia="zh-CN"/>
        </w:rPr>
        <w:t>规模</w:t>
      </w:r>
      <w:r>
        <w:rPr>
          <w:sz w:val="24"/>
          <w:szCs w:val="24"/>
        </w:rPr>
        <w:tab/>
      </w:r>
      <w:r>
        <w:rPr>
          <w:sz w:val="24"/>
          <w:szCs w:val="24"/>
        </w:rPr>
        <w:fldChar w:fldCharType="begin"/>
      </w:r>
      <w:r>
        <w:rPr>
          <w:sz w:val="24"/>
          <w:szCs w:val="24"/>
        </w:rPr>
        <w:instrText xml:space="preserve"> PAGEREF _Toc14791 \h </w:instrText>
      </w:r>
      <w:r>
        <w:rPr>
          <w:sz w:val="24"/>
          <w:szCs w:val="24"/>
        </w:rPr>
        <w:fldChar w:fldCharType="separate"/>
      </w:r>
      <w:r>
        <w:rPr>
          <w:sz w:val="24"/>
          <w:szCs w:val="24"/>
        </w:rPr>
        <w:t>71</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_Toc2733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w:t>
      </w:r>
      <w:r>
        <w:rPr>
          <w:rFonts w:hint="eastAsia" w:cs="Times New Roman"/>
          <w:bCs/>
          <w:sz w:val="24"/>
          <w:szCs w:val="24"/>
          <w:lang w:val="en-US" w:eastAsia="zh-CN"/>
        </w:rPr>
        <w:t>4</w:t>
      </w:r>
      <w:r>
        <w:rPr>
          <w:rFonts w:hint="default" w:ascii="Times New Roman" w:hAnsi="Times New Roman" w:eastAsia="宋体" w:cs="Times New Roman"/>
          <w:bCs/>
          <w:sz w:val="24"/>
          <w:szCs w:val="24"/>
          <w:lang w:val="en-US" w:eastAsia="zh-CN"/>
        </w:rPr>
        <w:t>工程组成、内容、设计及特性</w:t>
      </w:r>
      <w:r>
        <w:rPr>
          <w:sz w:val="24"/>
          <w:szCs w:val="24"/>
        </w:rPr>
        <w:tab/>
      </w:r>
      <w:r>
        <w:rPr>
          <w:sz w:val="24"/>
          <w:szCs w:val="24"/>
        </w:rPr>
        <w:fldChar w:fldCharType="begin"/>
      </w:r>
      <w:r>
        <w:rPr>
          <w:sz w:val="24"/>
          <w:szCs w:val="24"/>
        </w:rPr>
        <w:instrText xml:space="preserve"> PAGEREF _Toc2733 \h </w:instrText>
      </w:r>
      <w:r>
        <w:rPr>
          <w:sz w:val="24"/>
          <w:szCs w:val="24"/>
        </w:rPr>
        <w:fldChar w:fldCharType="separate"/>
      </w:r>
      <w:r>
        <w:rPr>
          <w:sz w:val="24"/>
          <w:szCs w:val="24"/>
        </w:rPr>
        <w:t>71</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_Toc784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w:t>
      </w:r>
      <w:r>
        <w:rPr>
          <w:rFonts w:hint="eastAsia" w:cs="Times New Roman"/>
          <w:sz w:val="24"/>
          <w:szCs w:val="24"/>
          <w:lang w:val="en-US" w:eastAsia="zh-CN"/>
        </w:rPr>
        <w:t>4</w:t>
      </w:r>
      <w:r>
        <w:rPr>
          <w:rFonts w:hint="default" w:ascii="Times New Roman" w:hAnsi="Times New Roman" w:eastAsia="宋体" w:cs="Times New Roman"/>
          <w:sz w:val="24"/>
          <w:szCs w:val="24"/>
          <w:lang w:val="en-US" w:eastAsia="zh-CN"/>
        </w:rPr>
        <w:t>.1工程组成</w:t>
      </w:r>
      <w:r>
        <w:rPr>
          <w:sz w:val="24"/>
          <w:szCs w:val="24"/>
        </w:rPr>
        <w:tab/>
      </w:r>
      <w:r>
        <w:rPr>
          <w:sz w:val="24"/>
          <w:szCs w:val="24"/>
        </w:rPr>
        <w:fldChar w:fldCharType="begin"/>
      </w:r>
      <w:r>
        <w:rPr>
          <w:sz w:val="24"/>
          <w:szCs w:val="24"/>
        </w:rPr>
        <w:instrText xml:space="preserve"> PAGEREF _Toc784 \h </w:instrText>
      </w:r>
      <w:r>
        <w:rPr>
          <w:sz w:val="24"/>
          <w:szCs w:val="24"/>
        </w:rPr>
        <w:fldChar w:fldCharType="separate"/>
      </w:r>
      <w:r>
        <w:rPr>
          <w:sz w:val="24"/>
          <w:szCs w:val="24"/>
        </w:rPr>
        <w:t>71</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_Toc21140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w:t>
      </w:r>
      <w:r>
        <w:rPr>
          <w:rFonts w:hint="eastAsia" w:cs="Times New Roman"/>
          <w:sz w:val="24"/>
          <w:szCs w:val="24"/>
          <w:lang w:val="en-US" w:eastAsia="zh-CN"/>
        </w:rPr>
        <w:t>4</w:t>
      </w:r>
      <w:r>
        <w:rPr>
          <w:rFonts w:hint="default" w:ascii="Times New Roman" w:hAnsi="Times New Roman" w:eastAsia="宋体" w:cs="Times New Roman"/>
          <w:sz w:val="24"/>
          <w:szCs w:val="24"/>
          <w:lang w:val="en-US" w:eastAsia="zh-CN"/>
        </w:rPr>
        <w:t>.2工程内容</w:t>
      </w:r>
      <w:r>
        <w:rPr>
          <w:sz w:val="24"/>
          <w:szCs w:val="24"/>
        </w:rPr>
        <w:tab/>
      </w:r>
      <w:r>
        <w:rPr>
          <w:sz w:val="24"/>
          <w:szCs w:val="24"/>
        </w:rPr>
        <w:fldChar w:fldCharType="begin"/>
      </w:r>
      <w:r>
        <w:rPr>
          <w:sz w:val="24"/>
          <w:szCs w:val="24"/>
        </w:rPr>
        <w:instrText xml:space="preserve"> PAGEREF _Toc21140 \h </w:instrText>
      </w:r>
      <w:r>
        <w:rPr>
          <w:sz w:val="24"/>
          <w:szCs w:val="24"/>
        </w:rPr>
        <w:fldChar w:fldCharType="separate"/>
      </w:r>
      <w:r>
        <w:rPr>
          <w:sz w:val="24"/>
          <w:szCs w:val="24"/>
        </w:rPr>
        <w:t>72</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_Toc3118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w:t>
      </w:r>
      <w:r>
        <w:rPr>
          <w:rFonts w:hint="eastAsia" w:cs="Times New Roman"/>
          <w:sz w:val="24"/>
          <w:szCs w:val="24"/>
          <w:lang w:val="en-US" w:eastAsia="zh-CN"/>
        </w:rPr>
        <w:t>4</w:t>
      </w:r>
      <w:r>
        <w:rPr>
          <w:rFonts w:hint="default" w:ascii="Times New Roman" w:hAnsi="Times New Roman" w:eastAsia="宋体" w:cs="Times New Roman"/>
          <w:sz w:val="24"/>
          <w:szCs w:val="24"/>
          <w:lang w:val="en-US" w:eastAsia="zh-CN"/>
        </w:rPr>
        <w:t>.3 工程设计</w:t>
      </w:r>
      <w:r>
        <w:rPr>
          <w:sz w:val="24"/>
          <w:szCs w:val="24"/>
        </w:rPr>
        <w:tab/>
      </w:r>
      <w:r>
        <w:rPr>
          <w:sz w:val="24"/>
          <w:szCs w:val="24"/>
        </w:rPr>
        <w:fldChar w:fldCharType="begin"/>
      </w:r>
      <w:r>
        <w:rPr>
          <w:sz w:val="24"/>
          <w:szCs w:val="24"/>
        </w:rPr>
        <w:instrText xml:space="preserve"> PAGEREF _Toc3118 \h </w:instrText>
      </w:r>
      <w:r>
        <w:rPr>
          <w:sz w:val="24"/>
          <w:szCs w:val="24"/>
        </w:rPr>
        <w:fldChar w:fldCharType="separate"/>
      </w:r>
      <w:r>
        <w:rPr>
          <w:sz w:val="24"/>
          <w:szCs w:val="24"/>
        </w:rPr>
        <w:t>73</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_Toc12388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w:t>
      </w:r>
      <w:r>
        <w:rPr>
          <w:rFonts w:hint="eastAsia" w:cs="Times New Roman"/>
          <w:bCs/>
          <w:sz w:val="24"/>
          <w:szCs w:val="24"/>
          <w:lang w:val="en-US" w:eastAsia="zh-CN"/>
        </w:rPr>
        <w:t>5</w:t>
      </w:r>
      <w:r>
        <w:rPr>
          <w:rFonts w:hint="default" w:ascii="Times New Roman" w:hAnsi="Times New Roman" w:eastAsia="宋体" w:cs="Times New Roman"/>
          <w:bCs/>
          <w:sz w:val="24"/>
          <w:szCs w:val="24"/>
          <w:lang w:val="en-US" w:eastAsia="zh-CN"/>
        </w:rPr>
        <w:t>工程施工规划</w:t>
      </w:r>
      <w:r>
        <w:rPr>
          <w:sz w:val="24"/>
          <w:szCs w:val="24"/>
        </w:rPr>
        <w:tab/>
      </w:r>
      <w:r>
        <w:rPr>
          <w:sz w:val="24"/>
          <w:szCs w:val="24"/>
        </w:rPr>
        <w:fldChar w:fldCharType="begin"/>
      </w:r>
      <w:r>
        <w:rPr>
          <w:sz w:val="24"/>
          <w:szCs w:val="24"/>
        </w:rPr>
        <w:instrText xml:space="preserve"> PAGEREF _Toc12388 \h </w:instrText>
      </w:r>
      <w:r>
        <w:rPr>
          <w:sz w:val="24"/>
          <w:szCs w:val="24"/>
        </w:rPr>
        <w:fldChar w:fldCharType="separate"/>
      </w:r>
      <w:r>
        <w:rPr>
          <w:sz w:val="24"/>
          <w:szCs w:val="24"/>
        </w:rPr>
        <w:t>88</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_Toc13410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w:t>
      </w:r>
      <w:r>
        <w:rPr>
          <w:rFonts w:hint="eastAsia" w:cs="Times New Roman"/>
          <w:sz w:val="24"/>
          <w:szCs w:val="24"/>
          <w:lang w:val="en-US" w:eastAsia="zh-CN"/>
        </w:rPr>
        <w:t>5</w:t>
      </w:r>
      <w:r>
        <w:rPr>
          <w:rFonts w:hint="default" w:ascii="Times New Roman" w:hAnsi="Times New Roman" w:eastAsia="宋体" w:cs="Times New Roman"/>
          <w:sz w:val="24"/>
          <w:szCs w:val="24"/>
          <w:lang w:val="en-US" w:eastAsia="zh-CN"/>
        </w:rPr>
        <w:t>.1施工条件</w:t>
      </w:r>
      <w:r>
        <w:rPr>
          <w:sz w:val="24"/>
          <w:szCs w:val="24"/>
        </w:rPr>
        <w:tab/>
      </w:r>
      <w:r>
        <w:rPr>
          <w:sz w:val="24"/>
          <w:szCs w:val="24"/>
        </w:rPr>
        <w:fldChar w:fldCharType="begin"/>
      </w:r>
      <w:r>
        <w:rPr>
          <w:sz w:val="24"/>
          <w:szCs w:val="24"/>
        </w:rPr>
        <w:instrText xml:space="preserve"> PAGEREF _Toc13410 \h </w:instrText>
      </w:r>
      <w:r>
        <w:rPr>
          <w:sz w:val="24"/>
          <w:szCs w:val="24"/>
        </w:rPr>
        <w:fldChar w:fldCharType="separate"/>
      </w:r>
      <w:r>
        <w:rPr>
          <w:sz w:val="24"/>
          <w:szCs w:val="24"/>
        </w:rPr>
        <w:t>88</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_Toc27512 </w:instrText>
      </w:r>
      <w:r>
        <w:rPr>
          <w:rFonts w:hint="default" w:ascii="Times New Roman" w:hAnsi="Times New Roman" w:eastAsia="宋体" w:cs="Times New Roman"/>
          <w:sz w:val="24"/>
          <w:szCs w:val="24"/>
        </w:rPr>
        <w:fldChar w:fldCharType="separate"/>
      </w:r>
      <w:r>
        <w:rPr>
          <w:rFonts w:hint="eastAsia" w:ascii="Times New Roman" w:hAnsi="Times New Roman" w:eastAsia="宋体" w:cs="Times New Roman"/>
          <w:sz w:val="24"/>
          <w:szCs w:val="24"/>
          <w:lang w:val="en-US" w:eastAsia="zh-CN"/>
        </w:rPr>
        <w:t>3.</w:t>
      </w:r>
      <w:r>
        <w:rPr>
          <w:rFonts w:hint="eastAsia" w:cs="Times New Roman"/>
          <w:sz w:val="24"/>
          <w:szCs w:val="24"/>
          <w:lang w:val="en-US" w:eastAsia="zh-CN"/>
        </w:rPr>
        <w:t>5</w:t>
      </w:r>
      <w:r>
        <w:rPr>
          <w:rFonts w:hint="eastAsia" w:ascii="Times New Roman" w:hAnsi="Times New Roman" w:eastAsia="宋体" w:cs="Times New Roman"/>
          <w:sz w:val="24"/>
          <w:szCs w:val="24"/>
          <w:lang w:val="en-US" w:eastAsia="zh-CN"/>
        </w:rPr>
        <w:t>.2 施工</w:t>
      </w:r>
      <w:r>
        <w:rPr>
          <w:rFonts w:hint="eastAsia" w:cs="Times New Roman"/>
          <w:sz w:val="24"/>
          <w:szCs w:val="24"/>
          <w:lang w:val="en-US" w:eastAsia="zh-CN"/>
        </w:rPr>
        <w:t>总体</w:t>
      </w:r>
      <w:r>
        <w:rPr>
          <w:rFonts w:hint="eastAsia" w:ascii="Times New Roman" w:hAnsi="Times New Roman" w:eastAsia="宋体" w:cs="Times New Roman"/>
          <w:sz w:val="24"/>
          <w:szCs w:val="24"/>
          <w:lang w:val="en-US" w:eastAsia="zh-CN"/>
        </w:rPr>
        <w:t>布置</w:t>
      </w:r>
      <w:r>
        <w:rPr>
          <w:sz w:val="24"/>
          <w:szCs w:val="24"/>
        </w:rPr>
        <w:tab/>
      </w:r>
      <w:r>
        <w:rPr>
          <w:sz w:val="24"/>
          <w:szCs w:val="24"/>
        </w:rPr>
        <w:fldChar w:fldCharType="begin"/>
      </w:r>
      <w:r>
        <w:rPr>
          <w:sz w:val="24"/>
          <w:szCs w:val="24"/>
        </w:rPr>
        <w:instrText xml:space="preserve"> PAGEREF _Toc27512 \h </w:instrText>
      </w:r>
      <w:r>
        <w:rPr>
          <w:sz w:val="24"/>
          <w:szCs w:val="24"/>
        </w:rPr>
        <w:fldChar w:fldCharType="separate"/>
      </w:r>
      <w:r>
        <w:rPr>
          <w:sz w:val="24"/>
          <w:szCs w:val="24"/>
        </w:rPr>
        <w:t>89</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_Toc32314 </w:instrText>
      </w:r>
      <w:r>
        <w:rPr>
          <w:rFonts w:hint="default" w:ascii="Times New Roman" w:hAnsi="Times New Roman" w:eastAsia="宋体" w:cs="Times New Roman"/>
          <w:sz w:val="24"/>
          <w:szCs w:val="24"/>
        </w:rPr>
        <w:fldChar w:fldCharType="separate"/>
      </w:r>
      <w:r>
        <w:rPr>
          <w:rFonts w:hint="eastAsia" w:ascii="Times New Roman" w:hAnsi="Times New Roman" w:eastAsia="宋体" w:cs="Times New Roman"/>
          <w:sz w:val="24"/>
          <w:szCs w:val="24"/>
          <w:lang w:val="en-US" w:eastAsia="zh-CN"/>
        </w:rPr>
        <w:t>3.</w:t>
      </w:r>
      <w:r>
        <w:rPr>
          <w:rFonts w:hint="eastAsia" w:cs="Times New Roman"/>
          <w:sz w:val="24"/>
          <w:szCs w:val="24"/>
          <w:lang w:val="en-US" w:eastAsia="zh-CN"/>
        </w:rPr>
        <w:t>5.3</w:t>
      </w:r>
      <w:r>
        <w:rPr>
          <w:rFonts w:hint="eastAsia" w:ascii="Times New Roman" w:hAnsi="Times New Roman" w:eastAsia="宋体" w:cs="Times New Roman"/>
          <w:sz w:val="24"/>
          <w:szCs w:val="24"/>
          <w:lang w:val="en-US" w:eastAsia="zh-CN"/>
        </w:rPr>
        <w:t xml:space="preserve"> 施工进度</w:t>
      </w:r>
      <w:r>
        <w:rPr>
          <w:sz w:val="24"/>
          <w:szCs w:val="24"/>
        </w:rPr>
        <w:tab/>
      </w:r>
      <w:r>
        <w:rPr>
          <w:sz w:val="24"/>
          <w:szCs w:val="24"/>
        </w:rPr>
        <w:fldChar w:fldCharType="begin"/>
      </w:r>
      <w:r>
        <w:rPr>
          <w:sz w:val="24"/>
          <w:szCs w:val="24"/>
        </w:rPr>
        <w:instrText xml:space="preserve"> PAGEREF _Toc32314 \h </w:instrText>
      </w:r>
      <w:r>
        <w:rPr>
          <w:sz w:val="24"/>
          <w:szCs w:val="24"/>
        </w:rPr>
        <w:fldChar w:fldCharType="separate"/>
      </w:r>
      <w:r>
        <w:rPr>
          <w:sz w:val="24"/>
          <w:szCs w:val="24"/>
        </w:rPr>
        <w:t>89</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_Toc23127 </w:instrText>
      </w:r>
      <w:r>
        <w:rPr>
          <w:rFonts w:hint="default" w:ascii="Times New Roman" w:hAnsi="Times New Roman" w:eastAsia="宋体" w:cs="Times New Roman"/>
          <w:sz w:val="24"/>
          <w:szCs w:val="24"/>
        </w:rPr>
        <w:fldChar w:fldCharType="separate"/>
      </w:r>
      <w:r>
        <w:rPr>
          <w:rFonts w:hint="eastAsia" w:ascii="Times New Roman" w:hAnsi="Times New Roman" w:eastAsia="宋体" w:cs="Times New Roman"/>
          <w:bCs/>
          <w:sz w:val="24"/>
          <w:szCs w:val="24"/>
          <w:lang w:val="en-US" w:eastAsia="zh-CN"/>
        </w:rPr>
        <w:t>3.</w:t>
      </w:r>
      <w:r>
        <w:rPr>
          <w:rFonts w:hint="eastAsia" w:cs="Times New Roman"/>
          <w:bCs/>
          <w:sz w:val="24"/>
          <w:szCs w:val="24"/>
          <w:lang w:val="en-US" w:eastAsia="zh-CN"/>
        </w:rPr>
        <w:t>6</w:t>
      </w:r>
      <w:r>
        <w:rPr>
          <w:rFonts w:hint="eastAsia" w:ascii="Times New Roman" w:hAnsi="Times New Roman" w:eastAsia="宋体" w:cs="Times New Roman"/>
          <w:bCs/>
          <w:sz w:val="24"/>
          <w:szCs w:val="24"/>
          <w:lang w:val="en-US" w:eastAsia="zh-CN"/>
        </w:rPr>
        <w:t xml:space="preserve"> 主要工程施工方案</w:t>
      </w:r>
      <w:r>
        <w:rPr>
          <w:sz w:val="24"/>
          <w:szCs w:val="24"/>
        </w:rPr>
        <w:tab/>
      </w:r>
      <w:r>
        <w:rPr>
          <w:sz w:val="24"/>
          <w:szCs w:val="24"/>
        </w:rPr>
        <w:fldChar w:fldCharType="begin"/>
      </w:r>
      <w:r>
        <w:rPr>
          <w:sz w:val="24"/>
          <w:szCs w:val="24"/>
        </w:rPr>
        <w:instrText xml:space="preserve"> PAGEREF _Toc23127 \h </w:instrText>
      </w:r>
      <w:r>
        <w:rPr>
          <w:sz w:val="24"/>
          <w:szCs w:val="24"/>
        </w:rPr>
        <w:fldChar w:fldCharType="separate"/>
      </w:r>
      <w:r>
        <w:rPr>
          <w:sz w:val="24"/>
          <w:szCs w:val="24"/>
        </w:rPr>
        <w:t>90</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_Toc4999 </w:instrText>
      </w:r>
      <w:r>
        <w:rPr>
          <w:rFonts w:hint="default" w:ascii="Times New Roman" w:hAnsi="Times New Roman" w:eastAsia="宋体" w:cs="Times New Roman"/>
          <w:sz w:val="24"/>
          <w:szCs w:val="24"/>
        </w:rPr>
        <w:fldChar w:fldCharType="separate"/>
      </w:r>
      <w:r>
        <w:rPr>
          <w:rFonts w:hint="eastAsia" w:ascii="Times New Roman" w:hAnsi="Times New Roman" w:eastAsia="宋体" w:cs="Times New Roman"/>
          <w:sz w:val="24"/>
          <w:szCs w:val="24"/>
          <w:lang w:val="en-US" w:eastAsia="zh-CN"/>
        </w:rPr>
        <w:t>3.</w:t>
      </w:r>
      <w:r>
        <w:rPr>
          <w:rFonts w:hint="eastAsia" w:cs="Times New Roman"/>
          <w:sz w:val="24"/>
          <w:szCs w:val="24"/>
          <w:lang w:val="en-US" w:eastAsia="zh-CN"/>
        </w:rPr>
        <w:t>6</w:t>
      </w:r>
      <w:r>
        <w:rPr>
          <w:rFonts w:hint="eastAsia" w:ascii="Times New Roman" w:hAnsi="Times New Roman" w:eastAsia="宋体" w:cs="Times New Roman"/>
          <w:sz w:val="24"/>
          <w:szCs w:val="24"/>
          <w:lang w:val="en-US" w:eastAsia="zh-CN"/>
        </w:rPr>
        <w:t>.1施工测量</w:t>
      </w:r>
      <w:r>
        <w:rPr>
          <w:sz w:val="24"/>
          <w:szCs w:val="24"/>
        </w:rPr>
        <w:tab/>
      </w:r>
      <w:r>
        <w:rPr>
          <w:sz w:val="24"/>
          <w:szCs w:val="24"/>
        </w:rPr>
        <w:fldChar w:fldCharType="begin"/>
      </w:r>
      <w:r>
        <w:rPr>
          <w:sz w:val="24"/>
          <w:szCs w:val="24"/>
        </w:rPr>
        <w:instrText xml:space="preserve"> PAGEREF _Toc4999 \h </w:instrText>
      </w:r>
      <w:r>
        <w:rPr>
          <w:sz w:val="24"/>
          <w:szCs w:val="24"/>
        </w:rPr>
        <w:fldChar w:fldCharType="separate"/>
      </w:r>
      <w:r>
        <w:rPr>
          <w:sz w:val="24"/>
          <w:szCs w:val="24"/>
        </w:rPr>
        <w:t>90</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_Toc8016 </w:instrText>
      </w:r>
      <w:r>
        <w:rPr>
          <w:rFonts w:hint="default" w:ascii="Times New Roman" w:hAnsi="Times New Roman" w:eastAsia="宋体" w:cs="Times New Roman"/>
          <w:sz w:val="24"/>
          <w:szCs w:val="24"/>
        </w:rPr>
        <w:fldChar w:fldCharType="separate"/>
      </w:r>
      <w:r>
        <w:rPr>
          <w:rFonts w:hint="eastAsia" w:ascii="Times New Roman" w:hAnsi="Times New Roman" w:eastAsia="宋体" w:cs="Times New Roman"/>
          <w:sz w:val="24"/>
          <w:szCs w:val="24"/>
          <w:lang w:val="en-US" w:eastAsia="zh-CN"/>
        </w:rPr>
        <w:t>3.</w:t>
      </w:r>
      <w:r>
        <w:rPr>
          <w:rFonts w:hint="eastAsia" w:cs="Times New Roman"/>
          <w:sz w:val="24"/>
          <w:szCs w:val="24"/>
          <w:lang w:val="en-US" w:eastAsia="zh-CN"/>
        </w:rPr>
        <w:t>6</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围隔及拦鱼网工程</w:t>
      </w:r>
      <w:r>
        <w:rPr>
          <w:sz w:val="24"/>
          <w:szCs w:val="24"/>
        </w:rPr>
        <w:tab/>
      </w:r>
      <w:r>
        <w:rPr>
          <w:sz w:val="24"/>
          <w:szCs w:val="24"/>
        </w:rPr>
        <w:fldChar w:fldCharType="begin"/>
      </w:r>
      <w:r>
        <w:rPr>
          <w:sz w:val="24"/>
          <w:szCs w:val="24"/>
        </w:rPr>
        <w:instrText xml:space="preserve"> PAGEREF _Toc8016 \h </w:instrText>
      </w:r>
      <w:r>
        <w:rPr>
          <w:sz w:val="24"/>
          <w:szCs w:val="24"/>
        </w:rPr>
        <w:fldChar w:fldCharType="separate"/>
      </w:r>
      <w:r>
        <w:rPr>
          <w:sz w:val="24"/>
          <w:szCs w:val="24"/>
        </w:rPr>
        <w:t>93</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_Toc13847 </w:instrText>
      </w:r>
      <w:r>
        <w:rPr>
          <w:rFonts w:hint="default" w:ascii="Times New Roman" w:hAnsi="Times New Roman" w:eastAsia="宋体" w:cs="Times New Roman"/>
          <w:sz w:val="24"/>
          <w:szCs w:val="24"/>
        </w:rPr>
        <w:fldChar w:fldCharType="separate"/>
      </w:r>
      <w:r>
        <w:rPr>
          <w:rFonts w:hint="eastAsia" w:ascii="Times New Roman" w:hAnsi="Times New Roman" w:eastAsia="宋体" w:cs="Times New Roman"/>
          <w:sz w:val="24"/>
          <w:szCs w:val="24"/>
          <w:lang w:val="en-US" w:eastAsia="zh-CN"/>
        </w:rPr>
        <w:t>3.</w:t>
      </w:r>
      <w:r>
        <w:rPr>
          <w:rFonts w:hint="eastAsia" w:cs="Times New Roman"/>
          <w:sz w:val="24"/>
          <w:szCs w:val="24"/>
          <w:lang w:val="en-US" w:eastAsia="zh-CN"/>
        </w:rPr>
        <w:t>6</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水生植物种植与养护</w:t>
      </w:r>
      <w:r>
        <w:rPr>
          <w:sz w:val="24"/>
          <w:szCs w:val="24"/>
        </w:rPr>
        <w:tab/>
      </w:r>
      <w:r>
        <w:rPr>
          <w:sz w:val="24"/>
          <w:szCs w:val="24"/>
        </w:rPr>
        <w:fldChar w:fldCharType="begin"/>
      </w:r>
      <w:r>
        <w:rPr>
          <w:sz w:val="24"/>
          <w:szCs w:val="24"/>
        </w:rPr>
        <w:instrText xml:space="preserve"> PAGEREF _Toc13847 \h </w:instrText>
      </w:r>
      <w:r>
        <w:rPr>
          <w:sz w:val="24"/>
          <w:szCs w:val="24"/>
        </w:rPr>
        <w:fldChar w:fldCharType="separate"/>
      </w:r>
      <w:r>
        <w:rPr>
          <w:sz w:val="24"/>
          <w:szCs w:val="24"/>
        </w:rPr>
        <w:t>96</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_Toc25293 </w:instrText>
      </w:r>
      <w:r>
        <w:rPr>
          <w:rFonts w:hint="default" w:ascii="Times New Roman" w:hAnsi="Times New Roman" w:eastAsia="宋体" w:cs="Times New Roman"/>
          <w:sz w:val="24"/>
          <w:szCs w:val="24"/>
        </w:rPr>
        <w:fldChar w:fldCharType="separate"/>
      </w:r>
      <w:r>
        <w:rPr>
          <w:rFonts w:hint="eastAsia" w:ascii="Times New Roman" w:hAnsi="Times New Roman" w:eastAsia="宋体" w:cs="Times New Roman"/>
          <w:sz w:val="24"/>
          <w:szCs w:val="24"/>
          <w:lang w:val="en-US" w:eastAsia="zh-CN"/>
        </w:rPr>
        <w:t>3.</w:t>
      </w:r>
      <w:r>
        <w:rPr>
          <w:rFonts w:hint="eastAsia" w:cs="Times New Roman"/>
          <w:sz w:val="24"/>
          <w:szCs w:val="24"/>
          <w:lang w:val="en-US" w:eastAsia="zh-CN"/>
        </w:rPr>
        <w:t>6</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水生动物投放</w:t>
      </w:r>
      <w:r>
        <w:rPr>
          <w:sz w:val="24"/>
          <w:szCs w:val="24"/>
        </w:rPr>
        <w:tab/>
      </w:r>
      <w:r>
        <w:rPr>
          <w:sz w:val="24"/>
          <w:szCs w:val="24"/>
        </w:rPr>
        <w:fldChar w:fldCharType="begin"/>
      </w:r>
      <w:r>
        <w:rPr>
          <w:sz w:val="24"/>
          <w:szCs w:val="24"/>
        </w:rPr>
        <w:instrText xml:space="preserve"> PAGEREF _Toc25293 \h </w:instrText>
      </w:r>
      <w:r>
        <w:rPr>
          <w:sz w:val="24"/>
          <w:szCs w:val="24"/>
        </w:rPr>
        <w:fldChar w:fldCharType="separate"/>
      </w:r>
      <w:r>
        <w:rPr>
          <w:sz w:val="24"/>
          <w:szCs w:val="24"/>
        </w:rPr>
        <w:t>101</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_Toc27446 </w:instrText>
      </w:r>
      <w:r>
        <w:rPr>
          <w:rFonts w:hint="default" w:ascii="Times New Roman" w:hAnsi="Times New Roman" w:eastAsia="宋体" w:cs="Times New Roman"/>
          <w:sz w:val="24"/>
          <w:szCs w:val="24"/>
        </w:rPr>
        <w:fldChar w:fldCharType="separate"/>
      </w:r>
      <w:r>
        <w:rPr>
          <w:rFonts w:hint="eastAsia" w:ascii="Times New Roman" w:hAnsi="Times New Roman" w:eastAsia="宋体" w:cs="Times New Roman"/>
          <w:bCs/>
          <w:sz w:val="24"/>
          <w:szCs w:val="24"/>
          <w:lang w:val="en-US" w:eastAsia="zh-CN"/>
        </w:rPr>
        <w:t>3.</w:t>
      </w:r>
      <w:r>
        <w:rPr>
          <w:rFonts w:hint="eastAsia" w:cs="Times New Roman"/>
          <w:bCs/>
          <w:sz w:val="24"/>
          <w:szCs w:val="24"/>
          <w:lang w:val="en-US" w:eastAsia="zh-CN"/>
        </w:rPr>
        <w:t>7</w:t>
      </w:r>
      <w:r>
        <w:rPr>
          <w:rFonts w:hint="eastAsia" w:ascii="Times New Roman" w:hAnsi="Times New Roman" w:eastAsia="宋体" w:cs="Times New Roman"/>
          <w:bCs/>
          <w:sz w:val="24"/>
          <w:szCs w:val="24"/>
          <w:lang w:val="en-US" w:eastAsia="zh-CN"/>
        </w:rPr>
        <w:t xml:space="preserve"> </w:t>
      </w:r>
      <w:r>
        <w:rPr>
          <w:rFonts w:hint="eastAsia" w:cs="Times New Roman"/>
          <w:bCs/>
          <w:sz w:val="24"/>
          <w:szCs w:val="24"/>
          <w:lang w:val="en-US" w:eastAsia="zh-CN"/>
        </w:rPr>
        <w:t>工程占地</w:t>
      </w:r>
      <w:r>
        <w:rPr>
          <w:sz w:val="24"/>
          <w:szCs w:val="24"/>
        </w:rPr>
        <w:tab/>
      </w:r>
      <w:r>
        <w:rPr>
          <w:sz w:val="24"/>
          <w:szCs w:val="24"/>
        </w:rPr>
        <w:fldChar w:fldCharType="begin"/>
      </w:r>
      <w:r>
        <w:rPr>
          <w:sz w:val="24"/>
          <w:szCs w:val="24"/>
        </w:rPr>
        <w:instrText xml:space="preserve"> PAGEREF _Toc27446 \h </w:instrText>
      </w:r>
      <w:r>
        <w:rPr>
          <w:sz w:val="24"/>
          <w:szCs w:val="24"/>
        </w:rPr>
        <w:fldChar w:fldCharType="separate"/>
      </w:r>
      <w:r>
        <w:rPr>
          <w:sz w:val="24"/>
          <w:szCs w:val="24"/>
        </w:rPr>
        <w:t>101</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_Toc16718 </w:instrText>
      </w:r>
      <w:r>
        <w:rPr>
          <w:rFonts w:hint="default" w:ascii="Times New Roman" w:hAnsi="Times New Roman" w:eastAsia="宋体" w:cs="Times New Roman"/>
          <w:sz w:val="24"/>
          <w:szCs w:val="24"/>
        </w:rPr>
        <w:fldChar w:fldCharType="separate"/>
      </w:r>
      <w:r>
        <w:rPr>
          <w:rFonts w:hint="eastAsia" w:ascii="Times New Roman" w:hAnsi="Times New Roman" w:eastAsia="宋体" w:cs="Times New Roman"/>
          <w:bCs/>
          <w:sz w:val="24"/>
          <w:szCs w:val="24"/>
          <w:lang w:val="en-US" w:eastAsia="zh-CN"/>
        </w:rPr>
        <w:t>3.</w:t>
      </w:r>
      <w:r>
        <w:rPr>
          <w:rFonts w:hint="eastAsia" w:cs="Times New Roman"/>
          <w:bCs/>
          <w:sz w:val="24"/>
          <w:szCs w:val="24"/>
          <w:lang w:val="en-US" w:eastAsia="zh-CN"/>
        </w:rPr>
        <w:t>8</w:t>
      </w:r>
      <w:r>
        <w:rPr>
          <w:rFonts w:hint="eastAsia" w:ascii="Times New Roman" w:hAnsi="Times New Roman" w:eastAsia="宋体" w:cs="Times New Roman"/>
          <w:bCs/>
          <w:sz w:val="24"/>
          <w:szCs w:val="24"/>
          <w:lang w:val="en-US" w:eastAsia="zh-CN"/>
        </w:rPr>
        <w:t xml:space="preserve"> 施工布置环境可行性分析</w:t>
      </w:r>
      <w:r>
        <w:rPr>
          <w:sz w:val="24"/>
          <w:szCs w:val="24"/>
        </w:rPr>
        <w:tab/>
      </w:r>
      <w:r>
        <w:rPr>
          <w:sz w:val="24"/>
          <w:szCs w:val="24"/>
        </w:rPr>
        <w:fldChar w:fldCharType="begin"/>
      </w:r>
      <w:r>
        <w:rPr>
          <w:sz w:val="24"/>
          <w:szCs w:val="24"/>
        </w:rPr>
        <w:instrText xml:space="preserve"> PAGEREF _Toc16718 \h </w:instrText>
      </w:r>
      <w:r>
        <w:rPr>
          <w:sz w:val="24"/>
          <w:szCs w:val="24"/>
        </w:rPr>
        <w:fldChar w:fldCharType="separate"/>
      </w:r>
      <w:r>
        <w:rPr>
          <w:sz w:val="24"/>
          <w:szCs w:val="24"/>
        </w:rPr>
        <w:t>101</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_Toc24640 </w:instrText>
      </w:r>
      <w:r>
        <w:rPr>
          <w:rFonts w:hint="default" w:ascii="Times New Roman" w:hAnsi="Times New Roman" w:eastAsia="宋体" w:cs="Times New Roman"/>
          <w:sz w:val="24"/>
          <w:szCs w:val="24"/>
        </w:rPr>
        <w:fldChar w:fldCharType="separate"/>
      </w:r>
      <w:r>
        <w:rPr>
          <w:rFonts w:hint="eastAsia" w:ascii="Times New Roman" w:hAnsi="Times New Roman" w:eastAsia="宋体" w:cs="Times New Roman"/>
          <w:bCs/>
          <w:sz w:val="24"/>
          <w:szCs w:val="24"/>
          <w:lang w:val="en-US" w:eastAsia="zh-CN"/>
        </w:rPr>
        <w:t>3.</w:t>
      </w:r>
      <w:r>
        <w:rPr>
          <w:rFonts w:hint="eastAsia" w:cs="Times New Roman"/>
          <w:bCs/>
          <w:sz w:val="24"/>
          <w:szCs w:val="24"/>
          <w:lang w:val="en-US" w:eastAsia="zh-CN"/>
        </w:rPr>
        <w:t>9</w:t>
      </w:r>
      <w:r>
        <w:rPr>
          <w:rFonts w:hint="eastAsia" w:ascii="Times New Roman" w:hAnsi="Times New Roman" w:eastAsia="宋体" w:cs="Times New Roman"/>
          <w:bCs/>
          <w:sz w:val="24"/>
          <w:szCs w:val="24"/>
          <w:lang w:val="en-US" w:eastAsia="zh-CN"/>
        </w:rPr>
        <w:t xml:space="preserve"> 工程施工方式及时序环境合理性分析</w:t>
      </w:r>
      <w:r>
        <w:rPr>
          <w:sz w:val="24"/>
          <w:szCs w:val="24"/>
        </w:rPr>
        <w:tab/>
      </w:r>
      <w:r>
        <w:rPr>
          <w:sz w:val="24"/>
          <w:szCs w:val="24"/>
        </w:rPr>
        <w:fldChar w:fldCharType="begin"/>
      </w:r>
      <w:r>
        <w:rPr>
          <w:sz w:val="24"/>
          <w:szCs w:val="24"/>
        </w:rPr>
        <w:instrText xml:space="preserve"> PAGEREF _Toc24640 \h </w:instrText>
      </w:r>
      <w:r>
        <w:rPr>
          <w:sz w:val="24"/>
          <w:szCs w:val="24"/>
        </w:rPr>
        <w:fldChar w:fldCharType="separate"/>
      </w:r>
      <w:r>
        <w:rPr>
          <w:sz w:val="24"/>
          <w:szCs w:val="24"/>
        </w:rPr>
        <w:t>102</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_Toc4652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3.1</w:t>
      </w:r>
      <w:r>
        <w:rPr>
          <w:rFonts w:hint="eastAsia" w:cs="Times New Roman"/>
          <w:bCs/>
          <w:sz w:val="24"/>
          <w:szCs w:val="24"/>
          <w:lang w:val="en-US" w:eastAsia="zh-CN"/>
        </w:rPr>
        <w:t>0</w:t>
      </w:r>
      <w:r>
        <w:rPr>
          <w:rFonts w:hint="default" w:ascii="Times New Roman" w:hAnsi="Times New Roman" w:eastAsia="宋体" w:cs="Times New Roman"/>
          <w:bCs/>
          <w:sz w:val="24"/>
          <w:szCs w:val="24"/>
          <w:lang w:val="en-US" w:eastAsia="zh-CN"/>
        </w:rPr>
        <w:t xml:space="preserve"> 施工期影响源强分析</w:t>
      </w:r>
      <w:r>
        <w:rPr>
          <w:sz w:val="24"/>
          <w:szCs w:val="24"/>
        </w:rPr>
        <w:tab/>
      </w:r>
      <w:r>
        <w:rPr>
          <w:sz w:val="24"/>
          <w:szCs w:val="24"/>
        </w:rPr>
        <w:fldChar w:fldCharType="begin"/>
      </w:r>
      <w:r>
        <w:rPr>
          <w:sz w:val="24"/>
          <w:szCs w:val="24"/>
        </w:rPr>
        <w:instrText xml:space="preserve"> PAGEREF _Toc4652 \h </w:instrText>
      </w:r>
      <w:r>
        <w:rPr>
          <w:sz w:val="24"/>
          <w:szCs w:val="24"/>
        </w:rPr>
        <w:fldChar w:fldCharType="separate"/>
      </w:r>
      <w:r>
        <w:rPr>
          <w:sz w:val="24"/>
          <w:szCs w:val="24"/>
        </w:rPr>
        <w:t>102</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_Toc14544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3.1</w:t>
      </w:r>
      <w:r>
        <w:rPr>
          <w:rFonts w:hint="eastAsia" w:cs="Times New Roman"/>
          <w:sz w:val="24"/>
          <w:szCs w:val="24"/>
          <w:lang w:val="en-US" w:eastAsia="zh-CN"/>
        </w:rPr>
        <w:t>0</w:t>
      </w:r>
      <w:r>
        <w:rPr>
          <w:rFonts w:hint="default" w:ascii="Times New Roman" w:hAnsi="Times New Roman" w:eastAsia="宋体" w:cs="Times New Roman"/>
          <w:sz w:val="24"/>
          <w:szCs w:val="24"/>
          <w:lang w:val="en-US" w:eastAsia="zh-CN"/>
        </w:rPr>
        <w:t>.1 水环境</w:t>
      </w:r>
      <w:r>
        <w:rPr>
          <w:sz w:val="24"/>
          <w:szCs w:val="24"/>
        </w:rPr>
        <w:tab/>
      </w:r>
      <w:r>
        <w:rPr>
          <w:sz w:val="24"/>
          <w:szCs w:val="24"/>
        </w:rPr>
        <w:fldChar w:fldCharType="begin"/>
      </w:r>
      <w:r>
        <w:rPr>
          <w:sz w:val="24"/>
          <w:szCs w:val="24"/>
        </w:rPr>
        <w:instrText xml:space="preserve"> PAGEREF _Toc14544 \h </w:instrText>
      </w:r>
      <w:r>
        <w:rPr>
          <w:sz w:val="24"/>
          <w:szCs w:val="24"/>
        </w:rPr>
        <w:fldChar w:fldCharType="separate"/>
      </w:r>
      <w:r>
        <w:rPr>
          <w:sz w:val="24"/>
          <w:szCs w:val="24"/>
        </w:rPr>
        <w:t>102</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_Toc5529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3.1</w:t>
      </w:r>
      <w:r>
        <w:rPr>
          <w:rFonts w:hint="eastAsia" w:cs="Times New Roman"/>
          <w:sz w:val="24"/>
          <w:szCs w:val="24"/>
          <w:lang w:val="en-US" w:eastAsia="zh-CN"/>
        </w:rPr>
        <w:t>0</w:t>
      </w:r>
      <w:r>
        <w:rPr>
          <w:rFonts w:hint="default" w:ascii="Times New Roman" w:hAnsi="Times New Roman" w:eastAsia="宋体" w:cs="Times New Roman"/>
          <w:sz w:val="24"/>
          <w:szCs w:val="24"/>
          <w:lang w:val="en-US" w:eastAsia="zh-CN"/>
        </w:rPr>
        <w:t>.2 环境空气</w:t>
      </w:r>
      <w:r>
        <w:rPr>
          <w:sz w:val="24"/>
          <w:szCs w:val="24"/>
        </w:rPr>
        <w:tab/>
      </w:r>
      <w:r>
        <w:rPr>
          <w:sz w:val="24"/>
          <w:szCs w:val="24"/>
        </w:rPr>
        <w:fldChar w:fldCharType="begin"/>
      </w:r>
      <w:r>
        <w:rPr>
          <w:sz w:val="24"/>
          <w:szCs w:val="24"/>
        </w:rPr>
        <w:instrText xml:space="preserve"> PAGEREF _Toc5529 \h </w:instrText>
      </w:r>
      <w:r>
        <w:rPr>
          <w:sz w:val="24"/>
          <w:szCs w:val="24"/>
        </w:rPr>
        <w:fldChar w:fldCharType="separate"/>
      </w:r>
      <w:r>
        <w:rPr>
          <w:sz w:val="24"/>
          <w:szCs w:val="24"/>
        </w:rPr>
        <w:t>103</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_Toc15181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3.1</w:t>
      </w:r>
      <w:r>
        <w:rPr>
          <w:rFonts w:hint="eastAsia" w:cs="Times New Roman"/>
          <w:sz w:val="24"/>
          <w:szCs w:val="24"/>
          <w:lang w:val="en-US" w:eastAsia="zh-CN"/>
        </w:rPr>
        <w:t>0</w:t>
      </w:r>
      <w:r>
        <w:rPr>
          <w:rFonts w:hint="default" w:ascii="Times New Roman" w:hAnsi="Times New Roman" w:eastAsia="宋体" w:cs="Times New Roman"/>
          <w:sz w:val="24"/>
          <w:szCs w:val="24"/>
          <w:lang w:val="en-US" w:eastAsia="zh-CN"/>
        </w:rPr>
        <w:t>.3 噪声</w:t>
      </w:r>
      <w:r>
        <w:rPr>
          <w:sz w:val="24"/>
          <w:szCs w:val="24"/>
        </w:rPr>
        <w:tab/>
      </w:r>
      <w:r>
        <w:rPr>
          <w:sz w:val="24"/>
          <w:szCs w:val="24"/>
        </w:rPr>
        <w:fldChar w:fldCharType="begin"/>
      </w:r>
      <w:r>
        <w:rPr>
          <w:sz w:val="24"/>
          <w:szCs w:val="24"/>
        </w:rPr>
        <w:instrText xml:space="preserve"> PAGEREF _Toc15181 \h </w:instrText>
      </w:r>
      <w:r>
        <w:rPr>
          <w:sz w:val="24"/>
          <w:szCs w:val="24"/>
        </w:rPr>
        <w:fldChar w:fldCharType="separate"/>
      </w:r>
      <w:r>
        <w:rPr>
          <w:sz w:val="24"/>
          <w:szCs w:val="24"/>
        </w:rPr>
        <w:t>104</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_Toc19319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3.1</w:t>
      </w:r>
      <w:r>
        <w:rPr>
          <w:rFonts w:hint="eastAsia" w:cs="Times New Roman"/>
          <w:sz w:val="24"/>
          <w:szCs w:val="24"/>
          <w:lang w:val="en-US" w:eastAsia="zh-CN"/>
        </w:rPr>
        <w:t>0</w:t>
      </w:r>
      <w:r>
        <w:rPr>
          <w:rFonts w:hint="default" w:ascii="Times New Roman" w:hAnsi="Times New Roman" w:eastAsia="宋体" w:cs="Times New Roman"/>
          <w:sz w:val="24"/>
          <w:szCs w:val="24"/>
          <w:lang w:val="en-US" w:eastAsia="zh-CN"/>
        </w:rPr>
        <w:t>.4 固体废物</w:t>
      </w:r>
      <w:r>
        <w:rPr>
          <w:sz w:val="24"/>
          <w:szCs w:val="24"/>
        </w:rPr>
        <w:tab/>
      </w:r>
      <w:r>
        <w:rPr>
          <w:sz w:val="24"/>
          <w:szCs w:val="24"/>
        </w:rPr>
        <w:fldChar w:fldCharType="begin"/>
      </w:r>
      <w:r>
        <w:rPr>
          <w:sz w:val="24"/>
          <w:szCs w:val="24"/>
        </w:rPr>
        <w:instrText xml:space="preserve"> PAGEREF _Toc19319 \h </w:instrText>
      </w:r>
      <w:r>
        <w:rPr>
          <w:sz w:val="24"/>
          <w:szCs w:val="24"/>
        </w:rPr>
        <w:fldChar w:fldCharType="separate"/>
      </w:r>
      <w:r>
        <w:rPr>
          <w:sz w:val="24"/>
          <w:szCs w:val="24"/>
        </w:rPr>
        <w:t>105</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_Toc14044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3.1</w:t>
      </w:r>
      <w:r>
        <w:rPr>
          <w:rFonts w:hint="eastAsia" w:cs="Times New Roman"/>
          <w:sz w:val="24"/>
          <w:szCs w:val="24"/>
          <w:lang w:val="en-US" w:eastAsia="zh-CN"/>
        </w:rPr>
        <w:t>0</w:t>
      </w:r>
      <w:r>
        <w:rPr>
          <w:rFonts w:hint="default" w:ascii="Times New Roman" w:hAnsi="Times New Roman" w:eastAsia="宋体" w:cs="Times New Roman"/>
          <w:sz w:val="24"/>
          <w:szCs w:val="24"/>
          <w:lang w:val="en-US" w:eastAsia="zh-CN"/>
        </w:rPr>
        <w:t>.5 生态环境</w:t>
      </w:r>
      <w:r>
        <w:rPr>
          <w:sz w:val="24"/>
          <w:szCs w:val="24"/>
        </w:rPr>
        <w:tab/>
      </w:r>
      <w:r>
        <w:rPr>
          <w:sz w:val="24"/>
          <w:szCs w:val="24"/>
        </w:rPr>
        <w:fldChar w:fldCharType="begin"/>
      </w:r>
      <w:r>
        <w:rPr>
          <w:sz w:val="24"/>
          <w:szCs w:val="24"/>
        </w:rPr>
        <w:instrText xml:space="preserve"> PAGEREF _Toc14044 \h </w:instrText>
      </w:r>
      <w:r>
        <w:rPr>
          <w:sz w:val="24"/>
          <w:szCs w:val="24"/>
        </w:rPr>
        <w:fldChar w:fldCharType="separate"/>
      </w:r>
      <w:r>
        <w:rPr>
          <w:sz w:val="24"/>
          <w:szCs w:val="24"/>
        </w:rPr>
        <w:t>105</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_Toc499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3.1</w:t>
      </w:r>
      <w:r>
        <w:rPr>
          <w:rFonts w:hint="eastAsia" w:cs="Times New Roman"/>
          <w:sz w:val="24"/>
          <w:szCs w:val="24"/>
          <w:lang w:val="en-US" w:eastAsia="zh-CN"/>
        </w:rPr>
        <w:t>0</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6</w:t>
      </w:r>
      <w:r>
        <w:rPr>
          <w:rFonts w:hint="default" w:ascii="Times New Roman" w:hAnsi="Times New Roman" w:eastAsia="宋体" w:cs="Times New Roman"/>
          <w:sz w:val="24"/>
          <w:szCs w:val="24"/>
          <w:lang w:val="en-US" w:eastAsia="zh-CN"/>
        </w:rPr>
        <w:t xml:space="preserve"> 施工期污染源强</w:t>
      </w:r>
      <w:r>
        <w:rPr>
          <w:sz w:val="24"/>
          <w:szCs w:val="24"/>
        </w:rPr>
        <w:tab/>
      </w:r>
      <w:r>
        <w:rPr>
          <w:sz w:val="24"/>
          <w:szCs w:val="24"/>
        </w:rPr>
        <w:fldChar w:fldCharType="begin"/>
      </w:r>
      <w:r>
        <w:rPr>
          <w:sz w:val="24"/>
          <w:szCs w:val="24"/>
        </w:rPr>
        <w:instrText xml:space="preserve"> PAGEREF _Toc499 \h </w:instrText>
      </w:r>
      <w:r>
        <w:rPr>
          <w:sz w:val="24"/>
          <w:szCs w:val="24"/>
        </w:rPr>
        <w:fldChar w:fldCharType="separate"/>
      </w:r>
      <w:r>
        <w:rPr>
          <w:sz w:val="24"/>
          <w:szCs w:val="24"/>
        </w:rPr>
        <w:t>105</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_Toc5643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3.1</w:t>
      </w:r>
      <w:r>
        <w:rPr>
          <w:rFonts w:hint="eastAsia" w:cs="Times New Roman"/>
          <w:sz w:val="24"/>
          <w:szCs w:val="24"/>
          <w:lang w:val="en-US" w:eastAsia="zh-CN"/>
        </w:rPr>
        <w:t>1</w:t>
      </w:r>
      <w:r>
        <w:rPr>
          <w:rFonts w:hint="default" w:ascii="Times New Roman" w:hAnsi="Times New Roman" w:eastAsia="宋体" w:cs="Times New Roman"/>
          <w:sz w:val="24"/>
          <w:szCs w:val="24"/>
          <w:lang w:val="en-US" w:eastAsia="zh-CN"/>
        </w:rPr>
        <w:t xml:space="preserve"> 运营期影响源强分析</w:t>
      </w:r>
      <w:r>
        <w:rPr>
          <w:sz w:val="24"/>
          <w:szCs w:val="24"/>
        </w:rPr>
        <w:tab/>
      </w:r>
      <w:r>
        <w:rPr>
          <w:sz w:val="24"/>
          <w:szCs w:val="24"/>
        </w:rPr>
        <w:fldChar w:fldCharType="begin"/>
      </w:r>
      <w:r>
        <w:rPr>
          <w:sz w:val="24"/>
          <w:szCs w:val="24"/>
        </w:rPr>
        <w:instrText xml:space="preserve"> PAGEREF _Toc5643 \h </w:instrText>
      </w:r>
      <w:r>
        <w:rPr>
          <w:sz w:val="24"/>
          <w:szCs w:val="24"/>
        </w:rPr>
        <w:fldChar w:fldCharType="separate"/>
      </w:r>
      <w:r>
        <w:rPr>
          <w:sz w:val="24"/>
          <w:szCs w:val="24"/>
        </w:rPr>
        <w:t>106</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_Toc25109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3.1</w:t>
      </w:r>
      <w:r>
        <w:rPr>
          <w:rFonts w:hint="eastAsia" w:cs="Times New Roman"/>
          <w:sz w:val="24"/>
          <w:szCs w:val="24"/>
          <w:lang w:val="en-US" w:eastAsia="zh-CN"/>
        </w:rPr>
        <w:t>1</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1</w:t>
      </w:r>
      <w:r>
        <w:rPr>
          <w:rFonts w:hint="default" w:ascii="Times New Roman" w:hAnsi="Times New Roman" w:eastAsia="宋体" w:cs="Times New Roman"/>
          <w:sz w:val="24"/>
          <w:szCs w:val="24"/>
          <w:lang w:val="en-US" w:eastAsia="zh-CN"/>
        </w:rPr>
        <w:t xml:space="preserve"> 水环境</w:t>
      </w:r>
      <w:r>
        <w:rPr>
          <w:sz w:val="24"/>
          <w:szCs w:val="24"/>
        </w:rPr>
        <w:tab/>
      </w:r>
      <w:r>
        <w:rPr>
          <w:sz w:val="24"/>
          <w:szCs w:val="24"/>
        </w:rPr>
        <w:fldChar w:fldCharType="begin"/>
      </w:r>
      <w:r>
        <w:rPr>
          <w:sz w:val="24"/>
          <w:szCs w:val="24"/>
        </w:rPr>
        <w:instrText xml:space="preserve"> PAGEREF _Toc25109 \h </w:instrText>
      </w:r>
      <w:r>
        <w:rPr>
          <w:sz w:val="24"/>
          <w:szCs w:val="24"/>
        </w:rPr>
        <w:fldChar w:fldCharType="separate"/>
      </w:r>
      <w:r>
        <w:rPr>
          <w:sz w:val="24"/>
          <w:szCs w:val="24"/>
        </w:rPr>
        <w:t>106</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_Toc27571 </w:instrText>
      </w:r>
      <w:r>
        <w:rPr>
          <w:rFonts w:hint="default" w:ascii="Times New Roman" w:hAnsi="Times New Roman" w:eastAsia="宋体" w:cs="Times New Roman"/>
          <w:sz w:val="24"/>
          <w:szCs w:val="24"/>
        </w:rPr>
        <w:fldChar w:fldCharType="separate"/>
      </w:r>
      <w:r>
        <w:rPr>
          <w:rFonts w:hint="eastAsia" w:cs="Times New Roman"/>
          <w:sz w:val="24"/>
          <w:szCs w:val="24"/>
          <w:lang w:val="en-US" w:eastAsia="zh-CN"/>
        </w:rPr>
        <w:t>3.11.2环境空气</w:t>
      </w:r>
      <w:r>
        <w:rPr>
          <w:sz w:val="24"/>
          <w:szCs w:val="24"/>
        </w:rPr>
        <w:tab/>
      </w:r>
      <w:r>
        <w:rPr>
          <w:sz w:val="24"/>
          <w:szCs w:val="24"/>
        </w:rPr>
        <w:fldChar w:fldCharType="begin"/>
      </w:r>
      <w:r>
        <w:rPr>
          <w:sz w:val="24"/>
          <w:szCs w:val="24"/>
        </w:rPr>
        <w:instrText xml:space="preserve"> PAGEREF _Toc27571 \h </w:instrText>
      </w:r>
      <w:r>
        <w:rPr>
          <w:sz w:val="24"/>
          <w:szCs w:val="24"/>
        </w:rPr>
        <w:fldChar w:fldCharType="separate"/>
      </w:r>
      <w:r>
        <w:rPr>
          <w:sz w:val="24"/>
          <w:szCs w:val="24"/>
        </w:rPr>
        <w:t>106</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_Toc12698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3.1</w:t>
      </w:r>
      <w:r>
        <w:rPr>
          <w:rFonts w:hint="eastAsia" w:cs="Times New Roman"/>
          <w:sz w:val="24"/>
          <w:szCs w:val="24"/>
          <w:lang w:val="en-US" w:eastAsia="zh-CN"/>
        </w:rPr>
        <w:t>1</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3</w:t>
      </w:r>
      <w:r>
        <w:rPr>
          <w:rFonts w:hint="default" w:ascii="Times New Roman" w:hAnsi="Times New Roman" w:eastAsia="宋体" w:cs="Times New Roman"/>
          <w:sz w:val="24"/>
          <w:szCs w:val="24"/>
          <w:lang w:val="en-US" w:eastAsia="zh-CN"/>
        </w:rPr>
        <w:t xml:space="preserve"> 声环境</w:t>
      </w:r>
      <w:r>
        <w:rPr>
          <w:sz w:val="24"/>
          <w:szCs w:val="24"/>
        </w:rPr>
        <w:tab/>
      </w:r>
      <w:r>
        <w:rPr>
          <w:sz w:val="24"/>
          <w:szCs w:val="24"/>
        </w:rPr>
        <w:fldChar w:fldCharType="begin"/>
      </w:r>
      <w:r>
        <w:rPr>
          <w:sz w:val="24"/>
          <w:szCs w:val="24"/>
        </w:rPr>
        <w:instrText xml:space="preserve"> PAGEREF _Toc12698 \h </w:instrText>
      </w:r>
      <w:r>
        <w:rPr>
          <w:sz w:val="24"/>
          <w:szCs w:val="24"/>
        </w:rPr>
        <w:fldChar w:fldCharType="separate"/>
      </w:r>
      <w:r>
        <w:rPr>
          <w:sz w:val="24"/>
          <w:szCs w:val="24"/>
        </w:rPr>
        <w:t>106</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_Toc29650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3.1</w:t>
      </w:r>
      <w:r>
        <w:rPr>
          <w:rFonts w:hint="eastAsia" w:cs="Times New Roman"/>
          <w:sz w:val="24"/>
          <w:szCs w:val="24"/>
          <w:lang w:val="en-US" w:eastAsia="zh-CN"/>
        </w:rPr>
        <w:t>1</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4</w:t>
      </w:r>
      <w:r>
        <w:rPr>
          <w:rFonts w:hint="default" w:ascii="Times New Roman" w:hAnsi="Times New Roman" w:eastAsia="宋体" w:cs="Times New Roman"/>
          <w:sz w:val="24"/>
          <w:szCs w:val="24"/>
          <w:lang w:val="en-US" w:eastAsia="zh-CN"/>
        </w:rPr>
        <w:t xml:space="preserve"> 固废</w:t>
      </w:r>
      <w:r>
        <w:rPr>
          <w:sz w:val="24"/>
          <w:szCs w:val="24"/>
        </w:rPr>
        <w:tab/>
      </w:r>
      <w:r>
        <w:rPr>
          <w:sz w:val="24"/>
          <w:szCs w:val="24"/>
        </w:rPr>
        <w:fldChar w:fldCharType="begin"/>
      </w:r>
      <w:r>
        <w:rPr>
          <w:sz w:val="24"/>
          <w:szCs w:val="24"/>
        </w:rPr>
        <w:instrText xml:space="preserve"> PAGEREF _Toc29650 \h </w:instrText>
      </w:r>
      <w:r>
        <w:rPr>
          <w:sz w:val="24"/>
          <w:szCs w:val="24"/>
        </w:rPr>
        <w:fldChar w:fldCharType="separate"/>
      </w:r>
      <w:r>
        <w:rPr>
          <w:sz w:val="24"/>
          <w:szCs w:val="24"/>
        </w:rPr>
        <w:t>106</w:t>
      </w:r>
      <w:r>
        <w:rPr>
          <w:sz w:val="24"/>
          <w:szCs w:val="24"/>
        </w:rPr>
        <w:fldChar w:fldCharType="end"/>
      </w:r>
      <w:r>
        <w:rPr>
          <w:rFonts w:hint="default" w:ascii="Times New Roman" w:hAnsi="Times New Roman" w:eastAsia="宋体" w:cs="Times New Roman"/>
          <w:color w:val="auto"/>
          <w:sz w:val="24"/>
          <w:szCs w:val="24"/>
        </w:rPr>
        <w:fldChar w:fldCharType="end"/>
      </w:r>
    </w:p>
    <w:p>
      <w:pPr>
        <w:pStyle w:val="35"/>
        <w:keepNext w:val="0"/>
        <w:keepLines w:val="0"/>
        <w:pageBreakBefore w:val="0"/>
        <w:tabs>
          <w:tab w:val="right" w:leader="dot" w:pos="9070"/>
          <w:tab w:val="clear" w:pos="906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_Toc31956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4环境现状调查与评价</w:t>
      </w:r>
      <w:r>
        <w:rPr>
          <w:sz w:val="24"/>
          <w:szCs w:val="24"/>
        </w:rPr>
        <w:tab/>
      </w:r>
      <w:r>
        <w:rPr>
          <w:sz w:val="24"/>
          <w:szCs w:val="24"/>
        </w:rPr>
        <w:fldChar w:fldCharType="begin"/>
      </w:r>
      <w:r>
        <w:rPr>
          <w:sz w:val="24"/>
          <w:szCs w:val="24"/>
        </w:rPr>
        <w:instrText xml:space="preserve"> PAGEREF _Toc31956 \h </w:instrText>
      </w:r>
      <w:r>
        <w:rPr>
          <w:sz w:val="24"/>
          <w:szCs w:val="24"/>
        </w:rPr>
        <w:fldChar w:fldCharType="separate"/>
      </w:r>
      <w:r>
        <w:rPr>
          <w:sz w:val="24"/>
          <w:szCs w:val="24"/>
        </w:rPr>
        <w:t>107</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_Toc4220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4.1自然环境状况</w:t>
      </w:r>
      <w:r>
        <w:rPr>
          <w:sz w:val="24"/>
          <w:szCs w:val="24"/>
        </w:rPr>
        <w:tab/>
      </w:r>
      <w:r>
        <w:rPr>
          <w:sz w:val="24"/>
          <w:szCs w:val="24"/>
        </w:rPr>
        <w:fldChar w:fldCharType="begin"/>
      </w:r>
      <w:r>
        <w:rPr>
          <w:sz w:val="24"/>
          <w:szCs w:val="24"/>
        </w:rPr>
        <w:instrText xml:space="preserve"> PAGEREF _Toc4220 \h </w:instrText>
      </w:r>
      <w:r>
        <w:rPr>
          <w:sz w:val="24"/>
          <w:szCs w:val="24"/>
        </w:rPr>
        <w:fldChar w:fldCharType="separate"/>
      </w:r>
      <w:r>
        <w:rPr>
          <w:sz w:val="24"/>
          <w:szCs w:val="24"/>
        </w:rPr>
        <w:t>107</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_Toc12395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4.1.1</w:t>
      </w:r>
      <w:r>
        <w:rPr>
          <w:rFonts w:hint="default" w:ascii="Times New Roman" w:hAnsi="Times New Roman" w:eastAsia="宋体" w:cs="Times New Roman"/>
          <w:sz w:val="24"/>
          <w:szCs w:val="24"/>
          <w:lang w:val="en-US" w:eastAsia="zh-CN"/>
        </w:rPr>
        <w:t>自然概况</w:t>
      </w:r>
      <w:r>
        <w:rPr>
          <w:sz w:val="24"/>
          <w:szCs w:val="24"/>
        </w:rPr>
        <w:tab/>
      </w:r>
      <w:r>
        <w:rPr>
          <w:sz w:val="24"/>
          <w:szCs w:val="24"/>
        </w:rPr>
        <w:fldChar w:fldCharType="begin"/>
      </w:r>
      <w:r>
        <w:rPr>
          <w:sz w:val="24"/>
          <w:szCs w:val="24"/>
        </w:rPr>
        <w:instrText xml:space="preserve"> PAGEREF _Toc12395 \h </w:instrText>
      </w:r>
      <w:r>
        <w:rPr>
          <w:sz w:val="24"/>
          <w:szCs w:val="24"/>
        </w:rPr>
        <w:fldChar w:fldCharType="separate"/>
      </w:r>
      <w:r>
        <w:rPr>
          <w:sz w:val="24"/>
          <w:szCs w:val="24"/>
        </w:rPr>
        <w:t>107</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_Toc19219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4.1.</w:t>
      </w:r>
      <w:r>
        <w:rPr>
          <w:rFonts w:hint="default" w:ascii="Times New Roman" w:hAnsi="Times New Roman" w:eastAsia="宋体" w:cs="Times New Roman"/>
          <w:sz w:val="24"/>
          <w:szCs w:val="24"/>
          <w:lang w:val="en-US" w:eastAsia="zh-CN"/>
        </w:rPr>
        <w:t>2社会环境概况</w:t>
      </w:r>
      <w:r>
        <w:rPr>
          <w:sz w:val="24"/>
          <w:szCs w:val="24"/>
        </w:rPr>
        <w:tab/>
      </w:r>
      <w:r>
        <w:rPr>
          <w:sz w:val="24"/>
          <w:szCs w:val="24"/>
        </w:rPr>
        <w:fldChar w:fldCharType="begin"/>
      </w:r>
      <w:r>
        <w:rPr>
          <w:sz w:val="24"/>
          <w:szCs w:val="24"/>
        </w:rPr>
        <w:instrText xml:space="preserve"> PAGEREF _Toc19219 \h </w:instrText>
      </w:r>
      <w:r>
        <w:rPr>
          <w:sz w:val="24"/>
          <w:szCs w:val="24"/>
        </w:rPr>
        <w:fldChar w:fldCharType="separate"/>
      </w:r>
      <w:r>
        <w:rPr>
          <w:sz w:val="24"/>
          <w:szCs w:val="24"/>
        </w:rPr>
        <w:t>112</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_Toc10797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4.2环境现状调查与评价</w:t>
      </w:r>
      <w:r>
        <w:rPr>
          <w:sz w:val="24"/>
          <w:szCs w:val="24"/>
        </w:rPr>
        <w:tab/>
      </w:r>
      <w:r>
        <w:rPr>
          <w:sz w:val="24"/>
          <w:szCs w:val="24"/>
        </w:rPr>
        <w:fldChar w:fldCharType="begin"/>
      </w:r>
      <w:r>
        <w:rPr>
          <w:sz w:val="24"/>
          <w:szCs w:val="24"/>
        </w:rPr>
        <w:instrText xml:space="preserve"> PAGEREF _Toc10797 \h </w:instrText>
      </w:r>
      <w:r>
        <w:rPr>
          <w:sz w:val="24"/>
          <w:szCs w:val="24"/>
        </w:rPr>
        <w:fldChar w:fldCharType="separate"/>
      </w:r>
      <w:r>
        <w:rPr>
          <w:sz w:val="24"/>
          <w:szCs w:val="24"/>
        </w:rPr>
        <w:t>116</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_Toc25691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4.2.1大气环境现状监测与评价</w:t>
      </w:r>
      <w:r>
        <w:rPr>
          <w:sz w:val="24"/>
          <w:szCs w:val="24"/>
        </w:rPr>
        <w:tab/>
      </w:r>
      <w:r>
        <w:rPr>
          <w:sz w:val="24"/>
          <w:szCs w:val="24"/>
        </w:rPr>
        <w:fldChar w:fldCharType="begin"/>
      </w:r>
      <w:r>
        <w:rPr>
          <w:sz w:val="24"/>
          <w:szCs w:val="24"/>
        </w:rPr>
        <w:instrText xml:space="preserve"> PAGEREF _Toc25691 \h </w:instrText>
      </w:r>
      <w:r>
        <w:rPr>
          <w:sz w:val="24"/>
          <w:szCs w:val="24"/>
        </w:rPr>
        <w:fldChar w:fldCharType="separate"/>
      </w:r>
      <w:r>
        <w:rPr>
          <w:sz w:val="24"/>
          <w:szCs w:val="24"/>
        </w:rPr>
        <w:t>116</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_Toc16717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4.2.</w:t>
      </w:r>
      <w:r>
        <w:rPr>
          <w:rFonts w:hint="eastAsia" w:cs="Times New Roman"/>
          <w:sz w:val="24"/>
          <w:szCs w:val="24"/>
          <w:lang w:val="en-US" w:eastAsia="zh-CN"/>
        </w:rPr>
        <w:t>2</w:t>
      </w:r>
      <w:r>
        <w:rPr>
          <w:rFonts w:hint="default" w:ascii="Times New Roman" w:hAnsi="Times New Roman" w:eastAsia="宋体" w:cs="Times New Roman"/>
          <w:sz w:val="24"/>
          <w:szCs w:val="24"/>
        </w:rPr>
        <w:t>生态现状与评价</w:t>
      </w:r>
      <w:r>
        <w:rPr>
          <w:sz w:val="24"/>
          <w:szCs w:val="24"/>
        </w:rPr>
        <w:tab/>
      </w:r>
      <w:r>
        <w:rPr>
          <w:sz w:val="24"/>
          <w:szCs w:val="24"/>
        </w:rPr>
        <w:fldChar w:fldCharType="begin"/>
      </w:r>
      <w:r>
        <w:rPr>
          <w:sz w:val="24"/>
          <w:szCs w:val="24"/>
        </w:rPr>
        <w:instrText xml:space="preserve"> PAGEREF _Toc16717 \h </w:instrText>
      </w:r>
      <w:r>
        <w:rPr>
          <w:sz w:val="24"/>
          <w:szCs w:val="24"/>
        </w:rPr>
        <w:fldChar w:fldCharType="separate"/>
      </w:r>
      <w:r>
        <w:rPr>
          <w:sz w:val="24"/>
          <w:szCs w:val="24"/>
        </w:rPr>
        <w:t>117</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_Toc4657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4.2.</w:t>
      </w:r>
      <w:r>
        <w:rPr>
          <w:rFonts w:hint="eastAsia" w:cs="Times New Roman"/>
          <w:sz w:val="24"/>
          <w:szCs w:val="24"/>
          <w:lang w:val="en-US" w:eastAsia="zh-CN"/>
        </w:rPr>
        <w:t>3</w:t>
      </w:r>
      <w:r>
        <w:rPr>
          <w:rFonts w:hint="default" w:ascii="Times New Roman" w:hAnsi="Times New Roman" w:eastAsia="宋体" w:cs="Times New Roman"/>
          <w:sz w:val="24"/>
          <w:szCs w:val="24"/>
        </w:rPr>
        <w:t>地表水环境现状监测与评价</w:t>
      </w:r>
      <w:r>
        <w:rPr>
          <w:sz w:val="24"/>
          <w:szCs w:val="24"/>
        </w:rPr>
        <w:tab/>
      </w:r>
      <w:r>
        <w:rPr>
          <w:sz w:val="24"/>
          <w:szCs w:val="24"/>
        </w:rPr>
        <w:fldChar w:fldCharType="begin"/>
      </w:r>
      <w:r>
        <w:rPr>
          <w:sz w:val="24"/>
          <w:szCs w:val="24"/>
        </w:rPr>
        <w:instrText xml:space="preserve"> PAGEREF _Toc4657 \h </w:instrText>
      </w:r>
      <w:r>
        <w:rPr>
          <w:sz w:val="24"/>
          <w:szCs w:val="24"/>
        </w:rPr>
        <w:fldChar w:fldCharType="separate"/>
      </w:r>
      <w:r>
        <w:rPr>
          <w:sz w:val="24"/>
          <w:szCs w:val="24"/>
        </w:rPr>
        <w:t>121</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_Toc2506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4.2.</w:t>
      </w:r>
      <w:r>
        <w:rPr>
          <w:rFonts w:hint="eastAsia" w:cs="Times New Roman"/>
          <w:sz w:val="24"/>
          <w:szCs w:val="24"/>
          <w:lang w:val="en-US" w:eastAsia="zh-CN"/>
        </w:rPr>
        <w:t>4</w:t>
      </w:r>
      <w:r>
        <w:rPr>
          <w:rFonts w:hint="default" w:ascii="Times New Roman" w:hAnsi="Times New Roman" w:eastAsia="宋体" w:cs="Times New Roman"/>
          <w:sz w:val="24"/>
          <w:szCs w:val="24"/>
        </w:rPr>
        <w:t>声环境现状监测与评价</w:t>
      </w:r>
      <w:r>
        <w:rPr>
          <w:sz w:val="24"/>
          <w:szCs w:val="24"/>
        </w:rPr>
        <w:tab/>
      </w:r>
      <w:r>
        <w:rPr>
          <w:sz w:val="24"/>
          <w:szCs w:val="24"/>
        </w:rPr>
        <w:fldChar w:fldCharType="begin"/>
      </w:r>
      <w:r>
        <w:rPr>
          <w:sz w:val="24"/>
          <w:szCs w:val="24"/>
        </w:rPr>
        <w:instrText xml:space="preserve"> PAGEREF _Toc2506 \h </w:instrText>
      </w:r>
      <w:r>
        <w:rPr>
          <w:sz w:val="24"/>
          <w:szCs w:val="24"/>
        </w:rPr>
        <w:fldChar w:fldCharType="separate"/>
      </w:r>
      <w:r>
        <w:rPr>
          <w:sz w:val="24"/>
          <w:szCs w:val="24"/>
        </w:rPr>
        <w:t>130</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_Toc16358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4.2.</w:t>
      </w:r>
      <w:r>
        <w:rPr>
          <w:rFonts w:hint="eastAsia" w:cs="Times New Roman"/>
          <w:sz w:val="24"/>
          <w:szCs w:val="24"/>
          <w:lang w:val="en-US" w:eastAsia="zh-CN"/>
        </w:rPr>
        <w:t>5</w:t>
      </w:r>
      <w:r>
        <w:rPr>
          <w:rFonts w:hint="default" w:ascii="Times New Roman" w:hAnsi="Times New Roman" w:eastAsia="宋体" w:cs="Times New Roman"/>
          <w:sz w:val="24"/>
          <w:szCs w:val="24"/>
        </w:rPr>
        <w:t>底泥现状与评价</w:t>
      </w:r>
      <w:r>
        <w:rPr>
          <w:sz w:val="24"/>
          <w:szCs w:val="24"/>
        </w:rPr>
        <w:tab/>
      </w:r>
      <w:r>
        <w:rPr>
          <w:sz w:val="24"/>
          <w:szCs w:val="24"/>
        </w:rPr>
        <w:fldChar w:fldCharType="begin"/>
      </w:r>
      <w:r>
        <w:rPr>
          <w:sz w:val="24"/>
          <w:szCs w:val="24"/>
        </w:rPr>
        <w:instrText xml:space="preserve"> PAGEREF _Toc16358 \h </w:instrText>
      </w:r>
      <w:r>
        <w:rPr>
          <w:sz w:val="24"/>
          <w:szCs w:val="24"/>
        </w:rPr>
        <w:fldChar w:fldCharType="separate"/>
      </w:r>
      <w:r>
        <w:rPr>
          <w:sz w:val="24"/>
          <w:szCs w:val="24"/>
        </w:rPr>
        <w:t>131</w:t>
      </w:r>
      <w:r>
        <w:rPr>
          <w:sz w:val="24"/>
          <w:szCs w:val="24"/>
        </w:rPr>
        <w:fldChar w:fldCharType="end"/>
      </w:r>
      <w:r>
        <w:rPr>
          <w:rFonts w:hint="default" w:ascii="Times New Roman" w:hAnsi="Times New Roman" w:eastAsia="宋体" w:cs="Times New Roman"/>
          <w:color w:val="auto"/>
          <w:sz w:val="24"/>
          <w:szCs w:val="24"/>
        </w:rPr>
        <w:fldChar w:fldCharType="end"/>
      </w:r>
    </w:p>
    <w:p>
      <w:pPr>
        <w:pStyle w:val="35"/>
        <w:keepNext w:val="0"/>
        <w:keepLines w:val="0"/>
        <w:pageBreakBefore w:val="0"/>
        <w:tabs>
          <w:tab w:val="right" w:leader="dot" w:pos="9070"/>
          <w:tab w:val="clear" w:pos="906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_Toc29645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5环境影响</w:t>
      </w:r>
      <w:r>
        <w:rPr>
          <w:rFonts w:hint="default" w:ascii="Times New Roman" w:hAnsi="Times New Roman" w:eastAsia="宋体" w:cs="Times New Roman"/>
          <w:sz w:val="24"/>
          <w:szCs w:val="24"/>
          <w:lang w:val="en-US" w:eastAsia="zh-CN"/>
        </w:rPr>
        <w:t>预测与评价</w:t>
      </w:r>
      <w:r>
        <w:rPr>
          <w:sz w:val="24"/>
          <w:szCs w:val="24"/>
        </w:rPr>
        <w:tab/>
      </w:r>
      <w:r>
        <w:rPr>
          <w:sz w:val="24"/>
          <w:szCs w:val="24"/>
        </w:rPr>
        <w:fldChar w:fldCharType="begin"/>
      </w:r>
      <w:r>
        <w:rPr>
          <w:sz w:val="24"/>
          <w:szCs w:val="24"/>
        </w:rPr>
        <w:instrText xml:space="preserve"> PAGEREF _Toc29645 \h </w:instrText>
      </w:r>
      <w:r>
        <w:rPr>
          <w:sz w:val="24"/>
          <w:szCs w:val="24"/>
        </w:rPr>
        <w:fldChar w:fldCharType="separate"/>
      </w:r>
      <w:r>
        <w:rPr>
          <w:sz w:val="24"/>
          <w:szCs w:val="24"/>
        </w:rPr>
        <w:t>134</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_Toc3730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rPr>
        <w:t>5.1</w:t>
      </w:r>
      <w:r>
        <w:rPr>
          <w:rFonts w:hint="default" w:ascii="Times New Roman" w:hAnsi="Times New Roman" w:eastAsia="宋体" w:cs="Times New Roman"/>
          <w:bCs/>
          <w:sz w:val="24"/>
          <w:szCs w:val="24"/>
          <w:lang w:val="en-US" w:eastAsia="zh-CN"/>
        </w:rPr>
        <w:t>环境空气影响预测与评价</w:t>
      </w:r>
      <w:r>
        <w:rPr>
          <w:sz w:val="24"/>
          <w:szCs w:val="24"/>
        </w:rPr>
        <w:tab/>
      </w:r>
      <w:r>
        <w:rPr>
          <w:sz w:val="24"/>
          <w:szCs w:val="24"/>
        </w:rPr>
        <w:fldChar w:fldCharType="begin"/>
      </w:r>
      <w:r>
        <w:rPr>
          <w:sz w:val="24"/>
          <w:szCs w:val="24"/>
        </w:rPr>
        <w:instrText xml:space="preserve"> PAGEREF _Toc3730 \h </w:instrText>
      </w:r>
      <w:r>
        <w:rPr>
          <w:sz w:val="24"/>
          <w:szCs w:val="24"/>
        </w:rPr>
        <w:fldChar w:fldCharType="separate"/>
      </w:r>
      <w:r>
        <w:rPr>
          <w:sz w:val="24"/>
          <w:szCs w:val="24"/>
        </w:rPr>
        <w:t>134</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_Toc12101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rPr>
        <w:t>5.2水环境影响预测与评价</w:t>
      </w:r>
      <w:r>
        <w:rPr>
          <w:sz w:val="24"/>
          <w:szCs w:val="24"/>
        </w:rPr>
        <w:tab/>
      </w:r>
      <w:r>
        <w:rPr>
          <w:sz w:val="24"/>
          <w:szCs w:val="24"/>
        </w:rPr>
        <w:fldChar w:fldCharType="begin"/>
      </w:r>
      <w:r>
        <w:rPr>
          <w:sz w:val="24"/>
          <w:szCs w:val="24"/>
        </w:rPr>
        <w:instrText xml:space="preserve"> PAGEREF _Toc12101 \h </w:instrText>
      </w:r>
      <w:r>
        <w:rPr>
          <w:sz w:val="24"/>
          <w:szCs w:val="24"/>
        </w:rPr>
        <w:fldChar w:fldCharType="separate"/>
      </w:r>
      <w:r>
        <w:rPr>
          <w:sz w:val="24"/>
          <w:szCs w:val="24"/>
        </w:rPr>
        <w:t>135</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_Toc31961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5.2.1水环境预测模型</w:t>
      </w:r>
      <w:r>
        <w:rPr>
          <w:sz w:val="24"/>
          <w:szCs w:val="24"/>
        </w:rPr>
        <w:tab/>
      </w:r>
      <w:r>
        <w:rPr>
          <w:sz w:val="24"/>
          <w:szCs w:val="24"/>
        </w:rPr>
        <w:fldChar w:fldCharType="begin"/>
      </w:r>
      <w:r>
        <w:rPr>
          <w:sz w:val="24"/>
          <w:szCs w:val="24"/>
        </w:rPr>
        <w:instrText xml:space="preserve"> PAGEREF _Toc31961 \h </w:instrText>
      </w:r>
      <w:r>
        <w:rPr>
          <w:sz w:val="24"/>
          <w:szCs w:val="24"/>
        </w:rPr>
        <w:fldChar w:fldCharType="separate"/>
      </w:r>
      <w:r>
        <w:rPr>
          <w:sz w:val="24"/>
          <w:szCs w:val="24"/>
        </w:rPr>
        <w:t>135</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_Toc15622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rPr>
        <w:t>5.3声环境影响预测与评价</w:t>
      </w:r>
      <w:r>
        <w:rPr>
          <w:sz w:val="24"/>
          <w:szCs w:val="24"/>
        </w:rPr>
        <w:tab/>
      </w:r>
      <w:r>
        <w:rPr>
          <w:sz w:val="24"/>
          <w:szCs w:val="24"/>
        </w:rPr>
        <w:fldChar w:fldCharType="begin"/>
      </w:r>
      <w:r>
        <w:rPr>
          <w:sz w:val="24"/>
          <w:szCs w:val="24"/>
        </w:rPr>
        <w:instrText xml:space="preserve"> PAGEREF _Toc15622 \h </w:instrText>
      </w:r>
      <w:r>
        <w:rPr>
          <w:sz w:val="24"/>
          <w:szCs w:val="24"/>
        </w:rPr>
        <w:fldChar w:fldCharType="separate"/>
      </w:r>
      <w:r>
        <w:rPr>
          <w:sz w:val="24"/>
          <w:szCs w:val="24"/>
        </w:rPr>
        <w:t>139</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_Toc6645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5.3.1噪声源强分析</w:t>
      </w:r>
      <w:r>
        <w:rPr>
          <w:sz w:val="24"/>
          <w:szCs w:val="24"/>
        </w:rPr>
        <w:tab/>
      </w:r>
      <w:r>
        <w:rPr>
          <w:sz w:val="24"/>
          <w:szCs w:val="24"/>
        </w:rPr>
        <w:fldChar w:fldCharType="begin"/>
      </w:r>
      <w:r>
        <w:rPr>
          <w:sz w:val="24"/>
          <w:szCs w:val="24"/>
        </w:rPr>
        <w:instrText xml:space="preserve"> PAGEREF _Toc6645 \h </w:instrText>
      </w:r>
      <w:r>
        <w:rPr>
          <w:sz w:val="24"/>
          <w:szCs w:val="24"/>
        </w:rPr>
        <w:fldChar w:fldCharType="separate"/>
      </w:r>
      <w:r>
        <w:rPr>
          <w:sz w:val="24"/>
          <w:szCs w:val="24"/>
        </w:rPr>
        <w:t>139</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_Toc8755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rPr>
        <w:t>5.4固体废物环境影响分析与评价</w:t>
      </w:r>
      <w:r>
        <w:rPr>
          <w:sz w:val="24"/>
          <w:szCs w:val="24"/>
        </w:rPr>
        <w:tab/>
      </w:r>
      <w:r>
        <w:rPr>
          <w:sz w:val="24"/>
          <w:szCs w:val="24"/>
        </w:rPr>
        <w:fldChar w:fldCharType="begin"/>
      </w:r>
      <w:r>
        <w:rPr>
          <w:sz w:val="24"/>
          <w:szCs w:val="24"/>
        </w:rPr>
        <w:instrText xml:space="preserve"> PAGEREF _Toc8755 \h </w:instrText>
      </w:r>
      <w:r>
        <w:rPr>
          <w:sz w:val="24"/>
          <w:szCs w:val="24"/>
        </w:rPr>
        <w:fldChar w:fldCharType="separate"/>
      </w:r>
      <w:r>
        <w:rPr>
          <w:sz w:val="24"/>
          <w:szCs w:val="24"/>
        </w:rPr>
        <w:t>142</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_Toc1546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rPr>
        <w:t>5.5生态环境影响分析</w:t>
      </w:r>
      <w:r>
        <w:rPr>
          <w:sz w:val="24"/>
          <w:szCs w:val="24"/>
        </w:rPr>
        <w:tab/>
      </w:r>
      <w:r>
        <w:rPr>
          <w:sz w:val="24"/>
          <w:szCs w:val="24"/>
        </w:rPr>
        <w:fldChar w:fldCharType="begin"/>
      </w:r>
      <w:r>
        <w:rPr>
          <w:sz w:val="24"/>
          <w:szCs w:val="24"/>
        </w:rPr>
        <w:instrText xml:space="preserve"> PAGEREF _Toc1546 \h </w:instrText>
      </w:r>
      <w:r>
        <w:rPr>
          <w:sz w:val="24"/>
          <w:szCs w:val="24"/>
        </w:rPr>
        <w:fldChar w:fldCharType="separate"/>
      </w:r>
      <w:r>
        <w:rPr>
          <w:sz w:val="24"/>
          <w:szCs w:val="24"/>
        </w:rPr>
        <w:t>143</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_Toc6084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5.5.1工程占地影响分析</w:t>
      </w:r>
      <w:r>
        <w:rPr>
          <w:sz w:val="24"/>
          <w:szCs w:val="24"/>
        </w:rPr>
        <w:tab/>
      </w:r>
      <w:r>
        <w:rPr>
          <w:sz w:val="24"/>
          <w:szCs w:val="24"/>
        </w:rPr>
        <w:fldChar w:fldCharType="begin"/>
      </w:r>
      <w:r>
        <w:rPr>
          <w:sz w:val="24"/>
          <w:szCs w:val="24"/>
        </w:rPr>
        <w:instrText xml:space="preserve"> PAGEREF _Toc6084 \h </w:instrText>
      </w:r>
      <w:r>
        <w:rPr>
          <w:sz w:val="24"/>
          <w:szCs w:val="24"/>
        </w:rPr>
        <w:fldChar w:fldCharType="separate"/>
      </w:r>
      <w:r>
        <w:rPr>
          <w:sz w:val="24"/>
          <w:szCs w:val="24"/>
        </w:rPr>
        <w:t>143</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_Toc20998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5.5.2 工程对渔业资源的影响分析</w:t>
      </w:r>
      <w:r>
        <w:rPr>
          <w:sz w:val="24"/>
          <w:szCs w:val="24"/>
        </w:rPr>
        <w:tab/>
      </w:r>
      <w:r>
        <w:rPr>
          <w:sz w:val="24"/>
          <w:szCs w:val="24"/>
        </w:rPr>
        <w:fldChar w:fldCharType="begin"/>
      </w:r>
      <w:r>
        <w:rPr>
          <w:sz w:val="24"/>
          <w:szCs w:val="24"/>
        </w:rPr>
        <w:instrText xml:space="preserve"> PAGEREF _Toc20998 \h </w:instrText>
      </w:r>
      <w:r>
        <w:rPr>
          <w:sz w:val="24"/>
          <w:szCs w:val="24"/>
        </w:rPr>
        <w:fldChar w:fldCharType="separate"/>
      </w:r>
      <w:r>
        <w:rPr>
          <w:sz w:val="24"/>
          <w:szCs w:val="24"/>
        </w:rPr>
        <w:t>143</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_Toc8033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5.5.3工程对陆生生物影响分析</w:t>
      </w:r>
      <w:r>
        <w:rPr>
          <w:sz w:val="24"/>
          <w:szCs w:val="24"/>
        </w:rPr>
        <w:tab/>
      </w:r>
      <w:r>
        <w:rPr>
          <w:sz w:val="24"/>
          <w:szCs w:val="24"/>
        </w:rPr>
        <w:fldChar w:fldCharType="begin"/>
      </w:r>
      <w:r>
        <w:rPr>
          <w:sz w:val="24"/>
          <w:szCs w:val="24"/>
        </w:rPr>
        <w:instrText xml:space="preserve"> PAGEREF _Toc8033 \h </w:instrText>
      </w:r>
      <w:r>
        <w:rPr>
          <w:sz w:val="24"/>
          <w:szCs w:val="24"/>
        </w:rPr>
        <w:fldChar w:fldCharType="separate"/>
      </w:r>
      <w:r>
        <w:rPr>
          <w:sz w:val="24"/>
          <w:szCs w:val="24"/>
        </w:rPr>
        <w:t>143</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_Toc9119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5.5.4 工程对水生生物的影响分析</w:t>
      </w:r>
      <w:r>
        <w:rPr>
          <w:sz w:val="24"/>
          <w:szCs w:val="24"/>
        </w:rPr>
        <w:tab/>
      </w:r>
      <w:r>
        <w:rPr>
          <w:sz w:val="24"/>
          <w:szCs w:val="24"/>
        </w:rPr>
        <w:fldChar w:fldCharType="begin"/>
      </w:r>
      <w:r>
        <w:rPr>
          <w:sz w:val="24"/>
          <w:szCs w:val="24"/>
        </w:rPr>
        <w:instrText xml:space="preserve"> PAGEREF _Toc9119 \h </w:instrText>
      </w:r>
      <w:r>
        <w:rPr>
          <w:sz w:val="24"/>
          <w:szCs w:val="24"/>
        </w:rPr>
        <w:fldChar w:fldCharType="separate"/>
      </w:r>
      <w:r>
        <w:rPr>
          <w:sz w:val="24"/>
          <w:szCs w:val="24"/>
        </w:rPr>
        <w:t>144</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_Toc28649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5.5.5 生态完整性影响分析</w:t>
      </w:r>
      <w:r>
        <w:rPr>
          <w:sz w:val="24"/>
          <w:szCs w:val="24"/>
        </w:rPr>
        <w:tab/>
      </w:r>
      <w:r>
        <w:rPr>
          <w:sz w:val="24"/>
          <w:szCs w:val="24"/>
        </w:rPr>
        <w:fldChar w:fldCharType="begin"/>
      </w:r>
      <w:r>
        <w:rPr>
          <w:sz w:val="24"/>
          <w:szCs w:val="24"/>
        </w:rPr>
        <w:instrText xml:space="preserve"> PAGEREF _Toc28649 \h </w:instrText>
      </w:r>
      <w:r>
        <w:rPr>
          <w:sz w:val="24"/>
          <w:szCs w:val="24"/>
        </w:rPr>
        <w:fldChar w:fldCharType="separate"/>
      </w:r>
      <w:r>
        <w:rPr>
          <w:sz w:val="24"/>
          <w:szCs w:val="24"/>
        </w:rPr>
        <w:t>147</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_Toc26159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5.5.6工程对重要生态敏感区影响分析</w:t>
      </w:r>
      <w:r>
        <w:rPr>
          <w:sz w:val="24"/>
          <w:szCs w:val="24"/>
        </w:rPr>
        <w:tab/>
      </w:r>
      <w:r>
        <w:rPr>
          <w:sz w:val="24"/>
          <w:szCs w:val="24"/>
        </w:rPr>
        <w:fldChar w:fldCharType="begin"/>
      </w:r>
      <w:r>
        <w:rPr>
          <w:sz w:val="24"/>
          <w:szCs w:val="24"/>
        </w:rPr>
        <w:instrText xml:space="preserve"> PAGEREF _Toc26159 \h </w:instrText>
      </w:r>
      <w:r>
        <w:rPr>
          <w:sz w:val="24"/>
          <w:szCs w:val="24"/>
        </w:rPr>
        <w:fldChar w:fldCharType="separate"/>
      </w:r>
      <w:r>
        <w:rPr>
          <w:sz w:val="24"/>
          <w:szCs w:val="24"/>
        </w:rPr>
        <w:t>147</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_Toc32605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rPr>
        <w:t>5.</w:t>
      </w:r>
      <w:r>
        <w:rPr>
          <w:rFonts w:hint="default" w:ascii="Times New Roman" w:hAnsi="Times New Roman" w:eastAsia="宋体" w:cs="Times New Roman"/>
          <w:bCs/>
          <w:sz w:val="24"/>
          <w:szCs w:val="24"/>
          <w:lang w:val="en-US" w:eastAsia="zh-CN"/>
        </w:rPr>
        <w:t>6</w:t>
      </w:r>
      <w:r>
        <w:rPr>
          <w:rFonts w:hint="default" w:ascii="Times New Roman" w:hAnsi="Times New Roman" w:eastAsia="宋体" w:cs="Times New Roman"/>
          <w:bCs/>
          <w:sz w:val="24"/>
          <w:szCs w:val="24"/>
        </w:rPr>
        <w:t>环境风险影响评价分析</w:t>
      </w:r>
      <w:r>
        <w:rPr>
          <w:sz w:val="24"/>
          <w:szCs w:val="24"/>
        </w:rPr>
        <w:tab/>
      </w:r>
      <w:r>
        <w:rPr>
          <w:sz w:val="24"/>
          <w:szCs w:val="24"/>
        </w:rPr>
        <w:fldChar w:fldCharType="begin"/>
      </w:r>
      <w:r>
        <w:rPr>
          <w:sz w:val="24"/>
          <w:szCs w:val="24"/>
        </w:rPr>
        <w:instrText xml:space="preserve"> PAGEREF _Toc32605 \h </w:instrText>
      </w:r>
      <w:r>
        <w:rPr>
          <w:sz w:val="24"/>
          <w:szCs w:val="24"/>
        </w:rPr>
        <w:fldChar w:fldCharType="separate"/>
      </w:r>
      <w:r>
        <w:rPr>
          <w:sz w:val="24"/>
          <w:szCs w:val="24"/>
        </w:rPr>
        <w:t>148</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_Toc22398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5.6.1 环境风险因素调查</w:t>
      </w:r>
      <w:r>
        <w:rPr>
          <w:sz w:val="24"/>
          <w:szCs w:val="24"/>
        </w:rPr>
        <w:tab/>
      </w:r>
      <w:r>
        <w:rPr>
          <w:sz w:val="24"/>
          <w:szCs w:val="24"/>
        </w:rPr>
        <w:fldChar w:fldCharType="begin"/>
      </w:r>
      <w:r>
        <w:rPr>
          <w:sz w:val="24"/>
          <w:szCs w:val="24"/>
        </w:rPr>
        <w:instrText xml:space="preserve"> PAGEREF _Toc22398 \h </w:instrText>
      </w:r>
      <w:r>
        <w:rPr>
          <w:sz w:val="24"/>
          <w:szCs w:val="24"/>
        </w:rPr>
        <w:fldChar w:fldCharType="separate"/>
      </w:r>
      <w:r>
        <w:rPr>
          <w:sz w:val="24"/>
          <w:szCs w:val="24"/>
        </w:rPr>
        <w:t>148</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_Toc23823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5.6.2环境风险潜势初判</w:t>
      </w:r>
      <w:r>
        <w:rPr>
          <w:sz w:val="24"/>
          <w:szCs w:val="24"/>
        </w:rPr>
        <w:tab/>
      </w:r>
      <w:r>
        <w:rPr>
          <w:sz w:val="24"/>
          <w:szCs w:val="24"/>
        </w:rPr>
        <w:fldChar w:fldCharType="begin"/>
      </w:r>
      <w:r>
        <w:rPr>
          <w:sz w:val="24"/>
          <w:szCs w:val="24"/>
        </w:rPr>
        <w:instrText xml:space="preserve"> PAGEREF _Toc23823 \h </w:instrText>
      </w:r>
      <w:r>
        <w:rPr>
          <w:sz w:val="24"/>
          <w:szCs w:val="24"/>
        </w:rPr>
        <w:fldChar w:fldCharType="separate"/>
      </w:r>
      <w:r>
        <w:rPr>
          <w:sz w:val="24"/>
          <w:szCs w:val="24"/>
        </w:rPr>
        <w:t>149</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_Toc30642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5.6.3环境风险评价等级</w:t>
      </w:r>
      <w:r>
        <w:rPr>
          <w:sz w:val="24"/>
          <w:szCs w:val="24"/>
        </w:rPr>
        <w:tab/>
      </w:r>
      <w:r>
        <w:rPr>
          <w:sz w:val="24"/>
          <w:szCs w:val="24"/>
        </w:rPr>
        <w:fldChar w:fldCharType="begin"/>
      </w:r>
      <w:r>
        <w:rPr>
          <w:sz w:val="24"/>
          <w:szCs w:val="24"/>
        </w:rPr>
        <w:instrText xml:space="preserve"> PAGEREF _Toc30642 \h </w:instrText>
      </w:r>
      <w:r>
        <w:rPr>
          <w:sz w:val="24"/>
          <w:szCs w:val="24"/>
        </w:rPr>
        <w:fldChar w:fldCharType="separate"/>
      </w:r>
      <w:r>
        <w:rPr>
          <w:sz w:val="24"/>
          <w:szCs w:val="24"/>
        </w:rPr>
        <w:t>149</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_Toc26168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5.6.4环境风险识别</w:t>
      </w:r>
      <w:r>
        <w:rPr>
          <w:sz w:val="24"/>
          <w:szCs w:val="24"/>
        </w:rPr>
        <w:tab/>
      </w:r>
      <w:r>
        <w:rPr>
          <w:sz w:val="24"/>
          <w:szCs w:val="24"/>
        </w:rPr>
        <w:fldChar w:fldCharType="begin"/>
      </w:r>
      <w:r>
        <w:rPr>
          <w:sz w:val="24"/>
          <w:szCs w:val="24"/>
        </w:rPr>
        <w:instrText xml:space="preserve"> PAGEREF _Toc26168 \h </w:instrText>
      </w:r>
      <w:r>
        <w:rPr>
          <w:sz w:val="24"/>
          <w:szCs w:val="24"/>
        </w:rPr>
        <w:fldChar w:fldCharType="separate"/>
      </w:r>
      <w:r>
        <w:rPr>
          <w:sz w:val="24"/>
          <w:szCs w:val="24"/>
        </w:rPr>
        <w:t>149</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_Toc24069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5.6.5环境风险分析</w:t>
      </w:r>
      <w:r>
        <w:rPr>
          <w:sz w:val="24"/>
          <w:szCs w:val="24"/>
        </w:rPr>
        <w:tab/>
      </w:r>
      <w:r>
        <w:rPr>
          <w:sz w:val="24"/>
          <w:szCs w:val="24"/>
        </w:rPr>
        <w:fldChar w:fldCharType="begin"/>
      </w:r>
      <w:r>
        <w:rPr>
          <w:sz w:val="24"/>
          <w:szCs w:val="24"/>
        </w:rPr>
        <w:instrText xml:space="preserve"> PAGEREF _Toc24069 \h </w:instrText>
      </w:r>
      <w:r>
        <w:rPr>
          <w:sz w:val="24"/>
          <w:szCs w:val="24"/>
        </w:rPr>
        <w:fldChar w:fldCharType="separate"/>
      </w:r>
      <w:r>
        <w:rPr>
          <w:sz w:val="24"/>
          <w:szCs w:val="24"/>
        </w:rPr>
        <w:t>150</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_Toc28782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5.6.6环境风险事故防范措施</w:t>
      </w:r>
      <w:r>
        <w:rPr>
          <w:sz w:val="24"/>
          <w:szCs w:val="24"/>
        </w:rPr>
        <w:tab/>
      </w:r>
      <w:r>
        <w:rPr>
          <w:sz w:val="24"/>
          <w:szCs w:val="24"/>
        </w:rPr>
        <w:fldChar w:fldCharType="begin"/>
      </w:r>
      <w:r>
        <w:rPr>
          <w:sz w:val="24"/>
          <w:szCs w:val="24"/>
        </w:rPr>
        <w:instrText xml:space="preserve"> PAGEREF _Toc28782 \h </w:instrText>
      </w:r>
      <w:r>
        <w:rPr>
          <w:sz w:val="24"/>
          <w:szCs w:val="24"/>
        </w:rPr>
        <w:fldChar w:fldCharType="separate"/>
      </w:r>
      <w:r>
        <w:rPr>
          <w:sz w:val="24"/>
          <w:szCs w:val="24"/>
        </w:rPr>
        <w:t>151</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_Toc16373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5.6.7本工程船舶溢油应急预案</w:t>
      </w:r>
      <w:r>
        <w:rPr>
          <w:sz w:val="24"/>
          <w:szCs w:val="24"/>
        </w:rPr>
        <w:tab/>
      </w:r>
      <w:r>
        <w:rPr>
          <w:sz w:val="24"/>
          <w:szCs w:val="24"/>
        </w:rPr>
        <w:fldChar w:fldCharType="begin"/>
      </w:r>
      <w:r>
        <w:rPr>
          <w:sz w:val="24"/>
          <w:szCs w:val="24"/>
        </w:rPr>
        <w:instrText xml:space="preserve"> PAGEREF _Toc16373 \h </w:instrText>
      </w:r>
      <w:r>
        <w:rPr>
          <w:sz w:val="24"/>
          <w:szCs w:val="24"/>
        </w:rPr>
        <w:fldChar w:fldCharType="separate"/>
      </w:r>
      <w:r>
        <w:rPr>
          <w:sz w:val="24"/>
          <w:szCs w:val="24"/>
        </w:rPr>
        <w:t>153</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_Toc8331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5.6.8环境风险事故应急预案</w:t>
      </w:r>
      <w:r>
        <w:rPr>
          <w:sz w:val="24"/>
          <w:szCs w:val="24"/>
        </w:rPr>
        <w:tab/>
      </w:r>
      <w:r>
        <w:rPr>
          <w:sz w:val="24"/>
          <w:szCs w:val="24"/>
        </w:rPr>
        <w:fldChar w:fldCharType="begin"/>
      </w:r>
      <w:r>
        <w:rPr>
          <w:sz w:val="24"/>
          <w:szCs w:val="24"/>
        </w:rPr>
        <w:instrText xml:space="preserve"> PAGEREF _Toc8331 \h </w:instrText>
      </w:r>
      <w:r>
        <w:rPr>
          <w:sz w:val="24"/>
          <w:szCs w:val="24"/>
        </w:rPr>
        <w:fldChar w:fldCharType="separate"/>
      </w:r>
      <w:r>
        <w:rPr>
          <w:sz w:val="24"/>
          <w:szCs w:val="24"/>
        </w:rPr>
        <w:t>155</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_Toc9980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5.6.9 分析结论</w:t>
      </w:r>
      <w:r>
        <w:rPr>
          <w:sz w:val="24"/>
          <w:szCs w:val="24"/>
        </w:rPr>
        <w:tab/>
      </w:r>
      <w:r>
        <w:rPr>
          <w:sz w:val="24"/>
          <w:szCs w:val="24"/>
        </w:rPr>
        <w:fldChar w:fldCharType="begin"/>
      </w:r>
      <w:r>
        <w:rPr>
          <w:sz w:val="24"/>
          <w:szCs w:val="24"/>
        </w:rPr>
        <w:instrText xml:space="preserve"> PAGEREF _Toc9980 \h </w:instrText>
      </w:r>
      <w:r>
        <w:rPr>
          <w:sz w:val="24"/>
          <w:szCs w:val="24"/>
        </w:rPr>
        <w:fldChar w:fldCharType="separate"/>
      </w:r>
      <w:r>
        <w:rPr>
          <w:sz w:val="24"/>
          <w:szCs w:val="24"/>
        </w:rPr>
        <w:t>161</w:t>
      </w:r>
      <w:r>
        <w:rPr>
          <w:sz w:val="24"/>
          <w:szCs w:val="24"/>
        </w:rPr>
        <w:fldChar w:fldCharType="end"/>
      </w:r>
      <w:r>
        <w:rPr>
          <w:rFonts w:hint="default" w:ascii="Times New Roman" w:hAnsi="Times New Roman" w:eastAsia="宋体" w:cs="Times New Roman"/>
          <w:color w:val="auto"/>
          <w:sz w:val="24"/>
          <w:szCs w:val="24"/>
        </w:rPr>
        <w:fldChar w:fldCharType="end"/>
      </w:r>
    </w:p>
    <w:p>
      <w:pPr>
        <w:pStyle w:val="35"/>
        <w:keepNext w:val="0"/>
        <w:keepLines w:val="0"/>
        <w:pageBreakBefore w:val="0"/>
        <w:tabs>
          <w:tab w:val="right" w:leader="dot" w:pos="9070"/>
          <w:tab w:val="clear" w:pos="906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_Toc6656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6环境保护措施</w:t>
      </w:r>
      <w:r>
        <w:rPr>
          <w:sz w:val="24"/>
          <w:szCs w:val="24"/>
        </w:rPr>
        <w:tab/>
      </w:r>
      <w:r>
        <w:rPr>
          <w:sz w:val="24"/>
          <w:szCs w:val="24"/>
        </w:rPr>
        <w:fldChar w:fldCharType="begin"/>
      </w:r>
      <w:r>
        <w:rPr>
          <w:sz w:val="24"/>
          <w:szCs w:val="24"/>
        </w:rPr>
        <w:instrText xml:space="preserve"> PAGEREF _Toc6656 \h </w:instrText>
      </w:r>
      <w:r>
        <w:rPr>
          <w:sz w:val="24"/>
          <w:szCs w:val="24"/>
        </w:rPr>
        <w:fldChar w:fldCharType="separate"/>
      </w:r>
      <w:r>
        <w:rPr>
          <w:sz w:val="24"/>
          <w:szCs w:val="24"/>
        </w:rPr>
        <w:t>163</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_Toc28956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lang w:val="en-US" w:eastAsia="zh-CN"/>
        </w:rPr>
        <w:t>1饮用水源保护区保护措施</w:t>
      </w:r>
      <w:r>
        <w:rPr>
          <w:sz w:val="24"/>
          <w:szCs w:val="24"/>
        </w:rPr>
        <w:tab/>
      </w:r>
      <w:r>
        <w:rPr>
          <w:sz w:val="24"/>
          <w:szCs w:val="24"/>
        </w:rPr>
        <w:fldChar w:fldCharType="begin"/>
      </w:r>
      <w:r>
        <w:rPr>
          <w:sz w:val="24"/>
          <w:szCs w:val="24"/>
        </w:rPr>
        <w:instrText xml:space="preserve"> PAGEREF _Toc28956 \h </w:instrText>
      </w:r>
      <w:r>
        <w:rPr>
          <w:sz w:val="24"/>
          <w:szCs w:val="24"/>
        </w:rPr>
        <w:fldChar w:fldCharType="separate"/>
      </w:r>
      <w:r>
        <w:rPr>
          <w:sz w:val="24"/>
          <w:szCs w:val="24"/>
        </w:rPr>
        <w:t>163</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_Toc20920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.1饮用水源保护区保护措施</w:t>
      </w:r>
      <w:r>
        <w:rPr>
          <w:sz w:val="24"/>
          <w:szCs w:val="24"/>
        </w:rPr>
        <w:tab/>
      </w:r>
      <w:r>
        <w:rPr>
          <w:sz w:val="24"/>
          <w:szCs w:val="24"/>
        </w:rPr>
        <w:fldChar w:fldCharType="begin"/>
      </w:r>
      <w:r>
        <w:rPr>
          <w:sz w:val="24"/>
          <w:szCs w:val="24"/>
        </w:rPr>
        <w:instrText xml:space="preserve"> PAGEREF _Toc20920 \h </w:instrText>
      </w:r>
      <w:r>
        <w:rPr>
          <w:sz w:val="24"/>
          <w:szCs w:val="24"/>
        </w:rPr>
        <w:fldChar w:fldCharType="separate"/>
      </w:r>
      <w:r>
        <w:rPr>
          <w:sz w:val="24"/>
          <w:szCs w:val="24"/>
        </w:rPr>
        <w:t>163</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_Toc23239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6.1.2 取水口风险防范措施</w:t>
      </w:r>
      <w:r>
        <w:rPr>
          <w:sz w:val="24"/>
          <w:szCs w:val="24"/>
        </w:rPr>
        <w:tab/>
      </w:r>
      <w:r>
        <w:rPr>
          <w:sz w:val="24"/>
          <w:szCs w:val="24"/>
        </w:rPr>
        <w:fldChar w:fldCharType="begin"/>
      </w:r>
      <w:r>
        <w:rPr>
          <w:sz w:val="24"/>
          <w:szCs w:val="24"/>
        </w:rPr>
        <w:instrText xml:space="preserve"> PAGEREF _Toc23239 \h </w:instrText>
      </w:r>
      <w:r>
        <w:rPr>
          <w:sz w:val="24"/>
          <w:szCs w:val="24"/>
        </w:rPr>
        <w:fldChar w:fldCharType="separate"/>
      </w:r>
      <w:r>
        <w:rPr>
          <w:sz w:val="24"/>
          <w:szCs w:val="24"/>
        </w:rPr>
        <w:t>163</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_Toc26852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6.2 水环境保护措施</w:t>
      </w:r>
      <w:r>
        <w:rPr>
          <w:sz w:val="24"/>
          <w:szCs w:val="24"/>
        </w:rPr>
        <w:tab/>
      </w:r>
      <w:r>
        <w:rPr>
          <w:sz w:val="24"/>
          <w:szCs w:val="24"/>
        </w:rPr>
        <w:fldChar w:fldCharType="begin"/>
      </w:r>
      <w:r>
        <w:rPr>
          <w:sz w:val="24"/>
          <w:szCs w:val="24"/>
        </w:rPr>
        <w:instrText xml:space="preserve"> PAGEREF _Toc26852 \h </w:instrText>
      </w:r>
      <w:r>
        <w:rPr>
          <w:sz w:val="24"/>
          <w:szCs w:val="24"/>
        </w:rPr>
        <w:fldChar w:fldCharType="separate"/>
      </w:r>
      <w:r>
        <w:rPr>
          <w:sz w:val="24"/>
          <w:szCs w:val="24"/>
        </w:rPr>
        <w:t>164</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_Toc1245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6.2.</w:t>
      </w:r>
      <w:r>
        <w:rPr>
          <w:rFonts w:hint="eastAsia" w:cs="Times New Roman"/>
          <w:sz w:val="24"/>
          <w:szCs w:val="24"/>
          <w:lang w:val="en-US" w:eastAsia="zh-CN"/>
        </w:rPr>
        <w:t>1</w:t>
      </w:r>
      <w:r>
        <w:rPr>
          <w:rFonts w:hint="default" w:ascii="Times New Roman" w:hAnsi="Times New Roman" w:eastAsia="宋体" w:cs="Times New Roman"/>
          <w:sz w:val="24"/>
          <w:szCs w:val="24"/>
        </w:rPr>
        <w:t xml:space="preserve"> 施工生活污水处理</w:t>
      </w:r>
      <w:r>
        <w:rPr>
          <w:sz w:val="24"/>
          <w:szCs w:val="24"/>
        </w:rPr>
        <w:tab/>
      </w:r>
      <w:r>
        <w:rPr>
          <w:sz w:val="24"/>
          <w:szCs w:val="24"/>
        </w:rPr>
        <w:fldChar w:fldCharType="begin"/>
      </w:r>
      <w:r>
        <w:rPr>
          <w:sz w:val="24"/>
          <w:szCs w:val="24"/>
        </w:rPr>
        <w:instrText xml:space="preserve"> PAGEREF _Toc1245 \h </w:instrText>
      </w:r>
      <w:r>
        <w:rPr>
          <w:sz w:val="24"/>
          <w:szCs w:val="24"/>
        </w:rPr>
        <w:fldChar w:fldCharType="separate"/>
      </w:r>
      <w:r>
        <w:rPr>
          <w:sz w:val="24"/>
          <w:szCs w:val="24"/>
        </w:rPr>
        <w:t>164</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_Toc22386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6.3 大气环境保护措施</w:t>
      </w:r>
      <w:r>
        <w:rPr>
          <w:sz w:val="24"/>
          <w:szCs w:val="24"/>
        </w:rPr>
        <w:tab/>
      </w:r>
      <w:r>
        <w:rPr>
          <w:sz w:val="24"/>
          <w:szCs w:val="24"/>
        </w:rPr>
        <w:fldChar w:fldCharType="begin"/>
      </w:r>
      <w:r>
        <w:rPr>
          <w:sz w:val="24"/>
          <w:szCs w:val="24"/>
        </w:rPr>
        <w:instrText xml:space="preserve"> PAGEREF _Toc22386 \h </w:instrText>
      </w:r>
      <w:r>
        <w:rPr>
          <w:sz w:val="24"/>
          <w:szCs w:val="24"/>
        </w:rPr>
        <w:fldChar w:fldCharType="separate"/>
      </w:r>
      <w:r>
        <w:rPr>
          <w:sz w:val="24"/>
          <w:szCs w:val="24"/>
        </w:rPr>
        <w:t>164</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_Toc16352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6.3.1 扬尘、粉尘影响防护对策措施</w:t>
      </w:r>
      <w:r>
        <w:rPr>
          <w:sz w:val="24"/>
          <w:szCs w:val="24"/>
        </w:rPr>
        <w:tab/>
      </w:r>
      <w:r>
        <w:rPr>
          <w:sz w:val="24"/>
          <w:szCs w:val="24"/>
        </w:rPr>
        <w:fldChar w:fldCharType="begin"/>
      </w:r>
      <w:r>
        <w:rPr>
          <w:sz w:val="24"/>
          <w:szCs w:val="24"/>
        </w:rPr>
        <w:instrText xml:space="preserve"> PAGEREF _Toc16352 \h </w:instrText>
      </w:r>
      <w:r>
        <w:rPr>
          <w:sz w:val="24"/>
          <w:szCs w:val="24"/>
        </w:rPr>
        <w:fldChar w:fldCharType="separate"/>
      </w:r>
      <w:r>
        <w:rPr>
          <w:sz w:val="24"/>
          <w:szCs w:val="24"/>
        </w:rPr>
        <w:t>164</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_Toc11009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6.3.2 燃油、燃料废气控制措施</w:t>
      </w:r>
      <w:r>
        <w:rPr>
          <w:sz w:val="24"/>
          <w:szCs w:val="24"/>
        </w:rPr>
        <w:tab/>
      </w:r>
      <w:r>
        <w:rPr>
          <w:sz w:val="24"/>
          <w:szCs w:val="24"/>
        </w:rPr>
        <w:fldChar w:fldCharType="begin"/>
      </w:r>
      <w:r>
        <w:rPr>
          <w:sz w:val="24"/>
          <w:szCs w:val="24"/>
        </w:rPr>
        <w:instrText xml:space="preserve"> PAGEREF _Toc11009 \h </w:instrText>
      </w:r>
      <w:r>
        <w:rPr>
          <w:sz w:val="24"/>
          <w:szCs w:val="24"/>
        </w:rPr>
        <w:fldChar w:fldCharType="separate"/>
      </w:r>
      <w:r>
        <w:rPr>
          <w:sz w:val="24"/>
          <w:szCs w:val="24"/>
        </w:rPr>
        <w:t>165</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_Toc28048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6.3.3 施工人员劳动保护</w:t>
      </w:r>
      <w:r>
        <w:rPr>
          <w:sz w:val="24"/>
          <w:szCs w:val="24"/>
        </w:rPr>
        <w:tab/>
      </w:r>
      <w:r>
        <w:rPr>
          <w:sz w:val="24"/>
          <w:szCs w:val="24"/>
        </w:rPr>
        <w:fldChar w:fldCharType="begin"/>
      </w:r>
      <w:r>
        <w:rPr>
          <w:sz w:val="24"/>
          <w:szCs w:val="24"/>
        </w:rPr>
        <w:instrText xml:space="preserve"> PAGEREF _Toc28048 \h </w:instrText>
      </w:r>
      <w:r>
        <w:rPr>
          <w:sz w:val="24"/>
          <w:szCs w:val="24"/>
        </w:rPr>
        <w:fldChar w:fldCharType="separate"/>
      </w:r>
      <w:r>
        <w:rPr>
          <w:sz w:val="24"/>
          <w:szCs w:val="24"/>
        </w:rPr>
        <w:t>166</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_Toc1664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eastAsia" w:ascii="Times New Roman" w:hAnsi="Times New Roman" w:eastAsia="宋体" w:cs="Times New Roman"/>
          <w:sz w:val="24"/>
          <w:szCs w:val="24"/>
          <w:lang w:val="en-US" w:eastAsia="zh-CN"/>
        </w:rPr>
        <w:t>4声环境保护措施</w:t>
      </w:r>
      <w:r>
        <w:rPr>
          <w:sz w:val="24"/>
          <w:szCs w:val="24"/>
        </w:rPr>
        <w:tab/>
      </w:r>
      <w:r>
        <w:rPr>
          <w:sz w:val="24"/>
          <w:szCs w:val="24"/>
        </w:rPr>
        <w:fldChar w:fldCharType="begin"/>
      </w:r>
      <w:r>
        <w:rPr>
          <w:sz w:val="24"/>
          <w:szCs w:val="24"/>
        </w:rPr>
        <w:instrText xml:space="preserve"> PAGEREF _Toc1664 \h </w:instrText>
      </w:r>
      <w:r>
        <w:rPr>
          <w:sz w:val="24"/>
          <w:szCs w:val="24"/>
        </w:rPr>
        <w:fldChar w:fldCharType="separate"/>
      </w:r>
      <w:r>
        <w:rPr>
          <w:sz w:val="24"/>
          <w:szCs w:val="24"/>
        </w:rPr>
        <w:t>166</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_Toc5253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.1施工期减缓措施</w:t>
      </w:r>
      <w:r>
        <w:rPr>
          <w:sz w:val="24"/>
          <w:szCs w:val="24"/>
        </w:rPr>
        <w:tab/>
      </w:r>
      <w:r>
        <w:rPr>
          <w:sz w:val="24"/>
          <w:szCs w:val="24"/>
        </w:rPr>
        <w:fldChar w:fldCharType="begin"/>
      </w:r>
      <w:r>
        <w:rPr>
          <w:sz w:val="24"/>
          <w:szCs w:val="24"/>
        </w:rPr>
        <w:instrText xml:space="preserve"> PAGEREF _Toc5253 \h </w:instrText>
      </w:r>
      <w:r>
        <w:rPr>
          <w:sz w:val="24"/>
          <w:szCs w:val="24"/>
        </w:rPr>
        <w:fldChar w:fldCharType="separate"/>
      </w:r>
      <w:r>
        <w:rPr>
          <w:sz w:val="24"/>
          <w:szCs w:val="24"/>
        </w:rPr>
        <w:t>166</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_Toc12267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6.4.2 降噪效果及达标分析</w:t>
      </w:r>
      <w:r>
        <w:rPr>
          <w:sz w:val="24"/>
          <w:szCs w:val="24"/>
        </w:rPr>
        <w:tab/>
      </w:r>
      <w:r>
        <w:rPr>
          <w:sz w:val="24"/>
          <w:szCs w:val="24"/>
        </w:rPr>
        <w:fldChar w:fldCharType="begin"/>
      </w:r>
      <w:r>
        <w:rPr>
          <w:sz w:val="24"/>
          <w:szCs w:val="24"/>
        </w:rPr>
        <w:instrText xml:space="preserve"> PAGEREF _Toc12267 \h </w:instrText>
      </w:r>
      <w:r>
        <w:rPr>
          <w:sz w:val="24"/>
          <w:szCs w:val="24"/>
        </w:rPr>
        <w:fldChar w:fldCharType="separate"/>
      </w:r>
      <w:r>
        <w:rPr>
          <w:sz w:val="24"/>
          <w:szCs w:val="24"/>
        </w:rPr>
        <w:t>167</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_Toc23942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6.4.3 声环境保护措施小结</w:t>
      </w:r>
      <w:r>
        <w:rPr>
          <w:sz w:val="24"/>
          <w:szCs w:val="24"/>
        </w:rPr>
        <w:tab/>
      </w:r>
      <w:r>
        <w:rPr>
          <w:sz w:val="24"/>
          <w:szCs w:val="24"/>
        </w:rPr>
        <w:fldChar w:fldCharType="begin"/>
      </w:r>
      <w:r>
        <w:rPr>
          <w:sz w:val="24"/>
          <w:szCs w:val="24"/>
        </w:rPr>
        <w:instrText xml:space="preserve"> PAGEREF _Toc23942 \h </w:instrText>
      </w:r>
      <w:r>
        <w:rPr>
          <w:sz w:val="24"/>
          <w:szCs w:val="24"/>
        </w:rPr>
        <w:fldChar w:fldCharType="separate"/>
      </w:r>
      <w:r>
        <w:rPr>
          <w:sz w:val="24"/>
          <w:szCs w:val="24"/>
        </w:rPr>
        <w:t>168</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_Toc9405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固废污染防治措施</w:t>
      </w:r>
      <w:r>
        <w:rPr>
          <w:sz w:val="24"/>
          <w:szCs w:val="24"/>
        </w:rPr>
        <w:tab/>
      </w:r>
      <w:r>
        <w:rPr>
          <w:sz w:val="24"/>
          <w:szCs w:val="24"/>
        </w:rPr>
        <w:fldChar w:fldCharType="begin"/>
      </w:r>
      <w:r>
        <w:rPr>
          <w:sz w:val="24"/>
          <w:szCs w:val="24"/>
        </w:rPr>
        <w:instrText xml:space="preserve"> PAGEREF _Toc9405 \h </w:instrText>
      </w:r>
      <w:r>
        <w:rPr>
          <w:sz w:val="24"/>
          <w:szCs w:val="24"/>
        </w:rPr>
        <w:fldChar w:fldCharType="separate"/>
      </w:r>
      <w:r>
        <w:rPr>
          <w:sz w:val="24"/>
          <w:szCs w:val="24"/>
        </w:rPr>
        <w:t>168</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_Toc12462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6.5.1 施工生活垃圾处理</w:t>
      </w:r>
      <w:r>
        <w:rPr>
          <w:sz w:val="24"/>
          <w:szCs w:val="24"/>
        </w:rPr>
        <w:tab/>
      </w:r>
      <w:r>
        <w:rPr>
          <w:sz w:val="24"/>
          <w:szCs w:val="24"/>
        </w:rPr>
        <w:fldChar w:fldCharType="begin"/>
      </w:r>
      <w:r>
        <w:rPr>
          <w:sz w:val="24"/>
          <w:szCs w:val="24"/>
        </w:rPr>
        <w:instrText xml:space="preserve"> PAGEREF _Toc12462 \h </w:instrText>
      </w:r>
      <w:r>
        <w:rPr>
          <w:sz w:val="24"/>
          <w:szCs w:val="24"/>
        </w:rPr>
        <w:fldChar w:fldCharType="separate"/>
      </w:r>
      <w:r>
        <w:rPr>
          <w:sz w:val="24"/>
          <w:szCs w:val="24"/>
        </w:rPr>
        <w:t>168</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_Toc13066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生态环境保护措施</w:t>
      </w:r>
      <w:r>
        <w:rPr>
          <w:sz w:val="24"/>
          <w:szCs w:val="24"/>
        </w:rPr>
        <w:tab/>
      </w:r>
      <w:r>
        <w:rPr>
          <w:sz w:val="24"/>
          <w:szCs w:val="24"/>
        </w:rPr>
        <w:fldChar w:fldCharType="begin"/>
      </w:r>
      <w:r>
        <w:rPr>
          <w:sz w:val="24"/>
          <w:szCs w:val="24"/>
        </w:rPr>
        <w:instrText xml:space="preserve"> PAGEREF _Toc13066 \h </w:instrText>
      </w:r>
      <w:r>
        <w:rPr>
          <w:sz w:val="24"/>
          <w:szCs w:val="24"/>
        </w:rPr>
        <w:fldChar w:fldCharType="separate"/>
      </w:r>
      <w:r>
        <w:rPr>
          <w:sz w:val="24"/>
          <w:szCs w:val="24"/>
        </w:rPr>
        <w:t>169</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_Toc6300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6.6.1 水生生态保护措施</w:t>
      </w:r>
      <w:r>
        <w:rPr>
          <w:sz w:val="24"/>
          <w:szCs w:val="24"/>
        </w:rPr>
        <w:tab/>
      </w:r>
      <w:r>
        <w:rPr>
          <w:sz w:val="24"/>
          <w:szCs w:val="24"/>
        </w:rPr>
        <w:fldChar w:fldCharType="begin"/>
      </w:r>
      <w:r>
        <w:rPr>
          <w:sz w:val="24"/>
          <w:szCs w:val="24"/>
        </w:rPr>
        <w:instrText xml:space="preserve"> PAGEREF _Toc6300 \h </w:instrText>
      </w:r>
      <w:r>
        <w:rPr>
          <w:sz w:val="24"/>
          <w:szCs w:val="24"/>
        </w:rPr>
        <w:fldChar w:fldCharType="separate"/>
      </w:r>
      <w:r>
        <w:rPr>
          <w:sz w:val="24"/>
          <w:szCs w:val="24"/>
        </w:rPr>
        <w:t>169</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_Toc17508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6.6.2 陆生生态保护保护措施</w:t>
      </w:r>
      <w:r>
        <w:rPr>
          <w:sz w:val="24"/>
          <w:szCs w:val="24"/>
        </w:rPr>
        <w:tab/>
      </w:r>
      <w:r>
        <w:rPr>
          <w:sz w:val="24"/>
          <w:szCs w:val="24"/>
        </w:rPr>
        <w:fldChar w:fldCharType="begin"/>
      </w:r>
      <w:r>
        <w:rPr>
          <w:sz w:val="24"/>
          <w:szCs w:val="24"/>
        </w:rPr>
        <w:instrText xml:space="preserve"> PAGEREF _Toc17508 \h </w:instrText>
      </w:r>
      <w:r>
        <w:rPr>
          <w:sz w:val="24"/>
          <w:szCs w:val="24"/>
        </w:rPr>
        <w:fldChar w:fldCharType="separate"/>
      </w:r>
      <w:r>
        <w:rPr>
          <w:sz w:val="24"/>
          <w:szCs w:val="24"/>
        </w:rPr>
        <w:t>170</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_Toc1090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6.6.3 临时用地的保护及生态恢复措施</w:t>
      </w:r>
      <w:r>
        <w:rPr>
          <w:sz w:val="24"/>
          <w:szCs w:val="24"/>
        </w:rPr>
        <w:tab/>
      </w:r>
      <w:r>
        <w:rPr>
          <w:sz w:val="24"/>
          <w:szCs w:val="24"/>
        </w:rPr>
        <w:fldChar w:fldCharType="begin"/>
      </w:r>
      <w:r>
        <w:rPr>
          <w:sz w:val="24"/>
          <w:szCs w:val="24"/>
        </w:rPr>
        <w:instrText xml:space="preserve"> PAGEREF _Toc1090 \h </w:instrText>
      </w:r>
      <w:r>
        <w:rPr>
          <w:sz w:val="24"/>
          <w:szCs w:val="24"/>
        </w:rPr>
        <w:fldChar w:fldCharType="separate"/>
      </w:r>
      <w:r>
        <w:rPr>
          <w:sz w:val="24"/>
          <w:szCs w:val="24"/>
        </w:rPr>
        <w:t>171</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_Toc12537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6.6.4 生态景观保护方案</w:t>
      </w:r>
      <w:r>
        <w:rPr>
          <w:sz w:val="24"/>
          <w:szCs w:val="24"/>
        </w:rPr>
        <w:tab/>
      </w:r>
      <w:r>
        <w:rPr>
          <w:sz w:val="24"/>
          <w:szCs w:val="24"/>
        </w:rPr>
        <w:fldChar w:fldCharType="begin"/>
      </w:r>
      <w:r>
        <w:rPr>
          <w:sz w:val="24"/>
          <w:szCs w:val="24"/>
        </w:rPr>
        <w:instrText xml:space="preserve"> PAGEREF _Toc12537 \h </w:instrText>
      </w:r>
      <w:r>
        <w:rPr>
          <w:sz w:val="24"/>
          <w:szCs w:val="24"/>
        </w:rPr>
        <w:fldChar w:fldCharType="separate"/>
      </w:r>
      <w:r>
        <w:rPr>
          <w:sz w:val="24"/>
          <w:szCs w:val="24"/>
        </w:rPr>
        <w:t>171</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_Toc1040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eastAsia" w:cs="Times New Roman"/>
          <w:sz w:val="24"/>
          <w:szCs w:val="24"/>
          <w:lang w:val="en-US" w:eastAsia="zh-CN"/>
        </w:rPr>
        <w:t>7</w:t>
      </w:r>
      <w:r>
        <w:rPr>
          <w:rFonts w:hint="default" w:ascii="Times New Roman" w:hAnsi="Times New Roman" w:eastAsia="宋体" w:cs="Times New Roman"/>
          <w:sz w:val="24"/>
          <w:szCs w:val="24"/>
        </w:rPr>
        <w:t xml:space="preserve"> 人群健康保护措施</w:t>
      </w:r>
      <w:r>
        <w:rPr>
          <w:sz w:val="24"/>
          <w:szCs w:val="24"/>
        </w:rPr>
        <w:tab/>
      </w:r>
      <w:r>
        <w:rPr>
          <w:sz w:val="24"/>
          <w:szCs w:val="24"/>
        </w:rPr>
        <w:fldChar w:fldCharType="begin"/>
      </w:r>
      <w:r>
        <w:rPr>
          <w:sz w:val="24"/>
          <w:szCs w:val="24"/>
        </w:rPr>
        <w:instrText xml:space="preserve"> PAGEREF _Toc1040 \h </w:instrText>
      </w:r>
      <w:r>
        <w:rPr>
          <w:sz w:val="24"/>
          <w:szCs w:val="24"/>
        </w:rPr>
        <w:fldChar w:fldCharType="separate"/>
      </w:r>
      <w:r>
        <w:rPr>
          <w:sz w:val="24"/>
          <w:szCs w:val="24"/>
        </w:rPr>
        <w:t>171</w:t>
      </w:r>
      <w:r>
        <w:rPr>
          <w:sz w:val="24"/>
          <w:szCs w:val="24"/>
        </w:rPr>
        <w:fldChar w:fldCharType="end"/>
      </w:r>
      <w:r>
        <w:rPr>
          <w:rFonts w:hint="default" w:ascii="Times New Roman" w:hAnsi="Times New Roman" w:eastAsia="宋体" w:cs="Times New Roman"/>
          <w:color w:val="auto"/>
          <w:sz w:val="24"/>
          <w:szCs w:val="24"/>
        </w:rPr>
        <w:fldChar w:fldCharType="end"/>
      </w:r>
    </w:p>
    <w:p>
      <w:pPr>
        <w:pStyle w:val="35"/>
        <w:keepNext w:val="0"/>
        <w:keepLines w:val="0"/>
        <w:pageBreakBefore w:val="0"/>
        <w:tabs>
          <w:tab w:val="right" w:leader="dot" w:pos="9070"/>
          <w:tab w:val="clear" w:pos="906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_Toc25738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7环境管理与环境监测计划</w:t>
      </w:r>
      <w:r>
        <w:rPr>
          <w:sz w:val="24"/>
          <w:szCs w:val="24"/>
        </w:rPr>
        <w:tab/>
      </w:r>
      <w:r>
        <w:rPr>
          <w:sz w:val="24"/>
          <w:szCs w:val="24"/>
        </w:rPr>
        <w:fldChar w:fldCharType="begin"/>
      </w:r>
      <w:r>
        <w:rPr>
          <w:sz w:val="24"/>
          <w:szCs w:val="24"/>
        </w:rPr>
        <w:instrText xml:space="preserve"> PAGEREF _Toc25738 \h </w:instrText>
      </w:r>
      <w:r>
        <w:rPr>
          <w:sz w:val="24"/>
          <w:szCs w:val="24"/>
        </w:rPr>
        <w:fldChar w:fldCharType="separate"/>
      </w:r>
      <w:r>
        <w:rPr>
          <w:sz w:val="24"/>
          <w:szCs w:val="24"/>
        </w:rPr>
        <w:t>174</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_Toc17802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7.1 环境管理</w:t>
      </w:r>
      <w:r>
        <w:rPr>
          <w:sz w:val="24"/>
          <w:szCs w:val="24"/>
        </w:rPr>
        <w:tab/>
      </w:r>
      <w:r>
        <w:rPr>
          <w:sz w:val="24"/>
          <w:szCs w:val="24"/>
        </w:rPr>
        <w:fldChar w:fldCharType="begin"/>
      </w:r>
      <w:r>
        <w:rPr>
          <w:sz w:val="24"/>
          <w:szCs w:val="24"/>
        </w:rPr>
        <w:instrText xml:space="preserve"> PAGEREF _Toc17802 \h </w:instrText>
      </w:r>
      <w:r>
        <w:rPr>
          <w:sz w:val="24"/>
          <w:szCs w:val="24"/>
        </w:rPr>
        <w:fldChar w:fldCharType="separate"/>
      </w:r>
      <w:r>
        <w:rPr>
          <w:sz w:val="24"/>
          <w:szCs w:val="24"/>
        </w:rPr>
        <w:t>174</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_Toc11308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7.1.1 环境管理目的</w:t>
      </w:r>
      <w:r>
        <w:rPr>
          <w:sz w:val="24"/>
          <w:szCs w:val="24"/>
        </w:rPr>
        <w:tab/>
      </w:r>
      <w:r>
        <w:rPr>
          <w:sz w:val="24"/>
          <w:szCs w:val="24"/>
        </w:rPr>
        <w:fldChar w:fldCharType="begin"/>
      </w:r>
      <w:r>
        <w:rPr>
          <w:sz w:val="24"/>
          <w:szCs w:val="24"/>
        </w:rPr>
        <w:instrText xml:space="preserve"> PAGEREF _Toc11308 \h </w:instrText>
      </w:r>
      <w:r>
        <w:rPr>
          <w:sz w:val="24"/>
          <w:szCs w:val="24"/>
        </w:rPr>
        <w:fldChar w:fldCharType="separate"/>
      </w:r>
      <w:r>
        <w:rPr>
          <w:sz w:val="24"/>
          <w:szCs w:val="24"/>
        </w:rPr>
        <w:t>174</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_Toc26771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7.1.2 环境管理体系</w:t>
      </w:r>
      <w:r>
        <w:rPr>
          <w:sz w:val="24"/>
          <w:szCs w:val="24"/>
        </w:rPr>
        <w:tab/>
      </w:r>
      <w:r>
        <w:rPr>
          <w:sz w:val="24"/>
          <w:szCs w:val="24"/>
        </w:rPr>
        <w:fldChar w:fldCharType="begin"/>
      </w:r>
      <w:r>
        <w:rPr>
          <w:sz w:val="24"/>
          <w:szCs w:val="24"/>
        </w:rPr>
        <w:instrText xml:space="preserve"> PAGEREF _Toc26771 \h </w:instrText>
      </w:r>
      <w:r>
        <w:rPr>
          <w:sz w:val="24"/>
          <w:szCs w:val="24"/>
        </w:rPr>
        <w:fldChar w:fldCharType="separate"/>
      </w:r>
      <w:r>
        <w:rPr>
          <w:sz w:val="24"/>
          <w:szCs w:val="24"/>
        </w:rPr>
        <w:t>174</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_Toc31468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7.1.3 管理机构及机制</w:t>
      </w:r>
      <w:r>
        <w:rPr>
          <w:sz w:val="24"/>
          <w:szCs w:val="24"/>
        </w:rPr>
        <w:tab/>
      </w:r>
      <w:r>
        <w:rPr>
          <w:sz w:val="24"/>
          <w:szCs w:val="24"/>
        </w:rPr>
        <w:fldChar w:fldCharType="begin"/>
      </w:r>
      <w:r>
        <w:rPr>
          <w:sz w:val="24"/>
          <w:szCs w:val="24"/>
        </w:rPr>
        <w:instrText xml:space="preserve"> PAGEREF _Toc31468 \h </w:instrText>
      </w:r>
      <w:r>
        <w:rPr>
          <w:sz w:val="24"/>
          <w:szCs w:val="24"/>
        </w:rPr>
        <w:fldChar w:fldCharType="separate"/>
      </w:r>
      <w:r>
        <w:rPr>
          <w:sz w:val="24"/>
          <w:szCs w:val="24"/>
        </w:rPr>
        <w:t>175</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_Toc25574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7.1.4 环境管理制度</w:t>
      </w:r>
      <w:r>
        <w:rPr>
          <w:sz w:val="24"/>
          <w:szCs w:val="24"/>
        </w:rPr>
        <w:tab/>
      </w:r>
      <w:r>
        <w:rPr>
          <w:sz w:val="24"/>
          <w:szCs w:val="24"/>
        </w:rPr>
        <w:fldChar w:fldCharType="begin"/>
      </w:r>
      <w:r>
        <w:rPr>
          <w:sz w:val="24"/>
          <w:szCs w:val="24"/>
        </w:rPr>
        <w:instrText xml:space="preserve"> PAGEREF _Toc25574 \h </w:instrText>
      </w:r>
      <w:r>
        <w:rPr>
          <w:sz w:val="24"/>
          <w:szCs w:val="24"/>
        </w:rPr>
        <w:fldChar w:fldCharType="separate"/>
      </w:r>
      <w:r>
        <w:rPr>
          <w:sz w:val="24"/>
          <w:szCs w:val="24"/>
        </w:rPr>
        <w:t>176</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_Toc9430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7.1.5 环境管理内容</w:t>
      </w:r>
      <w:r>
        <w:rPr>
          <w:sz w:val="24"/>
          <w:szCs w:val="24"/>
        </w:rPr>
        <w:tab/>
      </w:r>
      <w:r>
        <w:rPr>
          <w:sz w:val="24"/>
          <w:szCs w:val="24"/>
        </w:rPr>
        <w:fldChar w:fldCharType="begin"/>
      </w:r>
      <w:r>
        <w:rPr>
          <w:sz w:val="24"/>
          <w:szCs w:val="24"/>
        </w:rPr>
        <w:instrText xml:space="preserve"> PAGEREF _Toc9430 \h </w:instrText>
      </w:r>
      <w:r>
        <w:rPr>
          <w:sz w:val="24"/>
          <w:szCs w:val="24"/>
        </w:rPr>
        <w:fldChar w:fldCharType="separate"/>
      </w:r>
      <w:r>
        <w:rPr>
          <w:sz w:val="24"/>
          <w:szCs w:val="24"/>
        </w:rPr>
        <w:t>177</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_Toc6815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7.2 环境监测</w:t>
      </w:r>
      <w:r>
        <w:rPr>
          <w:sz w:val="24"/>
          <w:szCs w:val="24"/>
        </w:rPr>
        <w:tab/>
      </w:r>
      <w:r>
        <w:rPr>
          <w:sz w:val="24"/>
          <w:szCs w:val="24"/>
        </w:rPr>
        <w:fldChar w:fldCharType="begin"/>
      </w:r>
      <w:r>
        <w:rPr>
          <w:sz w:val="24"/>
          <w:szCs w:val="24"/>
        </w:rPr>
        <w:instrText xml:space="preserve"> PAGEREF _Toc6815 \h </w:instrText>
      </w:r>
      <w:r>
        <w:rPr>
          <w:sz w:val="24"/>
          <w:szCs w:val="24"/>
        </w:rPr>
        <w:fldChar w:fldCharType="separate"/>
      </w:r>
      <w:r>
        <w:rPr>
          <w:sz w:val="24"/>
          <w:szCs w:val="24"/>
        </w:rPr>
        <w:t>178</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_Toc19179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7.2.1 监测目的</w:t>
      </w:r>
      <w:r>
        <w:rPr>
          <w:sz w:val="24"/>
          <w:szCs w:val="24"/>
        </w:rPr>
        <w:tab/>
      </w:r>
      <w:r>
        <w:rPr>
          <w:sz w:val="24"/>
          <w:szCs w:val="24"/>
        </w:rPr>
        <w:fldChar w:fldCharType="begin"/>
      </w:r>
      <w:r>
        <w:rPr>
          <w:sz w:val="24"/>
          <w:szCs w:val="24"/>
        </w:rPr>
        <w:instrText xml:space="preserve"> PAGEREF _Toc19179 \h </w:instrText>
      </w:r>
      <w:r>
        <w:rPr>
          <w:sz w:val="24"/>
          <w:szCs w:val="24"/>
        </w:rPr>
        <w:fldChar w:fldCharType="separate"/>
      </w:r>
      <w:r>
        <w:rPr>
          <w:sz w:val="24"/>
          <w:szCs w:val="24"/>
        </w:rPr>
        <w:t>178</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_Toc4799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7.2.2 监测原则</w:t>
      </w:r>
      <w:r>
        <w:rPr>
          <w:sz w:val="24"/>
          <w:szCs w:val="24"/>
        </w:rPr>
        <w:tab/>
      </w:r>
      <w:r>
        <w:rPr>
          <w:sz w:val="24"/>
          <w:szCs w:val="24"/>
        </w:rPr>
        <w:fldChar w:fldCharType="begin"/>
      </w:r>
      <w:r>
        <w:rPr>
          <w:sz w:val="24"/>
          <w:szCs w:val="24"/>
        </w:rPr>
        <w:instrText xml:space="preserve"> PAGEREF _Toc4799 \h </w:instrText>
      </w:r>
      <w:r>
        <w:rPr>
          <w:sz w:val="24"/>
          <w:szCs w:val="24"/>
        </w:rPr>
        <w:fldChar w:fldCharType="separate"/>
      </w:r>
      <w:r>
        <w:rPr>
          <w:sz w:val="24"/>
          <w:szCs w:val="24"/>
        </w:rPr>
        <w:t>178</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_Toc18441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7.2.3 施工期环境监测计划</w:t>
      </w:r>
      <w:r>
        <w:rPr>
          <w:sz w:val="24"/>
          <w:szCs w:val="24"/>
        </w:rPr>
        <w:tab/>
      </w:r>
      <w:r>
        <w:rPr>
          <w:sz w:val="24"/>
          <w:szCs w:val="24"/>
        </w:rPr>
        <w:fldChar w:fldCharType="begin"/>
      </w:r>
      <w:r>
        <w:rPr>
          <w:sz w:val="24"/>
          <w:szCs w:val="24"/>
        </w:rPr>
        <w:instrText xml:space="preserve"> PAGEREF _Toc18441 \h </w:instrText>
      </w:r>
      <w:r>
        <w:rPr>
          <w:sz w:val="24"/>
          <w:szCs w:val="24"/>
        </w:rPr>
        <w:fldChar w:fldCharType="separate"/>
      </w:r>
      <w:r>
        <w:rPr>
          <w:sz w:val="24"/>
          <w:szCs w:val="24"/>
        </w:rPr>
        <w:t>178</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_Toc32010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7.2.4 跟踪监测</w:t>
      </w:r>
      <w:r>
        <w:rPr>
          <w:sz w:val="24"/>
          <w:szCs w:val="24"/>
        </w:rPr>
        <w:tab/>
      </w:r>
      <w:r>
        <w:rPr>
          <w:sz w:val="24"/>
          <w:szCs w:val="24"/>
        </w:rPr>
        <w:fldChar w:fldCharType="begin"/>
      </w:r>
      <w:r>
        <w:rPr>
          <w:sz w:val="24"/>
          <w:szCs w:val="24"/>
        </w:rPr>
        <w:instrText xml:space="preserve"> PAGEREF _Toc32010 \h </w:instrText>
      </w:r>
      <w:r>
        <w:rPr>
          <w:sz w:val="24"/>
          <w:szCs w:val="24"/>
        </w:rPr>
        <w:fldChar w:fldCharType="separate"/>
      </w:r>
      <w:r>
        <w:rPr>
          <w:sz w:val="24"/>
          <w:szCs w:val="24"/>
        </w:rPr>
        <w:t>181</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_Toc11733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7.3 环境保护竣工验收</w:t>
      </w:r>
      <w:r>
        <w:rPr>
          <w:sz w:val="24"/>
          <w:szCs w:val="24"/>
        </w:rPr>
        <w:tab/>
      </w:r>
      <w:r>
        <w:rPr>
          <w:sz w:val="24"/>
          <w:szCs w:val="24"/>
        </w:rPr>
        <w:fldChar w:fldCharType="begin"/>
      </w:r>
      <w:r>
        <w:rPr>
          <w:sz w:val="24"/>
          <w:szCs w:val="24"/>
        </w:rPr>
        <w:instrText xml:space="preserve"> PAGEREF _Toc11733 \h </w:instrText>
      </w:r>
      <w:r>
        <w:rPr>
          <w:sz w:val="24"/>
          <w:szCs w:val="24"/>
        </w:rPr>
        <w:fldChar w:fldCharType="separate"/>
      </w:r>
      <w:r>
        <w:rPr>
          <w:sz w:val="24"/>
          <w:szCs w:val="24"/>
        </w:rPr>
        <w:t>182</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_Toc188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7.3.1 目的</w:t>
      </w:r>
      <w:r>
        <w:rPr>
          <w:sz w:val="24"/>
          <w:szCs w:val="24"/>
        </w:rPr>
        <w:tab/>
      </w:r>
      <w:r>
        <w:rPr>
          <w:sz w:val="24"/>
          <w:szCs w:val="24"/>
        </w:rPr>
        <w:fldChar w:fldCharType="begin"/>
      </w:r>
      <w:r>
        <w:rPr>
          <w:sz w:val="24"/>
          <w:szCs w:val="24"/>
        </w:rPr>
        <w:instrText xml:space="preserve"> PAGEREF _Toc188 \h </w:instrText>
      </w:r>
      <w:r>
        <w:rPr>
          <w:sz w:val="24"/>
          <w:szCs w:val="24"/>
        </w:rPr>
        <w:fldChar w:fldCharType="separate"/>
      </w:r>
      <w:r>
        <w:rPr>
          <w:sz w:val="24"/>
          <w:szCs w:val="24"/>
        </w:rPr>
        <w:t>182</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_Toc6687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7.3.2 </w:t>
      </w:r>
      <w:r>
        <w:rPr>
          <w:rFonts w:hint="eastAsia" w:cs="Times New Roman"/>
          <w:sz w:val="24"/>
          <w:szCs w:val="24"/>
          <w:lang w:eastAsia="zh-CN"/>
        </w:rPr>
        <w:t>“</w:t>
      </w:r>
      <w:r>
        <w:rPr>
          <w:rFonts w:hint="default" w:ascii="Times New Roman" w:hAnsi="Times New Roman" w:eastAsia="宋体" w:cs="Times New Roman"/>
          <w:sz w:val="24"/>
          <w:szCs w:val="24"/>
        </w:rPr>
        <w:t>三同时</w:t>
      </w:r>
      <w:r>
        <w:rPr>
          <w:rFonts w:hint="eastAsia" w:cs="Times New Roman"/>
          <w:sz w:val="24"/>
          <w:szCs w:val="24"/>
          <w:lang w:eastAsia="zh-CN"/>
        </w:rPr>
        <w:t>”</w:t>
      </w:r>
      <w:r>
        <w:rPr>
          <w:rFonts w:hint="default" w:ascii="Times New Roman" w:hAnsi="Times New Roman" w:eastAsia="宋体" w:cs="Times New Roman"/>
          <w:sz w:val="24"/>
          <w:szCs w:val="24"/>
        </w:rPr>
        <w:t>验收一览表</w:t>
      </w:r>
      <w:r>
        <w:rPr>
          <w:sz w:val="24"/>
          <w:szCs w:val="24"/>
        </w:rPr>
        <w:tab/>
      </w:r>
      <w:r>
        <w:rPr>
          <w:sz w:val="24"/>
          <w:szCs w:val="24"/>
        </w:rPr>
        <w:fldChar w:fldCharType="begin"/>
      </w:r>
      <w:r>
        <w:rPr>
          <w:sz w:val="24"/>
          <w:szCs w:val="24"/>
        </w:rPr>
        <w:instrText xml:space="preserve"> PAGEREF _Toc6687 \h </w:instrText>
      </w:r>
      <w:r>
        <w:rPr>
          <w:sz w:val="24"/>
          <w:szCs w:val="24"/>
        </w:rPr>
        <w:fldChar w:fldCharType="separate"/>
      </w:r>
      <w:r>
        <w:rPr>
          <w:sz w:val="24"/>
          <w:szCs w:val="24"/>
        </w:rPr>
        <w:t>182</w:t>
      </w:r>
      <w:r>
        <w:rPr>
          <w:sz w:val="24"/>
          <w:szCs w:val="24"/>
        </w:rPr>
        <w:fldChar w:fldCharType="end"/>
      </w:r>
      <w:r>
        <w:rPr>
          <w:rFonts w:hint="default" w:ascii="Times New Roman" w:hAnsi="Times New Roman" w:eastAsia="宋体" w:cs="Times New Roman"/>
          <w:color w:val="auto"/>
          <w:sz w:val="24"/>
          <w:szCs w:val="24"/>
        </w:rPr>
        <w:fldChar w:fldCharType="end"/>
      </w:r>
    </w:p>
    <w:p>
      <w:pPr>
        <w:pStyle w:val="35"/>
        <w:keepNext w:val="0"/>
        <w:keepLines w:val="0"/>
        <w:pageBreakBefore w:val="0"/>
        <w:tabs>
          <w:tab w:val="right" w:leader="dot" w:pos="9070"/>
          <w:tab w:val="clear" w:pos="906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_Toc4572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8环境影响经济损益分析</w:t>
      </w:r>
      <w:r>
        <w:rPr>
          <w:sz w:val="24"/>
          <w:szCs w:val="24"/>
        </w:rPr>
        <w:tab/>
      </w:r>
      <w:r>
        <w:rPr>
          <w:sz w:val="24"/>
          <w:szCs w:val="24"/>
        </w:rPr>
        <w:fldChar w:fldCharType="begin"/>
      </w:r>
      <w:r>
        <w:rPr>
          <w:sz w:val="24"/>
          <w:szCs w:val="24"/>
        </w:rPr>
        <w:instrText xml:space="preserve"> PAGEREF _Toc4572 \h </w:instrText>
      </w:r>
      <w:r>
        <w:rPr>
          <w:sz w:val="24"/>
          <w:szCs w:val="24"/>
        </w:rPr>
        <w:fldChar w:fldCharType="separate"/>
      </w:r>
      <w:r>
        <w:rPr>
          <w:sz w:val="24"/>
          <w:szCs w:val="24"/>
        </w:rPr>
        <w:t>184</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_Toc12390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eastAsia" w:cs="Times New Roman"/>
          <w:sz w:val="24"/>
          <w:szCs w:val="24"/>
          <w:lang w:val="en-US" w:eastAsia="zh-CN"/>
        </w:rPr>
        <w:t>1</w:t>
      </w:r>
      <w:r>
        <w:rPr>
          <w:rFonts w:hint="default" w:ascii="Times New Roman" w:hAnsi="Times New Roman" w:eastAsia="宋体" w:cs="Times New Roman"/>
          <w:sz w:val="24"/>
          <w:szCs w:val="24"/>
        </w:rPr>
        <w:t xml:space="preserve"> 环境影响经济损失</w:t>
      </w:r>
      <w:r>
        <w:rPr>
          <w:sz w:val="24"/>
          <w:szCs w:val="24"/>
        </w:rPr>
        <w:tab/>
      </w:r>
      <w:r>
        <w:rPr>
          <w:sz w:val="24"/>
          <w:szCs w:val="24"/>
        </w:rPr>
        <w:fldChar w:fldCharType="begin"/>
      </w:r>
      <w:r>
        <w:rPr>
          <w:sz w:val="24"/>
          <w:szCs w:val="24"/>
        </w:rPr>
        <w:instrText xml:space="preserve"> PAGEREF _Toc12390 \h </w:instrText>
      </w:r>
      <w:r>
        <w:rPr>
          <w:sz w:val="24"/>
          <w:szCs w:val="24"/>
        </w:rPr>
        <w:fldChar w:fldCharType="separate"/>
      </w:r>
      <w:r>
        <w:rPr>
          <w:sz w:val="24"/>
          <w:szCs w:val="24"/>
        </w:rPr>
        <w:t>184</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_Toc3897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8.2 环境效益分析</w:t>
      </w:r>
      <w:r>
        <w:rPr>
          <w:sz w:val="24"/>
          <w:szCs w:val="24"/>
        </w:rPr>
        <w:tab/>
      </w:r>
      <w:r>
        <w:rPr>
          <w:sz w:val="24"/>
          <w:szCs w:val="24"/>
        </w:rPr>
        <w:fldChar w:fldCharType="begin"/>
      </w:r>
      <w:r>
        <w:rPr>
          <w:sz w:val="24"/>
          <w:szCs w:val="24"/>
        </w:rPr>
        <w:instrText xml:space="preserve"> PAGEREF _Toc3897 \h </w:instrText>
      </w:r>
      <w:r>
        <w:rPr>
          <w:sz w:val="24"/>
          <w:szCs w:val="24"/>
        </w:rPr>
        <w:fldChar w:fldCharType="separate"/>
      </w:r>
      <w:r>
        <w:rPr>
          <w:sz w:val="24"/>
          <w:szCs w:val="24"/>
        </w:rPr>
        <w:t>184</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_Toc8282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8.3 环境影响损益分析结论</w:t>
      </w:r>
      <w:r>
        <w:rPr>
          <w:sz w:val="24"/>
          <w:szCs w:val="24"/>
        </w:rPr>
        <w:tab/>
      </w:r>
      <w:r>
        <w:rPr>
          <w:sz w:val="24"/>
          <w:szCs w:val="24"/>
        </w:rPr>
        <w:fldChar w:fldCharType="begin"/>
      </w:r>
      <w:r>
        <w:rPr>
          <w:sz w:val="24"/>
          <w:szCs w:val="24"/>
        </w:rPr>
        <w:instrText xml:space="preserve"> PAGEREF _Toc8282 \h </w:instrText>
      </w:r>
      <w:r>
        <w:rPr>
          <w:sz w:val="24"/>
          <w:szCs w:val="24"/>
        </w:rPr>
        <w:fldChar w:fldCharType="separate"/>
      </w:r>
      <w:r>
        <w:rPr>
          <w:sz w:val="24"/>
          <w:szCs w:val="24"/>
        </w:rPr>
        <w:t>185</w:t>
      </w:r>
      <w:r>
        <w:rPr>
          <w:sz w:val="24"/>
          <w:szCs w:val="24"/>
        </w:rPr>
        <w:fldChar w:fldCharType="end"/>
      </w:r>
      <w:r>
        <w:rPr>
          <w:rFonts w:hint="default" w:ascii="Times New Roman" w:hAnsi="Times New Roman" w:eastAsia="宋体" w:cs="Times New Roman"/>
          <w:color w:val="auto"/>
          <w:sz w:val="24"/>
          <w:szCs w:val="24"/>
        </w:rPr>
        <w:fldChar w:fldCharType="end"/>
      </w:r>
    </w:p>
    <w:p>
      <w:pPr>
        <w:pStyle w:val="35"/>
        <w:keepNext w:val="0"/>
        <w:keepLines w:val="0"/>
        <w:pageBreakBefore w:val="0"/>
        <w:tabs>
          <w:tab w:val="right" w:leader="dot" w:pos="9070"/>
          <w:tab w:val="clear" w:pos="906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_Toc3422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9环境影响评价结论</w:t>
      </w:r>
      <w:r>
        <w:rPr>
          <w:sz w:val="24"/>
          <w:szCs w:val="24"/>
        </w:rPr>
        <w:tab/>
      </w:r>
      <w:r>
        <w:rPr>
          <w:sz w:val="24"/>
          <w:szCs w:val="24"/>
        </w:rPr>
        <w:fldChar w:fldCharType="begin"/>
      </w:r>
      <w:r>
        <w:rPr>
          <w:sz w:val="24"/>
          <w:szCs w:val="24"/>
        </w:rPr>
        <w:instrText xml:space="preserve"> PAGEREF _Toc3422 \h </w:instrText>
      </w:r>
      <w:r>
        <w:rPr>
          <w:sz w:val="24"/>
          <w:szCs w:val="24"/>
        </w:rPr>
        <w:fldChar w:fldCharType="separate"/>
      </w:r>
      <w:r>
        <w:rPr>
          <w:sz w:val="24"/>
          <w:szCs w:val="24"/>
        </w:rPr>
        <w:t>186</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_Toc10639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9.1项目概况</w:t>
      </w:r>
      <w:r>
        <w:rPr>
          <w:sz w:val="24"/>
          <w:szCs w:val="24"/>
        </w:rPr>
        <w:tab/>
      </w:r>
      <w:r>
        <w:rPr>
          <w:sz w:val="24"/>
          <w:szCs w:val="24"/>
        </w:rPr>
        <w:fldChar w:fldCharType="begin"/>
      </w:r>
      <w:r>
        <w:rPr>
          <w:sz w:val="24"/>
          <w:szCs w:val="24"/>
        </w:rPr>
        <w:instrText xml:space="preserve"> PAGEREF _Toc10639 \h </w:instrText>
      </w:r>
      <w:r>
        <w:rPr>
          <w:sz w:val="24"/>
          <w:szCs w:val="24"/>
        </w:rPr>
        <w:fldChar w:fldCharType="separate"/>
      </w:r>
      <w:r>
        <w:rPr>
          <w:sz w:val="24"/>
          <w:szCs w:val="24"/>
        </w:rPr>
        <w:t>186</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_Toc7669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9.1.1 流域概况</w:t>
      </w:r>
      <w:r>
        <w:rPr>
          <w:sz w:val="24"/>
          <w:szCs w:val="24"/>
        </w:rPr>
        <w:tab/>
      </w:r>
      <w:r>
        <w:rPr>
          <w:sz w:val="24"/>
          <w:szCs w:val="24"/>
        </w:rPr>
        <w:fldChar w:fldCharType="begin"/>
      </w:r>
      <w:r>
        <w:rPr>
          <w:sz w:val="24"/>
          <w:szCs w:val="24"/>
        </w:rPr>
        <w:instrText xml:space="preserve"> PAGEREF _Toc7669 \h </w:instrText>
      </w:r>
      <w:r>
        <w:rPr>
          <w:sz w:val="24"/>
          <w:szCs w:val="24"/>
        </w:rPr>
        <w:fldChar w:fldCharType="separate"/>
      </w:r>
      <w:r>
        <w:rPr>
          <w:sz w:val="24"/>
          <w:szCs w:val="24"/>
        </w:rPr>
        <w:t>186</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_Toc19911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9.1.2 工程概况</w:t>
      </w:r>
      <w:r>
        <w:rPr>
          <w:sz w:val="24"/>
          <w:szCs w:val="24"/>
        </w:rPr>
        <w:tab/>
      </w:r>
      <w:r>
        <w:rPr>
          <w:sz w:val="24"/>
          <w:szCs w:val="24"/>
        </w:rPr>
        <w:fldChar w:fldCharType="begin"/>
      </w:r>
      <w:r>
        <w:rPr>
          <w:sz w:val="24"/>
          <w:szCs w:val="24"/>
        </w:rPr>
        <w:instrText xml:space="preserve"> PAGEREF _Toc19911 \h </w:instrText>
      </w:r>
      <w:r>
        <w:rPr>
          <w:sz w:val="24"/>
          <w:szCs w:val="24"/>
        </w:rPr>
        <w:fldChar w:fldCharType="separate"/>
      </w:r>
      <w:r>
        <w:rPr>
          <w:sz w:val="24"/>
          <w:szCs w:val="24"/>
        </w:rPr>
        <w:t>186</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_Toc8051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9.2工程分析结论</w:t>
      </w:r>
      <w:r>
        <w:rPr>
          <w:sz w:val="24"/>
          <w:szCs w:val="24"/>
        </w:rPr>
        <w:tab/>
      </w:r>
      <w:r>
        <w:rPr>
          <w:sz w:val="24"/>
          <w:szCs w:val="24"/>
        </w:rPr>
        <w:fldChar w:fldCharType="begin"/>
      </w:r>
      <w:r>
        <w:rPr>
          <w:sz w:val="24"/>
          <w:szCs w:val="24"/>
        </w:rPr>
        <w:instrText xml:space="preserve"> PAGEREF _Toc8051 \h </w:instrText>
      </w:r>
      <w:r>
        <w:rPr>
          <w:sz w:val="24"/>
          <w:szCs w:val="24"/>
        </w:rPr>
        <w:fldChar w:fldCharType="separate"/>
      </w:r>
      <w:r>
        <w:rPr>
          <w:sz w:val="24"/>
          <w:szCs w:val="24"/>
        </w:rPr>
        <w:t>186</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_Toc11893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9.2.1 工程建设与相关规划协调性分析</w:t>
      </w:r>
      <w:r>
        <w:rPr>
          <w:sz w:val="24"/>
          <w:szCs w:val="24"/>
        </w:rPr>
        <w:tab/>
      </w:r>
      <w:r>
        <w:rPr>
          <w:sz w:val="24"/>
          <w:szCs w:val="24"/>
        </w:rPr>
        <w:fldChar w:fldCharType="begin"/>
      </w:r>
      <w:r>
        <w:rPr>
          <w:sz w:val="24"/>
          <w:szCs w:val="24"/>
        </w:rPr>
        <w:instrText xml:space="preserve"> PAGEREF _Toc11893 \h </w:instrText>
      </w:r>
      <w:r>
        <w:rPr>
          <w:sz w:val="24"/>
          <w:szCs w:val="24"/>
        </w:rPr>
        <w:fldChar w:fldCharType="separate"/>
      </w:r>
      <w:r>
        <w:rPr>
          <w:sz w:val="24"/>
          <w:szCs w:val="24"/>
        </w:rPr>
        <w:t>186</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_Toc16138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9.2.2 工程方案及施工布置环境合理性分析</w:t>
      </w:r>
      <w:r>
        <w:rPr>
          <w:sz w:val="24"/>
          <w:szCs w:val="24"/>
        </w:rPr>
        <w:tab/>
      </w:r>
      <w:r>
        <w:rPr>
          <w:sz w:val="24"/>
          <w:szCs w:val="24"/>
        </w:rPr>
        <w:fldChar w:fldCharType="begin"/>
      </w:r>
      <w:r>
        <w:rPr>
          <w:sz w:val="24"/>
          <w:szCs w:val="24"/>
        </w:rPr>
        <w:instrText xml:space="preserve"> PAGEREF _Toc16138 \h </w:instrText>
      </w:r>
      <w:r>
        <w:rPr>
          <w:sz w:val="24"/>
          <w:szCs w:val="24"/>
        </w:rPr>
        <w:fldChar w:fldCharType="separate"/>
      </w:r>
      <w:r>
        <w:rPr>
          <w:sz w:val="24"/>
          <w:szCs w:val="24"/>
        </w:rPr>
        <w:t>187</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_Toc14184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9.2.3 环境影响因素分析</w:t>
      </w:r>
      <w:r>
        <w:rPr>
          <w:sz w:val="24"/>
          <w:szCs w:val="24"/>
        </w:rPr>
        <w:tab/>
      </w:r>
      <w:r>
        <w:rPr>
          <w:sz w:val="24"/>
          <w:szCs w:val="24"/>
        </w:rPr>
        <w:fldChar w:fldCharType="begin"/>
      </w:r>
      <w:r>
        <w:rPr>
          <w:sz w:val="24"/>
          <w:szCs w:val="24"/>
        </w:rPr>
        <w:instrText xml:space="preserve"> PAGEREF _Toc14184 \h </w:instrText>
      </w:r>
      <w:r>
        <w:rPr>
          <w:sz w:val="24"/>
          <w:szCs w:val="24"/>
        </w:rPr>
        <w:fldChar w:fldCharType="separate"/>
      </w:r>
      <w:r>
        <w:rPr>
          <w:sz w:val="24"/>
          <w:szCs w:val="24"/>
        </w:rPr>
        <w:t>187</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_Toc26411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9.3 环境现状调查与评价结论</w:t>
      </w:r>
      <w:r>
        <w:rPr>
          <w:sz w:val="24"/>
          <w:szCs w:val="24"/>
        </w:rPr>
        <w:tab/>
      </w:r>
      <w:r>
        <w:rPr>
          <w:sz w:val="24"/>
          <w:szCs w:val="24"/>
        </w:rPr>
        <w:fldChar w:fldCharType="begin"/>
      </w:r>
      <w:r>
        <w:rPr>
          <w:sz w:val="24"/>
          <w:szCs w:val="24"/>
        </w:rPr>
        <w:instrText xml:space="preserve"> PAGEREF _Toc26411 \h </w:instrText>
      </w:r>
      <w:r>
        <w:rPr>
          <w:sz w:val="24"/>
          <w:szCs w:val="24"/>
        </w:rPr>
        <w:fldChar w:fldCharType="separate"/>
      </w:r>
      <w:r>
        <w:rPr>
          <w:sz w:val="24"/>
          <w:szCs w:val="24"/>
        </w:rPr>
        <w:t>187</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_Toc1981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9.3.1 地表水环境</w:t>
      </w:r>
      <w:r>
        <w:rPr>
          <w:sz w:val="24"/>
          <w:szCs w:val="24"/>
        </w:rPr>
        <w:tab/>
      </w:r>
      <w:r>
        <w:rPr>
          <w:sz w:val="24"/>
          <w:szCs w:val="24"/>
        </w:rPr>
        <w:fldChar w:fldCharType="begin"/>
      </w:r>
      <w:r>
        <w:rPr>
          <w:sz w:val="24"/>
          <w:szCs w:val="24"/>
        </w:rPr>
        <w:instrText xml:space="preserve"> PAGEREF _Toc1981 \h </w:instrText>
      </w:r>
      <w:r>
        <w:rPr>
          <w:sz w:val="24"/>
          <w:szCs w:val="24"/>
        </w:rPr>
        <w:fldChar w:fldCharType="separate"/>
      </w:r>
      <w:r>
        <w:rPr>
          <w:sz w:val="24"/>
          <w:szCs w:val="24"/>
        </w:rPr>
        <w:t>187</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_Toc26403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9.3.2 大气环境</w:t>
      </w:r>
      <w:r>
        <w:rPr>
          <w:sz w:val="24"/>
          <w:szCs w:val="24"/>
        </w:rPr>
        <w:tab/>
      </w:r>
      <w:r>
        <w:rPr>
          <w:sz w:val="24"/>
          <w:szCs w:val="24"/>
        </w:rPr>
        <w:fldChar w:fldCharType="begin"/>
      </w:r>
      <w:r>
        <w:rPr>
          <w:sz w:val="24"/>
          <w:szCs w:val="24"/>
        </w:rPr>
        <w:instrText xml:space="preserve"> PAGEREF _Toc26403 \h </w:instrText>
      </w:r>
      <w:r>
        <w:rPr>
          <w:sz w:val="24"/>
          <w:szCs w:val="24"/>
        </w:rPr>
        <w:fldChar w:fldCharType="separate"/>
      </w:r>
      <w:r>
        <w:rPr>
          <w:sz w:val="24"/>
          <w:szCs w:val="24"/>
        </w:rPr>
        <w:t>188</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_Toc21393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9.3.3 声环境</w:t>
      </w:r>
      <w:r>
        <w:rPr>
          <w:sz w:val="24"/>
          <w:szCs w:val="24"/>
        </w:rPr>
        <w:tab/>
      </w:r>
      <w:r>
        <w:rPr>
          <w:sz w:val="24"/>
          <w:szCs w:val="24"/>
        </w:rPr>
        <w:fldChar w:fldCharType="begin"/>
      </w:r>
      <w:r>
        <w:rPr>
          <w:sz w:val="24"/>
          <w:szCs w:val="24"/>
        </w:rPr>
        <w:instrText xml:space="preserve"> PAGEREF _Toc21393 \h </w:instrText>
      </w:r>
      <w:r>
        <w:rPr>
          <w:sz w:val="24"/>
          <w:szCs w:val="24"/>
        </w:rPr>
        <w:fldChar w:fldCharType="separate"/>
      </w:r>
      <w:r>
        <w:rPr>
          <w:sz w:val="24"/>
          <w:szCs w:val="24"/>
        </w:rPr>
        <w:t>188</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_Toc17558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9.3.</w:t>
      </w:r>
      <w:r>
        <w:rPr>
          <w:rFonts w:hint="eastAsia" w:cs="Times New Roman"/>
          <w:sz w:val="24"/>
          <w:szCs w:val="24"/>
          <w:lang w:val="en-US" w:eastAsia="zh-CN"/>
        </w:rPr>
        <w:t>4</w:t>
      </w:r>
      <w:r>
        <w:rPr>
          <w:rFonts w:hint="default" w:ascii="Times New Roman" w:hAnsi="Times New Roman" w:eastAsia="宋体" w:cs="Times New Roman"/>
          <w:sz w:val="24"/>
          <w:szCs w:val="24"/>
        </w:rPr>
        <w:t xml:space="preserve"> 底泥环境</w:t>
      </w:r>
      <w:r>
        <w:rPr>
          <w:sz w:val="24"/>
          <w:szCs w:val="24"/>
        </w:rPr>
        <w:tab/>
      </w:r>
      <w:r>
        <w:rPr>
          <w:sz w:val="24"/>
          <w:szCs w:val="24"/>
        </w:rPr>
        <w:fldChar w:fldCharType="begin"/>
      </w:r>
      <w:r>
        <w:rPr>
          <w:sz w:val="24"/>
          <w:szCs w:val="24"/>
        </w:rPr>
        <w:instrText xml:space="preserve"> PAGEREF _Toc17558 \h </w:instrText>
      </w:r>
      <w:r>
        <w:rPr>
          <w:sz w:val="24"/>
          <w:szCs w:val="24"/>
        </w:rPr>
        <w:fldChar w:fldCharType="separate"/>
      </w:r>
      <w:r>
        <w:rPr>
          <w:sz w:val="24"/>
          <w:szCs w:val="24"/>
        </w:rPr>
        <w:t>188</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_Toc3079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9.3.</w:t>
      </w:r>
      <w:r>
        <w:rPr>
          <w:rFonts w:hint="eastAsia" w:cs="Times New Roman"/>
          <w:sz w:val="24"/>
          <w:szCs w:val="24"/>
          <w:lang w:val="en-US" w:eastAsia="zh-CN"/>
        </w:rPr>
        <w:t>5</w:t>
      </w:r>
      <w:r>
        <w:rPr>
          <w:rFonts w:hint="default" w:ascii="Times New Roman" w:hAnsi="Times New Roman" w:eastAsia="宋体" w:cs="Times New Roman"/>
          <w:sz w:val="24"/>
          <w:szCs w:val="24"/>
        </w:rPr>
        <w:t xml:space="preserve"> 生态环境</w:t>
      </w:r>
      <w:r>
        <w:rPr>
          <w:sz w:val="24"/>
          <w:szCs w:val="24"/>
        </w:rPr>
        <w:tab/>
      </w:r>
      <w:r>
        <w:rPr>
          <w:sz w:val="24"/>
          <w:szCs w:val="24"/>
        </w:rPr>
        <w:fldChar w:fldCharType="begin"/>
      </w:r>
      <w:r>
        <w:rPr>
          <w:sz w:val="24"/>
          <w:szCs w:val="24"/>
        </w:rPr>
        <w:instrText xml:space="preserve"> PAGEREF _Toc3079 \h </w:instrText>
      </w:r>
      <w:r>
        <w:rPr>
          <w:sz w:val="24"/>
          <w:szCs w:val="24"/>
        </w:rPr>
        <w:fldChar w:fldCharType="separate"/>
      </w:r>
      <w:r>
        <w:rPr>
          <w:sz w:val="24"/>
          <w:szCs w:val="24"/>
        </w:rPr>
        <w:t>188</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_Toc28137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9.4环境影响预测与评价结论</w:t>
      </w:r>
      <w:r>
        <w:rPr>
          <w:sz w:val="24"/>
          <w:szCs w:val="24"/>
        </w:rPr>
        <w:tab/>
      </w:r>
      <w:r>
        <w:rPr>
          <w:sz w:val="24"/>
          <w:szCs w:val="24"/>
        </w:rPr>
        <w:fldChar w:fldCharType="begin"/>
      </w:r>
      <w:r>
        <w:rPr>
          <w:sz w:val="24"/>
          <w:szCs w:val="24"/>
        </w:rPr>
        <w:instrText xml:space="preserve"> PAGEREF _Toc28137 \h </w:instrText>
      </w:r>
      <w:r>
        <w:rPr>
          <w:sz w:val="24"/>
          <w:szCs w:val="24"/>
        </w:rPr>
        <w:fldChar w:fldCharType="separate"/>
      </w:r>
      <w:r>
        <w:rPr>
          <w:sz w:val="24"/>
          <w:szCs w:val="24"/>
        </w:rPr>
        <w:t>189</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_Toc18579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9.4.1 水环境影响结论</w:t>
      </w:r>
      <w:r>
        <w:rPr>
          <w:sz w:val="24"/>
          <w:szCs w:val="24"/>
        </w:rPr>
        <w:tab/>
      </w:r>
      <w:r>
        <w:rPr>
          <w:sz w:val="24"/>
          <w:szCs w:val="24"/>
        </w:rPr>
        <w:fldChar w:fldCharType="begin"/>
      </w:r>
      <w:r>
        <w:rPr>
          <w:sz w:val="24"/>
          <w:szCs w:val="24"/>
        </w:rPr>
        <w:instrText xml:space="preserve"> PAGEREF _Toc18579 \h </w:instrText>
      </w:r>
      <w:r>
        <w:rPr>
          <w:sz w:val="24"/>
          <w:szCs w:val="24"/>
        </w:rPr>
        <w:fldChar w:fldCharType="separate"/>
      </w:r>
      <w:r>
        <w:rPr>
          <w:sz w:val="24"/>
          <w:szCs w:val="24"/>
        </w:rPr>
        <w:t>189</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_Toc31958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9.4.2 大气环境影响结论</w:t>
      </w:r>
      <w:r>
        <w:rPr>
          <w:sz w:val="24"/>
          <w:szCs w:val="24"/>
        </w:rPr>
        <w:tab/>
      </w:r>
      <w:r>
        <w:rPr>
          <w:sz w:val="24"/>
          <w:szCs w:val="24"/>
        </w:rPr>
        <w:fldChar w:fldCharType="begin"/>
      </w:r>
      <w:r>
        <w:rPr>
          <w:sz w:val="24"/>
          <w:szCs w:val="24"/>
        </w:rPr>
        <w:instrText xml:space="preserve"> PAGEREF _Toc31958 \h </w:instrText>
      </w:r>
      <w:r>
        <w:rPr>
          <w:sz w:val="24"/>
          <w:szCs w:val="24"/>
        </w:rPr>
        <w:fldChar w:fldCharType="separate"/>
      </w:r>
      <w:r>
        <w:rPr>
          <w:sz w:val="24"/>
          <w:szCs w:val="24"/>
        </w:rPr>
        <w:t>189</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_Toc952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9.4.3 声环境影响结论</w:t>
      </w:r>
      <w:r>
        <w:rPr>
          <w:sz w:val="24"/>
          <w:szCs w:val="24"/>
        </w:rPr>
        <w:tab/>
      </w:r>
      <w:r>
        <w:rPr>
          <w:sz w:val="24"/>
          <w:szCs w:val="24"/>
        </w:rPr>
        <w:fldChar w:fldCharType="begin"/>
      </w:r>
      <w:r>
        <w:rPr>
          <w:sz w:val="24"/>
          <w:szCs w:val="24"/>
        </w:rPr>
        <w:instrText xml:space="preserve"> PAGEREF _Toc952 \h </w:instrText>
      </w:r>
      <w:r>
        <w:rPr>
          <w:sz w:val="24"/>
          <w:szCs w:val="24"/>
        </w:rPr>
        <w:fldChar w:fldCharType="separate"/>
      </w:r>
      <w:r>
        <w:rPr>
          <w:sz w:val="24"/>
          <w:szCs w:val="24"/>
        </w:rPr>
        <w:t>190</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_Toc29374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9.4.4 固废环境影响</w:t>
      </w:r>
      <w:r>
        <w:rPr>
          <w:rFonts w:hint="eastAsia" w:cs="Times New Roman"/>
          <w:sz w:val="24"/>
          <w:szCs w:val="24"/>
          <w:lang w:val="en-US" w:eastAsia="zh-CN"/>
        </w:rPr>
        <w:t>结论</w:t>
      </w:r>
      <w:r>
        <w:rPr>
          <w:sz w:val="24"/>
          <w:szCs w:val="24"/>
        </w:rPr>
        <w:tab/>
      </w:r>
      <w:r>
        <w:rPr>
          <w:sz w:val="24"/>
          <w:szCs w:val="24"/>
        </w:rPr>
        <w:fldChar w:fldCharType="begin"/>
      </w:r>
      <w:r>
        <w:rPr>
          <w:sz w:val="24"/>
          <w:szCs w:val="24"/>
        </w:rPr>
        <w:instrText xml:space="preserve"> PAGEREF _Toc29374 \h </w:instrText>
      </w:r>
      <w:r>
        <w:rPr>
          <w:sz w:val="24"/>
          <w:szCs w:val="24"/>
        </w:rPr>
        <w:fldChar w:fldCharType="separate"/>
      </w:r>
      <w:r>
        <w:rPr>
          <w:sz w:val="24"/>
          <w:szCs w:val="24"/>
        </w:rPr>
        <w:t>190</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_Toc3736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9.4.5 生态环境影响结论</w:t>
      </w:r>
      <w:r>
        <w:rPr>
          <w:sz w:val="24"/>
          <w:szCs w:val="24"/>
        </w:rPr>
        <w:tab/>
      </w:r>
      <w:r>
        <w:rPr>
          <w:sz w:val="24"/>
          <w:szCs w:val="24"/>
        </w:rPr>
        <w:fldChar w:fldCharType="begin"/>
      </w:r>
      <w:r>
        <w:rPr>
          <w:sz w:val="24"/>
          <w:szCs w:val="24"/>
        </w:rPr>
        <w:instrText xml:space="preserve"> PAGEREF _Toc3736 \h </w:instrText>
      </w:r>
      <w:r>
        <w:rPr>
          <w:sz w:val="24"/>
          <w:szCs w:val="24"/>
        </w:rPr>
        <w:fldChar w:fldCharType="separate"/>
      </w:r>
      <w:r>
        <w:rPr>
          <w:sz w:val="24"/>
          <w:szCs w:val="24"/>
        </w:rPr>
        <w:t>190</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_Toc25720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9.4.6 重要生态敏感区影响结论</w:t>
      </w:r>
      <w:r>
        <w:rPr>
          <w:sz w:val="24"/>
          <w:szCs w:val="24"/>
        </w:rPr>
        <w:tab/>
      </w:r>
      <w:r>
        <w:rPr>
          <w:sz w:val="24"/>
          <w:szCs w:val="24"/>
        </w:rPr>
        <w:fldChar w:fldCharType="begin"/>
      </w:r>
      <w:r>
        <w:rPr>
          <w:sz w:val="24"/>
          <w:szCs w:val="24"/>
        </w:rPr>
        <w:instrText xml:space="preserve"> PAGEREF _Toc25720 \h </w:instrText>
      </w:r>
      <w:r>
        <w:rPr>
          <w:sz w:val="24"/>
          <w:szCs w:val="24"/>
        </w:rPr>
        <w:fldChar w:fldCharType="separate"/>
      </w:r>
      <w:r>
        <w:rPr>
          <w:sz w:val="24"/>
          <w:szCs w:val="24"/>
        </w:rPr>
        <w:t>190</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_Toc31229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9.4.7 人群健康影响预测</w:t>
      </w:r>
      <w:r>
        <w:rPr>
          <w:sz w:val="24"/>
          <w:szCs w:val="24"/>
        </w:rPr>
        <w:tab/>
      </w:r>
      <w:r>
        <w:rPr>
          <w:sz w:val="24"/>
          <w:szCs w:val="24"/>
        </w:rPr>
        <w:fldChar w:fldCharType="begin"/>
      </w:r>
      <w:r>
        <w:rPr>
          <w:sz w:val="24"/>
          <w:szCs w:val="24"/>
        </w:rPr>
        <w:instrText xml:space="preserve"> PAGEREF _Toc31229 \h </w:instrText>
      </w:r>
      <w:r>
        <w:rPr>
          <w:sz w:val="24"/>
          <w:szCs w:val="24"/>
        </w:rPr>
        <w:fldChar w:fldCharType="separate"/>
      </w:r>
      <w:r>
        <w:rPr>
          <w:sz w:val="24"/>
          <w:szCs w:val="24"/>
        </w:rPr>
        <w:t>190</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_Toc31150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9.5 环境保护措施结论</w:t>
      </w:r>
      <w:r>
        <w:rPr>
          <w:sz w:val="24"/>
          <w:szCs w:val="24"/>
        </w:rPr>
        <w:tab/>
      </w:r>
      <w:r>
        <w:rPr>
          <w:sz w:val="24"/>
          <w:szCs w:val="24"/>
        </w:rPr>
        <w:fldChar w:fldCharType="begin"/>
      </w:r>
      <w:r>
        <w:rPr>
          <w:sz w:val="24"/>
          <w:szCs w:val="24"/>
        </w:rPr>
        <w:instrText xml:space="preserve"> PAGEREF _Toc31150 \h </w:instrText>
      </w:r>
      <w:r>
        <w:rPr>
          <w:sz w:val="24"/>
          <w:szCs w:val="24"/>
        </w:rPr>
        <w:fldChar w:fldCharType="separate"/>
      </w:r>
      <w:r>
        <w:rPr>
          <w:sz w:val="24"/>
          <w:szCs w:val="24"/>
        </w:rPr>
        <w:t>191</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_Toc26830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9.5.1 太湖饮用水源地保护对策</w:t>
      </w:r>
      <w:r>
        <w:rPr>
          <w:sz w:val="24"/>
          <w:szCs w:val="24"/>
        </w:rPr>
        <w:tab/>
      </w:r>
      <w:r>
        <w:rPr>
          <w:sz w:val="24"/>
          <w:szCs w:val="24"/>
        </w:rPr>
        <w:fldChar w:fldCharType="begin"/>
      </w:r>
      <w:r>
        <w:rPr>
          <w:sz w:val="24"/>
          <w:szCs w:val="24"/>
        </w:rPr>
        <w:instrText xml:space="preserve"> PAGEREF _Toc26830 \h </w:instrText>
      </w:r>
      <w:r>
        <w:rPr>
          <w:sz w:val="24"/>
          <w:szCs w:val="24"/>
        </w:rPr>
        <w:fldChar w:fldCharType="separate"/>
      </w:r>
      <w:r>
        <w:rPr>
          <w:sz w:val="24"/>
          <w:szCs w:val="24"/>
        </w:rPr>
        <w:t>191</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_Toc1029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9.5.2 大气环境防治措施</w:t>
      </w:r>
      <w:r>
        <w:rPr>
          <w:sz w:val="24"/>
          <w:szCs w:val="24"/>
        </w:rPr>
        <w:tab/>
      </w:r>
      <w:r>
        <w:rPr>
          <w:sz w:val="24"/>
          <w:szCs w:val="24"/>
        </w:rPr>
        <w:fldChar w:fldCharType="begin"/>
      </w:r>
      <w:r>
        <w:rPr>
          <w:sz w:val="24"/>
          <w:szCs w:val="24"/>
        </w:rPr>
        <w:instrText xml:space="preserve"> PAGEREF _Toc1029 \h </w:instrText>
      </w:r>
      <w:r>
        <w:rPr>
          <w:sz w:val="24"/>
          <w:szCs w:val="24"/>
        </w:rPr>
        <w:fldChar w:fldCharType="separate"/>
      </w:r>
      <w:r>
        <w:rPr>
          <w:sz w:val="24"/>
          <w:szCs w:val="24"/>
        </w:rPr>
        <w:t>191</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_Toc7949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9.5.3 噪声环境防治措施</w:t>
      </w:r>
      <w:r>
        <w:rPr>
          <w:sz w:val="24"/>
          <w:szCs w:val="24"/>
        </w:rPr>
        <w:tab/>
      </w:r>
      <w:r>
        <w:rPr>
          <w:sz w:val="24"/>
          <w:szCs w:val="24"/>
        </w:rPr>
        <w:fldChar w:fldCharType="begin"/>
      </w:r>
      <w:r>
        <w:rPr>
          <w:sz w:val="24"/>
          <w:szCs w:val="24"/>
        </w:rPr>
        <w:instrText xml:space="preserve"> PAGEREF _Toc7949 \h </w:instrText>
      </w:r>
      <w:r>
        <w:rPr>
          <w:sz w:val="24"/>
          <w:szCs w:val="24"/>
        </w:rPr>
        <w:fldChar w:fldCharType="separate"/>
      </w:r>
      <w:r>
        <w:rPr>
          <w:sz w:val="24"/>
          <w:szCs w:val="24"/>
        </w:rPr>
        <w:t>191</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_Toc21666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9.5.4 水污染防治措施</w:t>
      </w:r>
      <w:r>
        <w:rPr>
          <w:sz w:val="24"/>
          <w:szCs w:val="24"/>
        </w:rPr>
        <w:tab/>
      </w:r>
      <w:r>
        <w:rPr>
          <w:sz w:val="24"/>
          <w:szCs w:val="24"/>
        </w:rPr>
        <w:fldChar w:fldCharType="begin"/>
      </w:r>
      <w:r>
        <w:rPr>
          <w:sz w:val="24"/>
          <w:szCs w:val="24"/>
        </w:rPr>
        <w:instrText xml:space="preserve"> PAGEREF _Toc21666 \h </w:instrText>
      </w:r>
      <w:r>
        <w:rPr>
          <w:sz w:val="24"/>
          <w:szCs w:val="24"/>
        </w:rPr>
        <w:fldChar w:fldCharType="separate"/>
      </w:r>
      <w:r>
        <w:rPr>
          <w:sz w:val="24"/>
          <w:szCs w:val="24"/>
        </w:rPr>
        <w:t>191</w:t>
      </w:r>
      <w:r>
        <w:rPr>
          <w:sz w:val="24"/>
          <w:szCs w:val="24"/>
        </w:rPr>
        <w:fldChar w:fldCharType="end"/>
      </w:r>
      <w:r>
        <w:rPr>
          <w:rFonts w:hint="default" w:ascii="Times New Roman" w:hAnsi="Times New Roman" w:eastAsia="宋体" w:cs="Times New Roman"/>
          <w:color w:val="auto"/>
          <w:sz w:val="24"/>
          <w:szCs w:val="24"/>
        </w:rPr>
        <w:fldChar w:fldCharType="end"/>
      </w:r>
    </w:p>
    <w:p>
      <w:pPr>
        <w:pStyle w:val="26"/>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_Toc31176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9.5.5 生态环境防治措施</w:t>
      </w:r>
      <w:r>
        <w:rPr>
          <w:sz w:val="24"/>
          <w:szCs w:val="24"/>
        </w:rPr>
        <w:tab/>
      </w:r>
      <w:r>
        <w:rPr>
          <w:sz w:val="24"/>
          <w:szCs w:val="24"/>
        </w:rPr>
        <w:fldChar w:fldCharType="begin"/>
      </w:r>
      <w:r>
        <w:rPr>
          <w:sz w:val="24"/>
          <w:szCs w:val="24"/>
        </w:rPr>
        <w:instrText xml:space="preserve"> PAGEREF _Toc31176 \h </w:instrText>
      </w:r>
      <w:r>
        <w:rPr>
          <w:sz w:val="24"/>
          <w:szCs w:val="24"/>
        </w:rPr>
        <w:fldChar w:fldCharType="separate"/>
      </w:r>
      <w:r>
        <w:rPr>
          <w:sz w:val="24"/>
          <w:szCs w:val="24"/>
        </w:rPr>
        <w:t>192</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_Toc27347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9.6环保投资与效益分析结论</w:t>
      </w:r>
      <w:r>
        <w:rPr>
          <w:sz w:val="24"/>
          <w:szCs w:val="24"/>
        </w:rPr>
        <w:tab/>
      </w:r>
      <w:r>
        <w:rPr>
          <w:sz w:val="24"/>
          <w:szCs w:val="24"/>
        </w:rPr>
        <w:fldChar w:fldCharType="begin"/>
      </w:r>
      <w:r>
        <w:rPr>
          <w:sz w:val="24"/>
          <w:szCs w:val="24"/>
        </w:rPr>
        <w:instrText xml:space="preserve"> PAGEREF _Toc27347 \h </w:instrText>
      </w:r>
      <w:r>
        <w:rPr>
          <w:sz w:val="24"/>
          <w:szCs w:val="24"/>
        </w:rPr>
        <w:fldChar w:fldCharType="separate"/>
      </w:r>
      <w:r>
        <w:rPr>
          <w:sz w:val="24"/>
          <w:szCs w:val="24"/>
        </w:rPr>
        <w:t>192</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_Toc8110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9.7公众参与</w:t>
      </w:r>
      <w:r>
        <w:rPr>
          <w:sz w:val="24"/>
          <w:szCs w:val="24"/>
        </w:rPr>
        <w:tab/>
      </w:r>
      <w:r>
        <w:rPr>
          <w:sz w:val="24"/>
          <w:szCs w:val="24"/>
        </w:rPr>
        <w:fldChar w:fldCharType="begin"/>
      </w:r>
      <w:r>
        <w:rPr>
          <w:sz w:val="24"/>
          <w:szCs w:val="24"/>
        </w:rPr>
        <w:instrText xml:space="preserve"> PAGEREF _Toc8110 \h </w:instrText>
      </w:r>
      <w:r>
        <w:rPr>
          <w:sz w:val="24"/>
          <w:szCs w:val="24"/>
        </w:rPr>
        <w:fldChar w:fldCharType="separate"/>
      </w:r>
      <w:r>
        <w:rPr>
          <w:sz w:val="24"/>
          <w:szCs w:val="24"/>
        </w:rPr>
        <w:t>193</w:t>
      </w:r>
      <w:r>
        <w:rPr>
          <w:sz w:val="24"/>
          <w:szCs w:val="24"/>
        </w:rPr>
        <w:fldChar w:fldCharType="end"/>
      </w:r>
      <w:r>
        <w:rPr>
          <w:rFonts w:hint="default" w:ascii="Times New Roman" w:hAnsi="Times New Roman" w:eastAsia="宋体" w:cs="Times New Roman"/>
          <w:color w:val="auto"/>
          <w:sz w:val="24"/>
          <w:szCs w:val="24"/>
        </w:rPr>
        <w:fldChar w:fldCharType="end"/>
      </w:r>
    </w:p>
    <w:p>
      <w:pPr>
        <w:pStyle w:val="45"/>
        <w:keepNext w:val="0"/>
        <w:keepLines w:val="0"/>
        <w:pageBreakBefore w:val="0"/>
        <w:tabs>
          <w:tab w:val="right" w:leader="dot" w:pos="9070"/>
        </w:tabs>
        <w:kinsoku/>
        <w:wordWrap/>
        <w:overflowPunct/>
        <w:topLinePunct w:val="0"/>
        <w:autoSpaceDE/>
        <w:autoSpaceDN/>
        <w:bidi w:val="0"/>
        <w:adjustRightInd/>
        <w:snapToGrid/>
        <w:spacing w:line="480" w:lineRule="exact"/>
        <w:textAlignment w:val="auto"/>
        <w:rPr>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_Toc11479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9.9总结论</w:t>
      </w:r>
      <w:r>
        <w:rPr>
          <w:sz w:val="24"/>
          <w:szCs w:val="24"/>
        </w:rPr>
        <w:tab/>
      </w:r>
      <w:r>
        <w:rPr>
          <w:sz w:val="24"/>
          <w:szCs w:val="24"/>
        </w:rPr>
        <w:fldChar w:fldCharType="begin"/>
      </w:r>
      <w:r>
        <w:rPr>
          <w:sz w:val="24"/>
          <w:szCs w:val="24"/>
        </w:rPr>
        <w:instrText xml:space="preserve"> PAGEREF _Toc11479 \h </w:instrText>
      </w:r>
      <w:r>
        <w:rPr>
          <w:sz w:val="24"/>
          <w:szCs w:val="24"/>
        </w:rPr>
        <w:fldChar w:fldCharType="separate"/>
      </w:r>
      <w:r>
        <w:rPr>
          <w:sz w:val="24"/>
          <w:szCs w:val="24"/>
        </w:rPr>
        <w:t>193</w:t>
      </w:r>
      <w:r>
        <w:rPr>
          <w:sz w:val="24"/>
          <w:szCs w:val="24"/>
        </w:rPr>
        <w:fldChar w:fldCharType="end"/>
      </w:r>
      <w:r>
        <w:rPr>
          <w:rFonts w:hint="default" w:ascii="Times New Roman" w:hAnsi="Times New Roman" w:eastAsia="宋体" w:cs="Times New Roman"/>
          <w:color w:val="auto"/>
          <w:sz w:val="24"/>
          <w:szCs w:val="24"/>
        </w:rPr>
        <w:fldChar w:fldCharType="end"/>
      </w:r>
    </w:p>
    <w:p>
      <w:pPr>
        <w:keepNext w:val="0"/>
        <w:keepLines w:val="0"/>
        <w:pageBreakBefore w:val="0"/>
        <w:widowControl/>
        <w:kinsoku/>
        <w:wordWrap/>
        <w:overflowPunct/>
        <w:topLinePunct w:val="0"/>
        <w:autoSpaceDE/>
        <w:autoSpaceDN/>
        <w:bidi w:val="0"/>
        <w:adjustRightInd/>
        <w:snapToGrid/>
        <w:spacing w:line="480" w:lineRule="exact"/>
        <w:ind w:firstLine="480" w:firstLineChars="20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end"/>
      </w:r>
    </w:p>
    <w:p>
      <w:pPr>
        <w:keepNext w:val="0"/>
        <w:keepLines w:val="0"/>
        <w:pageBreakBefore w:val="0"/>
        <w:kinsoku/>
        <w:wordWrap/>
        <w:overflowPunct/>
        <w:topLinePunct w:val="0"/>
        <w:autoSpaceDE/>
        <w:autoSpaceDN/>
        <w:bidi w:val="0"/>
        <w:adjustRightInd/>
        <w:snapToGrid/>
        <w:spacing w:line="480" w:lineRule="exact"/>
        <w:jc w:val="left"/>
        <w:textAlignment w:val="auto"/>
        <w:rPr>
          <w:rFonts w:hint="default" w:ascii="Times New Roman" w:hAnsi="Times New Roman" w:eastAsia="宋体" w:cs="Times New Roman"/>
          <w:b/>
          <w:bCs/>
          <w:color w:val="auto"/>
          <w:lang w:val="zh-CN"/>
        </w:rPr>
      </w:pPr>
      <w:r>
        <w:rPr>
          <w:rFonts w:hint="default" w:ascii="Times New Roman" w:hAnsi="Times New Roman" w:eastAsia="宋体" w:cs="Times New Roman"/>
          <w:b/>
          <w:bCs/>
          <w:color w:val="auto"/>
          <w:lang w:val="zh-CN"/>
        </w:rPr>
        <w:t>附</w:t>
      </w:r>
      <w:r>
        <w:rPr>
          <w:rFonts w:hint="eastAsia" w:cs="Times New Roman"/>
          <w:b/>
          <w:bCs/>
          <w:color w:val="auto"/>
          <w:lang w:val="en-US" w:eastAsia="zh-CN"/>
        </w:rPr>
        <w:t>图</w:t>
      </w:r>
      <w:r>
        <w:rPr>
          <w:rFonts w:hint="default" w:ascii="Times New Roman" w:hAnsi="Times New Roman" w:eastAsia="宋体" w:cs="Times New Roman"/>
          <w:b/>
          <w:bCs/>
          <w:color w:val="auto"/>
          <w:lang w:val="zh-CN"/>
        </w:rPr>
        <w:t>：</w:t>
      </w:r>
    </w:p>
    <w:p>
      <w:pPr>
        <w:spacing w:line="480" w:lineRule="exact"/>
        <w:ind w:firstLine="480" w:firstLineChars="200"/>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附</w:t>
      </w:r>
      <w:r>
        <w:rPr>
          <w:rFonts w:hint="eastAsia" w:cs="Times New Roman"/>
          <w:color w:val="auto"/>
          <w:lang w:val="en-US" w:eastAsia="zh-CN"/>
        </w:rPr>
        <w:t>图</w:t>
      </w:r>
      <w:r>
        <w:rPr>
          <w:rFonts w:hint="default" w:ascii="Times New Roman" w:hAnsi="Times New Roman" w:eastAsia="宋体" w:cs="Times New Roman"/>
          <w:color w:val="auto"/>
          <w:lang w:val="zh-CN"/>
        </w:rPr>
        <w:t>1：</w:t>
      </w:r>
      <w:r>
        <w:rPr>
          <w:rFonts w:hint="eastAsia" w:cs="Times New Roman"/>
          <w:color w:val="auto"/>
          <w:lang w:val="en-US" w:eastAsia="zh-CN"/>
        </w:rPr>
        <w:t>项目地理位置图</w:t>
      </w:r>
    </w:p>
    <w:p>
      <w:pPr>
        <w:spacing w:line="480" w:lineRule="exact"/>
        <w:ind w:firstLine="480" w:firstLineChars="200"/>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附</w:t>
      </w:r>
      <w:r>
        <w:rPr>
          <w:rFonts w:hint="eastAsia" w:cs="Times New Roman"/>
          <w:color w:val="auto"/>
          <w:lang w:val="en-US" w:eastAsia="zh-CN"/>
        </w:rPr>
        <w:t>图2</w:t>
      </w:r>
      <w:r>
        <w:rPr>
          <w:rFonts w:hint="default" w:ascii="Times New Roman" w:hAnsi="Times New Roman" w:eastAsia="宋体" w:cs="Times New Roman"/>
          <w:color w:val="auto"/>
          <w:lang w:val="zh-CN"/>
        </w:rPr>
        <w:t>：</w:t>
      </w:r>
      <w:r>
        <w:rPr>
          <w:rFonts w:hint="eastAsia" w:cs="Times New Roman"/>
          <w:color w:val="auto"/>
          <w:lang w:val="en-US" w:eastAsia="zh-CN"/>
        </w:rPr>
        <w:t>项目工程位置图</w:t>
      </w:r>
    </w:p>
    <w:p>
      <w:pPr>
        <w:spacing w:line="480" w:lineRule="exact"/>
        <w:ind w:firstLine="480" w:firstLineChars="200"/>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附</w:t>
      </w:r>
      <w:r>
        <w:rPr>
          <w:rFonts w:hint="eastAsia" w:cs="Times New Roman"/>
          <w:color w:val="auto"/>
          <w:lang w:val="en-US" w:eastAsia="zh-CN"/>
        </w:rPr>
        <w:t>图3</w:t>
      </w:r>
      <w:r>
        <w:rPr>
          <w:rFonts w:hint="default" w:ascii="Times New Roman" w:hAnsi="Times New Roman" w:eastAsia="宋体" w:cs="Times New Roman"/>
          <w:color w:val="auto"/>
          <w:lang w:val="zh-CN"/>
        </w:rPr>
        <w:t>：</w:t>
      </w:r>
      <w:r>
        <w:rPr>
          <w:rFonts w:hint="eastAsia" w:cs="Times New Roman"/>
          <w:color w:val="auto"/>
          <w:lang w:val="en-US" w:eastAsia="zh-CN"/>
        </w:rPr>
        <w:t>项目工程总平图</w:t>
      </w:r>
    </w:p>
    <w:p>
      <w:pPr>
        <w:spacing w:line="480" w:lineRule="exact"/>
        <w:ind w:firstLine="480" w:firstLineChars="200"/>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附</w:t>
      </w:r>
      <w:r>
        <w:rPr>
          <w:rFonts w:hint="eastAsia" w:ascii="Times New Roman" w:hAnsi="Times New Roman" w:eastAsia="宋体" w:cs="Times New Roman"/>
          <w:color w:val="auto"/>
          <w:lang w:val="en-US" w:eastAsia="zh-CN"/>
        </w:rPr>
        <w:t>图4</w:t>
      </w:r>
      <w:r>
        <w:rPr>
          <w:rFonts w:hint="default" w:ascii="Times New Roman" w:hAnsi="Times New Roman" w:eastAsia="宋体" w:cs="Times New Roman"/>
          <w:color w:val="auto"/>
          <w:lang w:val="zh-CN"/>
        </w:rPr>
        <w:t>：</w:t>
      </w:r>
      <w:r>
        <w:rPr>
          <w:rFonts w:hint="eastAsia" w:cs="Times New Roman"/>
          <w:color w:val="auto"/>
          <w:lang w:val="en-US" w:eastAsia="zh-CN"/>
        </w:rPr>
        <w:t>项目植物平面分布图</w:t>
      </w:r>
    </w:p>
    <w:p>
      <w:pPr>
        <w:spacing w:line="480" w:lineRule="exact"/>
        <w:ind w:firstLine="480" w:firstLineChars="200"/>
        <w:rPr>
          <w:rFonts w:hint="default" w:ascii="Times New Roman" w:hAnsi="Times New Roman" w:eastAsia="宋体" w:cs="Times New Roman"/>
          <w:color w:val="FF0000"/>
          <w:lang w:val="zh-CN"/>
        </w:rPr>
      </w:pPr>
      <w:r>
        <w:rPr>
          <w:rFonts w:hint="default" w:ascii="Times New Roman" w:hAnsi="Times New Roman" w:eastAsia="宋体" w:cs="Times New Roman"/>
          <w:color w:val="auto"/>
          <w:lang w:val="zh-CN"/>
        </w:rPr>
        <w:t>附</w:t>
      </w:r>
      <w:r>
        <w:rPr>
          <w:rFonts w:hint="eastAsia" w:ascii="Times New Roman" w:hAnsi="Times New Roman" w:eastAsia="宋体" w:cs="Times New Roman"/>
          <w:color w:val="auto"/>
          <w:lang w:val="en-US" w:eastAsia="zh-CN"/>
        </w:rPr>
        <w:t>图5</w:t>
      </w:r>
      <w:r>
        <w:rPr>
          <w:rFonts w:hint="default" w:ascii="Times New Roman" w:hAnsi="Times New Roman" w:eastAsia="宋体" w:cs="Times New Roman"/>
          <w:color w:val="auto"/>
          <w:lang w:val="zh-CN"/>
        </w:rPr>
        <w:t>：项目与</w:t>
      </w:r>
      <w:r>
        <w:rPr>
          <w:rFonts w:hint="eastAsia" w:cs="Times New Roman"/>
          <w:color w:val="auto"/>
          <w:lang w:val="zh-CN"/>
        </w:rPr>
        <w:t>材料堆放区</w:t>
      </w:r>
      <w:r>
        <w:rPr>
          <w:rFonts w:hint="default" w:ascii="Times New Roman" w:hAnsi="Times New Roman" w:eastAsia="宋体" w:cs="Times New Roman"/>
          <w:color w:val="auto"/>
          <w:lang w:val="zh-CN"/>
        </w:rPr>
        <w:t>及项目部位置关系图</w:t>
      </w:r>
    </w:p>
    <w:p>
      <w:pPr>
        <w:spacing w:line="480" w:lineRule="exact"/>
        <w:ind w:firstLine="480" w:firstLineChars="20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附图6：项目所在区域水系图</w:t>
      </w:r>
    </w:p>
    <w:p>
      <w:pPr>
        <w:spacing w:line="480" w:lineRule="exact"/>
        <w:ind w:firstLine="480" w:firstLineChars="200"/>
        <w:rPr>
          <w:rFonts w:hint="eastAsia" w:cs="Times New Roman"/>
          <w:color w:val="auto"/>
          <w:lang w:val="en-US" w:eastAsia="zh-CN"/>
        </w:rPr>
      </w:pPr>
      <w:r>
        <w:rPr>
          <w:rFonts w:hint="eastAsia" w:cs="Times New Roman"/>
          <w:color w:val="auto"/>
          <w:lang w:val="en-US" w:eastAsia="zh-CN"/>
        </w:rPr>
        <w:t>附图7：项目与国家级生态红线关系图</w:t>
      </w:r>
    </w:p>
    <w:p>
      <w:pPr>
        <w:spacing w:line="480" w:lineRule="exact"/>
        <w:ind w:firstLine="480" w:firstLineChars="200"/>
        <w:rPr>
          <w:rFonts w:hint="eastAsia" w:cs="Times New Roman"/>
          <w:color w:val="auto"/>
          <w:lang w:val="en-US" w:eastAsia="zh-CN"/>
        </w:rPr>
      </w:pPr>
      <w:r>
        <w:rPr>
          <w:rFonts w:hint="eastAsia" w:cs="Times New Roman"/>
          <w:color w:val="auto"/>
          <w:lang w:val="en-US" w:eastAsia="zh-CN"/>
        </w:rPr>
        <w:t>附图8：项目与生态空间管控区域关系图</w:t>
      </w:r>
    </w:p>
    <w:p>
      <w:pPr>
        <w:spacing w:line="480" w:lineRule="exact"/>
        <w:ind w:firstLine="480" w:firstLineChars="200"/>
        <w:rPr>
          <w:rFonts w:hint="eastAsia" w:cs="Times New Roman"/>
          <w:color w:val="auto"/>
          <w:lang w:val="en-US" w:eastAsia="zh-CN"/>
        </w:rPr>
      </w:pPr>
      <w:r>
        <w:rPr>
          <w:rFonts w:hint="eastAsia" w:cs="Times New Roman"/>
          <w:color w:val="auto"/>
          <w:lang w:val="en-US" w:eastAsia="zh-CN"/>
        </w:rPr>
        <w:t>附图9：项目周边5公里敏感目标分布图</w:t>
      </w:r>
    </w:p>
    <w:p>
      <w:pPr>
        <w:pStyle w:val="2"/>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center"/>
        <w:textAlignment w:val="auto"/>
        <w:rPr>
          <w:rFonts w:hint="default" w:ascii="Times New Roman" w:hAnsi="Times New Roman" w:eastAsia="宋体" w:cs="Times New Roman"/>
          <w:color w:val="auto"/>
          <w:szCs w:val="21"/>
        </w:rPr>
      </w:pPr>
    </w:p>
    <w:p>
      <w:pPr>
        <w:spacing w:line="480" w:lineRule="exact"/>
        <w:rPr>
          <w:rFonts w:hint="default" w:ascii="Times New Roman" w:hAnsi="Times New Roman" w:eastAsia="宋体" w:cs="Times New Roman"/>
          <w:b/>
          <w:bCs/>
          <w:color w:val="auto"/>
          <w:lang w:val="zh-CN"/>
        </w:rPr>
      </w:pPr>
      <w:bookmarkStart w:id="4" w:name="_Toc11670"/>
      <w:bookmarkStart w:id="5" w:name="_Toc12881"/>
      <w:bookmarkStart w:id="6" w:name="_Toc14425"/>
      <w:bookmarkStart w:id="7" w:name="_Toc20742"/>
      <w:bookmarkStart w:id="8" w:name="_Toc23601"/>
      <w:bookmarkStart w:id="9" w:name="_Toc32095"/>
      <w:bookmarkStart w:id="10" w:name="_Toc27037"/>
      <w:bookmarkStart w:id="11" w:name="_Toc15379"/>
      <w:bookmarkStart w:id="12" w:name="_Toc9387"/>
      <w:bookmarkStart w:id="13" w:name="_Toc4204"/>
    </w:p>
    <w:p>
      <w:pPr>
        <w:spacing w:line="480" w:lineRule="exact"/>
        <w:rPr>
          <w:rFonts w:hint="default" w:ascii="Times New Roman" w:hAnsi="Times New Roman" w:eastAsia="宋体" w:cs="Times New Roman"/>
          <w:b/>
          <w:bCs/>
          <w:color w:val="auto"/>
          <w:lang w:val="zh-CN"/>
        </w:rPr>
      </w:pPr>
    </w:p>
    <w:p>
      <w:pPr>
        <w:spacing w:line="480" w:lineRule="exact"/>
        <w:rPr>
          <w:rFonts w:hint="default" w:ascii="Times New Roman" w:hAnsi="Times New Roman" w:eastAsia="宋体" w:cs="Times New Roman"/>
          <w:b/>
          <w:bCs/>
          <w:color w:val="auto"/>
          <w:lang w:val="zh-CN"/>
        </w:rPr>
      </w:pPr>
      <w:r>
        <w:rPr>
          <w:rFonts w:hint="default" w:ascii="Times New Roman" w:hAnsi="Times New Roman" w:eastAsia="宋体" w:cs="Times New Roman"/>
          <w:b/>
          <w:bCs/>
          <w:color w:val="auto"/>
          <w:lang w:val="zh-CN"/>
        </w:rPr>
        <w:t>附件：</w:t>
      </w:r>
      <w:bookmarkEnd w:id="4"/>
      <w:bookmarkEnd w:id="5"/>
      <w:bookmarkEnd w:id="6"/>
      <w:bookmarkEnd w:id="7"/>
      <w:bookmarkEnd w:id="8"/>
      <w:bookmarkEnd w:id="9"/>
      <w:bookmarkEnd w:id="10"/>
      <w:bookmarkEnd w:id="11"/>
      <w:bookmarkEnd w:id="12"/>
      <w:bookmarkEnd w:id="13"/>
    </w:p>
    <w:p>
      <w:pPr>
        <w:spacing w:line="480" w:lineRule="exact"/>
        <w:ind w:firstLine="480" w:firstLineChars="200"/>
        <w:rPr>
          <w:rFonts w:hint="default" w:ascii="Times New Roman" w:hAnsi="Times New Roman" w:eastAsia="宋体" w:cs="Times New Roman"/>
          <w:color w:val="auto"/>
          <w:lang w:val="zh-CN"/>
        </w:rPr>
      </w:pPr>
      <w:bookmarkStart w:id="14" w:name="_Toc1409"/>
      <w:bookmarkStart w:id="15" w:name="_Toc19418"/>
      <w:r>
        <w:rPr>
          <w:rFonts w:hint="default" w:ascii="Times New Roman" w:hAnsi="Times New Roman" w:eastAsia="宋体" w:cs="Times New Roman"/>
          <w:color w:val="auto"/>
          <w:lang w:val="zh-CN"/>
        </w:rPr>
        <w:t>附件1：</w:t>
      </w:r>
      <w:r>
        <w:rPr>
          <w:rFonts w:hint="eastAsia" w:cs="Times New Roman"/>
          <w:color w:val="auto"/>
          <w:lang w:val="en-US" w:eastAsia="zh-CN"/>
        </w:rPr>
        <w:t>苏州太湖国家旅游度假区经济发展局</w:t>
      </w:r>
      <w:r>
        <w:rPr>
          <w:rFonts w:hint="eastAsia" w:ascii="Times New Roman" w:hAnsi="Times New Roman" w:eastAsia="宋体" w:cs="Times New Roman"/>
          <w:color w:val="auto"/>
          <w:lang w:val="zh-CN"/>
        </w:rPr>
        <w:t>《</w:t>
      </w:r>
      <w:r>
        <w:rPr>
          <w:rFonts w:hint="eastAsia" w:ascii="Times New Roman" w:hAnsi="Times New Roman" w:eastAsia="宋体" w:cs="Times New Roman"/>
          <w:color w:val="auto"/>
          <w:lang w:val="en-US" w:eastAsia="zh-CN"/>
        </w:rPr>
        <w:t>关于苏州市太湖渔洋山水源地近岸生态修复工程项目建议书的批复</w:t>
      </w:r>
      <w:r>
        <w:rPr>
          <w:rFonts w:hint="eastAsia" w:ascii="Times New Roman" w:hAnsi="Times New Roman" w:eastAsia="宋体" w:cs="Times New Roman"/>
          <w:color w:val="auto"/>
          <w:lang w:val="zh-CN"/>
        </w:rPr>
        <w:t>》（</w:t>
      </w:r>
      <w:r>
        <w:rPr>
          <w:rFonts w:hint="eastAsia" w:ascii="Times New Roman" w:hAnsi="Times New Roman" w:eastAsia="宋体" w:cs="Times New Roman"/>
          <w:color w:val="auto"/>
          <w:lang w:val="en-US" w:eastAsia="zh-CN"/>
        </w:rPr>
        <w:t>苏太经投[2021]21号</w:t>
      </w:r>
      <w:r>
        <w:rPr>
          <w:rFonts w:hint="eastAsia" w:ascii="Times New Roman" w:hAnsi="Times New Roman" w:eastAsia="宋体" w:cs="Times New Roman"/>
          <w:color w:val="auto"/>
          <w:lang w:val="zh-CN"/>
        </w:rPr>
        <w:t>）</w:t>
      </w:r>
      <w:r>
        <w:rPr>
          <w:rFonts w:hint="default" w:ascii="Times New Roman" w:hAnsi="Times New Roman" w:eastAsia="宋体" w:cs="Times New Roman"/>
          <w:color w:val="auto"/>
          <w:lang w:val="zh-CN"/>
        </w:rPr>
        <w:t>；</w:t>
      </w:r>
      <w:bookmarkEnd w:id="14"/>
      <w:bookmarkEnd w:id="15"/>
    </w:p>
    <w:p>
      <w:pPr>
        <w:spacing w:line="480" w:lineRule="exact"/>
        <w:ind w:firstLine="480" w:firstLineChars="200"/>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附件2：</w:t>
      </w:r>
      <w:r>
        <w:rPr>
          <w:rFonts w:hint="eastAsia" w:cs="Times New Roman"/>
          <w:color w:val="auto"/>
          <w:lang w:val="en-US" w:eastAsia="zh-CN"/>
        </w:rPr>
        <w:t>苏州太湖国家旅游度假区经济发展局</w:t>
      </w:r>
      <w:r>
        <w:rPr>
          <w:rFonts w:hint="eastAsia" w:ascii="Times New Roman" w:hAnsi="Times New Roman" w:eastAsia="宋体" w:cs="Times New Roman"/>
          <w:color w:val="auto"/>
          <w:lang w:val="zh-CN"/>
        </w:rPr>
        <w:t>《</w:t>
      </w:r>
      <w:r>
        <w:rPr>
          <w:rFonts w:hint="eastAsia" w:ascii="Times New Roman" w:hAnsi="Times New Roman" w:eastAsia="宋体" w:cs="Times New Roman"/>
          <w:color w:val="auto"/>
          <w:lang w:val="en-US" w:eastAsia="zh-CN"/>
        </w:rPr>
        <w:t>关于苏州市太湖渔洋山水源地近岸生态修复工程可行性研究报告的批复</w:t>
      </w:r>
      <w:r>
        <w:rPr>
          <w:rFonts w:hint="eastAsia" w:ascii="Times New Roman" w:hAnsi="Times New Roman" w:eastAsia="宋体" w:cs="Times New Roman"/>
          <w:color w:val="auto"/>
          <w:lang w:val="zh-CN"/>
        </w:rPr>
        <w:t>》（</w:t>
      </w:r>
      <w:r>
        <w:rPr>
          <w:rFonts w:hint="eastAsia" w:ascii="Times New Roman" w:hAnsi="Times New Roman" w:eastAsia="宋体" w:cs="Times New Roman"/>
          <w:color w:val="auto"/>
          <w:lang w:val="en-US" w:eastAsia="zh-CN"/>
        </w:rPr>
        <w:t>苏太经投[2021]23号</w:t>
      </w:r>
      <w:r>
        <w:rPr>
          <w:rFonts w:hint="eastAsia" w:ascii="Times New Roman" w:hAnsi="Times New Roman" w:eastAsia="宋体" w:cs="Times New Roman"/>
          <w:color w:val="auto"/>
          <w:lang w:val="zh-CN"/>
        </w:rPr>
        <w:t>）</w:t>
      </w:r>
      <w:r>
        <w:rPr>
          <w:rFonts w:hint="default" w:ascii="Times New Roman" w:hAnsi="Times New Roman" w:eastAsia="宋体" w:cs="Times New Roman"/>
          <w:color w:val="auto"/>
          <w:lang w:val="zh-CN"/>
        </w:rPr>
        <w:t>；</w:t>
      </w:r>
    </w:p>
    <w:p>
      <w:pPr>
        <w:spacing w:line="480" w:lineRule="exact"/>
        <w:ind w:firstLine="480" w:firstLineChars="200"/>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附件3：</w:t>
      </w:r>
      <w:r>
        <w:rPr>
          <w:rFonts w:hint="eastAsia" w:cs="Times New Roman"/>
          <w:color w:val="auto"/>
          <w:lang w:val="en-US" w:eastAsia="zh-CN"/>
        </w:rPr>
        <w:t>苏州市吴中区水务局</w:t>
      </w:r>
      <w:r>
        <w:rPr>
          <w:rFonts w:hint="eastAsia" w:cs="Times New Roman"/>
          <w:color w:val="auto"/>
          <w:lang w:val="zh-CN"/>
        </w:rPr>
        <w:t>《</w:t>
      </w:r>
      <w:r>
        <w:rPr>
          <w:rFonts w:hint="eastAsia" w:cs="Times New Roman"/>
          <w:color w:val="auto"/>
          <w:lang w:val="en-US" w:eastAsia="zh-CN"/>
        </w:rPr>
        <w:t>关于实施苏州市</w:t>
      </w:r>
      <w:r>
        <w:rPr>
          <w:rFonts w:hint="eastAsia" w:ascii="Times New Roman" w:hAnsi="Times New Roman" w:eastAsia="宋体" w:cs="Times New Roman"/>
          <w:color w:val="auto"/>
          <w:lang w:val="en-US" w:eastAsia="zh-CN"/>
        </w:rPr>
        <w:t>太湖渔洋山水源地近岸生态修复工程</w:t>
      </w:r>
      <w:r>
        <w:rPr>
          <w:rFonts w:hint="eastAsia" w:cs="Times New Roman"/>
          <w:color w:val="auto"/>
          <w:lang w:val="en-US" w:eastAsia="zh-CN"/>
        </w:rPr>
        <w:t>的请示</w:t>
      </w:r>
      <w:r>
        <w:rPr>
          <w:rFonts w:hint="eastAsia" w:cs="Times New Roman"/>
          <w:color w:val="auto"/>
          <w:lang w:val="zh-CN"/>
        </w:rPr>
        <w:t>》（</w:t>
      </w:r>
      <w:r>
        <w:rPr>
          <w:rFonts w:hint="eastAsia" w:cs="Times New Roman"/>
          <w:color w:val="auto"/>
          <w:lang w:val="en-US" w:eastAsia="zh-CN"/>
        </w:rPr>
        <w:t>吴水呈[2021]14号</w:t>
      </w:r>
      <w:r>
        <w:rPr>
          <w:rFonts w:hint="eastAsia" w:cs="Times New Roman"/>
          <w:color w:val="auto"/>
          <w:lang w:val="zh-CN"/>
        </w:rPr>
        <w:t>）</w:t>
      </w:r>
      <w:r>
        <w:rPr>
          <w:rFonts w:hint="default" w:ascii="Times New Roman" w:hAnsi="Times New Roman" w:eastAsia="宋体" w:cs="Times New Roman"/>
          <w:color w:val="auto"/>
          <w:lang w:val="zh-CN"/>
        </w:rPr>
        <w:t>；</w:t>
      </w:r>
    </w:p>
    <w:p>
      <w:pPr>
        <w:spacing w:line="480" w:lineRule="exact"/>
        <w:ind w:firstLine="480" w:firstLineChars="200"/>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附件4：</w:t>
      </w:r>
      <w:r>
        <w:rPr>
          <w:rFonts w:hint="eastAsia" w:cs="Times New Roman"/>
          <w:color w:val="auto"/>
          <w:lang w:val="en-US" w:eastAsia="zh-CN"/>
        </w:rPr>
        <w:t>苏州市吴中区水务局《关于对&lt;</w:t>
      </w:r>
      <w:r>
        <w:rPr>
          <w:rFonts w:hint="eastAsia" w:ascii="Times New Roman" w:hAnsi="Times New Roman" w:eastAsia="宋体" w:cs="Times New Roman"/>
          <w:color w:val="auto"/>
          <w:lang w:val="en-US" w:eastAsia="zh-CN"/>
        </w:rPr>
        <w:t>苏州市太湖渔洋山水源地近岸生态修复工程可行性研究报告</w:t>
      </w:r>
      <w:r>
        <w:rPr>
          <w:rFonts w:hint="eastAsia" w:cs="Times New Roman"/>
          <w:color w:val="auto"/>
          <w:lang w:val="en-US" w:eastAsia="zh-CN"/>
        </w:rPr>
        <w:t>&gt;进行批复的函》（吴水函[2021]22号）</w:t>
      </w:r>
      <w:r>
        <w:rPr>
          <w:rFonts w:hint="default" w:ascii="Times New Roman" w:hAnsi="Times New Roman" w:eastAsia="宋体" w:cs="Times New Roman"/>
          <w:color w:val="auto"/>
          <w:lang w:val="zh-CN"/>
        </w:rPr>
        <w:t>；</w:t>
      </w:r>
    </w:p>
    <w:p>
      <w:pPr>
        <w:spacing w:line="480" w:lineRule="exact"/>
        <w:ind w:firstLine="480" w:firstLineChars="200"/>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附件5：</w:t>
      </w:r>
      <w:r>
        <w:rPr>
          <w:rFonts w:hint="eastAsia" w:cs="Times New Roman"/>
          <w:color w:val="auto"/>
          <w:lang w:val="en-US" w:eastAsia="zh-CN"/>
        </w:rPr>
        <w:t>项目环评合同</w:t>
      </w:r>
      <w:r>
        <w:rPr>
          <w:rFonts w:hint="default" w:ascii="Times New Roman" w:hAnsi="Times New Roman" w:eastAsia="宋体" w:cs="Times New Roman"/>
          <w:color w:val="auto"/>
          <w:lang w:val="zh-CN"/>
        </w:rPr>
        <w:t>；</w:t>
      </w:r>
    </w:p>
    <w:p>
      <w:pPr>
        <w:spacing w:line="480" w:lineRule="exact"/>
        <w:ind w:firstLine="480" w:firstLineChars="200"/>
        <w:rPr>
          <w:rFonts w:hint="default" w:ascii="Times New Roman" w:hAnsi="Times New Roman" w:eastAsia="宋体" w:cs="Times New Roman"/>
          <w:color w:val="auto"/>
        </w:rPr>
        <w:sectPr>
          <w:headerReference r:id="rId4" w:type="default"/>
          <w:footerReference r:id="rId5" w:type="default"/>
          <w:pgSz w:w="11906" w:h="16838"/>
          <w:pgMar w:top="1418" w:right="1418" w:bottom="1418" w:left="1418" w:header="851" w:footer="992" w:gutter="0"/>
          <w:pgBorders>
            <w:top w:val="none" w:sz="0" w:space="0"/>
            <w:left w:val="none" w:sz="0" w:space="0"/>
            <w:bottom w:val="none" w:sz="0" w:space="0"/>
            <w:right w:val="none" w:sz="0" w:space="0"/>
          </w:pgBorders>
          <w:pgNumType w:fmt="upperRoman"/>
          <w:cols w:space="720" w:num="1"/>
          <w:docGrid w:type="lines" w:linePitch="312" w:charSpace="0"/>
        </w:sectPr>
      </w:pPr>
      <w:r>
        <w:rPr>
          <w:rFonts w:hint="default" w:ascii="Times New Roman" w:hAnsi="Times New Roman" w:eastAsia="宋体" w:cs="Times New Roman"/>
          <w:color w:val="auto"/>
          <w:lang w:val="zh-CN"/>
        </w:rPr>
        <w:t>附件6：环境质量监测报告</w:t>
      </w:r>
      <w:r>
        <w:rPr>
          <w:rFonts w:hint="eastAsia" w:cs="Times New Roman"/>
          <w:color w:val="auto"/>
          <w:lang w:val="zh-CN"/>
        </w:rPr>
        <w:t>。</w:t>
      </w:r>
    </w:p>
    <w:p>
      <w:pPr>
        <w:pStyle w:val="3"/>
        <w:spacing w:before="117" w:after="117"/>
        <w:jc w:val="both"/>
        <w:rPr>
          <w:rFonts w:hint="default" w:ascii="Times New Roman" w:hAnsi="Times New Roman" w:eastAsia="宋体" w:cs="Times New Roman"/>
          <w:color w:val="auto"/>
        </w:rPr>
      </w:pPr>
      <w:bookmarkStart w:id="16" w:name="_Toc492644412"/>
      <w:bookmarkStart w:id="17" w:name="_Toc19997"/>
      <w:bookmarkStart w:id="18" w:name="_Toc89051757"/>
      <w:bookmarkStart w:id="19" w:name="_Toc88991359"/>
      <w:bookmarkStart w:id="20" w:name="_Toc89051974"/>
      <w:bookmarkStart w:id="21" w:name="_Toc88990310"/>
      <w:bookmarkStart w:id="22" w:name="_Toc88991999"/>
      <w:bookmarkStart w:id="23" w:name="_Toc97772535"/>
      <w:bookmarkStart w:id="24" w:name="_Toc88991160"/>
      <w:bookmarkStart w:id="25" w:name="_Toc88991668"/>
      <w:r>
        <w:rPr>
          <w:rFonts w:hint="default" w:ascii="Times New Roman" w:hAnsi="Times New Roman" w:eastAsia="宋体" w:cs="Times New Roman"/>
          <w:color w:val="auto"/>
        </w:rPr>
        <w:t>1概况</w:t>
      </w:r>
      <w:bookmarkEnd w:id="16"/>
      <w:bookmarkEnd w:id="17"/>
    </w:p>
    <w:p>
      <w:pPr>
        <w:pStyle w:val="4"/>
        <w:spacing w:before="117" w:after="117"/>
        <w:jc w:val="both"/>
        <w:rPr>
          <w:rFonts w:hint="default" w:ascii="Times New Roman" w:hAnsi="Times New Roman" w:eastAsia="宋体" w:cs="Times New Roman"/>
          <w:color w:val="auto"/>
        </w:rPr>
      </w:pPr>
      <w:bookmarkStart w:id="26" w:name="_Toc492644413"/>
      <w:bookmarkStart w:id="27" w:name="_Toc5088"/>
      <w:r>
        <w:rPr>
          <w:rFonts w:hint="default" w:ascii="Times New Roman" w:hAnsi="Times New Roman" w:eastAsia="宋体" w:cs="Times New Roman"/>
          <w:color w:val="auto"/>
        </w:rPr>
        <w:t>1.1项目由来</w:t>
      </w:r>
      <w:bookmarkEnd w:id="26"/>
      <w:bookmarkEnd w:id="27"/>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2015年4月，中央政治局常务委员会会议审议通过《水十条》，明确提出到2030年，全国七大重点流域水质优良比例总体达到75％以上，城市集中式饮用水水源水质达到或优于Ⅲ类比例总体为95％左右。</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2015年由环保部制定的《集中式饮用水水源编码规范》发布实施，根据这项新国标，集中式饮用水水源都将拥有唯一的一个编码，这也是我国首次实行对集中饮用水源进行编码。环保部称，首次发布实施的这项国标是为贯彻水污染防治法，保护饮用水水源，实现对饮用水水源编码的规范化而制定本的。</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2018年生态环境部、水利部部署集中式饮用水水源地环保专项行动，原环境保护部、水利部于2018年3月9日联合印发《全国集中式饮用水水源地环境保护专项行动方案》。生态环境部有关负责人强调，要聚焦</w:t>
      </w:r>
      <w:r>
        <w:rPr>
          <w:rFonts w:hint="eastAsia" w:cs="Times New Roman"/>
          <w:color w:val="auto"/>
          <w:lang w:eastAsia="zh-CN"/>
        </w:rPr>
        <w:t>“</w:t>
      </w:r>
      <w:r>
        <w:rPr>
          <w:rFonts w:hint="default" w:ascii="Times New Roman" w:hAnsi="Times New Roman" w:eastAsia="宋体" w:cs="Times New Roman"/>
          <w:color w:val="auto"/>
        </w:rPr>
        <w:t>划、立、治</w:t>
      </w:r>
      <w:r>
        <w:rPr>
          <w:rFonts w:hint="eastAsia" w:cs="Times New Roman"/>
          <w:color w:val="auto"/>
          <w:lang w:eastAsia="zh-CN"/>
        </w:rPr>
        <w:t>”</w:t>
      </w:r>
      <w:r>
        <w:rPr>
          <w:rFonts w:hint="default" w:ascii="Times New Roman" w:hAnsi="Times New Roman" w:eastAsia="宋体" w:cs="Times New Roman"/>
          <w:color w:val="auto"/>
        </w:rPr>
        <w:t>三项工作内容，最终实现</w:t>
      </w:r>
      <w:r>
        <w:rPr>
          <w:rFonts w:hint="eastAsia" w:cs="Times New Roman"/>
          <w:color w:val="auto"/>
          <w:lang w:eastAsia="zh-CN"/>
        </w:rPr>
        <w:t>“</w:t>
      </w:r>
      <w:r>
        <w:rPr>
          <w:rFonts w:hint="default" w:ascii="Times New Roman" w:hAnsi="Times New Roman" w:eastAsia="宋体" w:cs="Times New Roman"/>
          <w:color w:val="auto"/>
        </w:rPr>
        <w:t>保</w:t>
      </w:r>
      <w:r>
        <w:rPr>
          <w:rFonts w:hint="eastAsia" w:cs="Times New Roman"/>
          <w:color w:val="auto"/>
          <w:lang w:eastAsia="zh-CN"/>
        </w:rPr>
        <w:t>”</w:t>
      </w:r>
      <w:r>
        <w:rPr>
          <w:rFonts w:hint="default" w:ascii="Times New Roman" w:hAnsi="Times New Roman" w:eastAsia="宋体" w:cs="Times New Roman"/>
          <w:color w:val="auto"/>
        </w:rPr>
        <w:t>工作目标。</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2019 年生态环境部在全国集中式饮用水水源地环保专项行动第一次视频会议中提出：针对集中式饮用水水源地保护，重点落实</w:t>
      </w:r>
      <w:r>
        <w:rPr>
          <w:rFonts w:hint="eastAsia" w:cs="Times New Roman"/>
          <w:color w:val="auto"/>
          <w:lang w:eastAsia="zh-CN"/>
        </w:rPr>
        <w:t>“</w:t>
      </w:r>
      <w:r>
        <w:rPr>
          <w:rFonts w:hint="default" w:ascii="Times New Roman" w:hAnsi="Times New Roman" w:eastAsia="宋体" w:cs="Times New Roman"/>
          <w:color w:val="auto"/>
        </w:rPr>
        <w:t>征、租、补、聘</w:t>
      </w:r>
      <w:r>
        <w:rPr>
          <w:rFonts w:hint="eastAsia" w:cs="Times New Roman"/>
          <w:color w:val="auto"/>
          <w:lang w:eastAsia="zh-CN"/>
        </w:rPr>
        <w:t>”</w:t>
      </w:r>
      <w:r>
        <w:rPr>
          <w:rFonts w:hint="default" w:ascii="Times New Roman" w:hAnsi="Times New Roman" w:eastAsia="宋体" w:cs="Times New Roman"/>
          <w:color w:val="auto"/>
        </w:rPr>
        <w:t xml:space="preserve">4 项任务。开展一级水源保护区范围内土地征收，广泛宣传环境法律法规、水源地保护相关政策，为一级保护区建立隔离围网做好基础工作。开展二级水源保护区范围内土地租赁工作，拆除对饮用水水源保护区不利的建筑，彻底整治污染源，并建立保护区范围的指示界碑。 </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江苏省水污染防治联席会议办公室于2020年4月下达《关于印发全省县级及以上集中式饮用水水源地水质保障专项工作方案的通知》（苏水治办[2020]1号），要求坚持以人民为中心，坚持生态优先、源头管控、问题导向，突出分类施策、因地制宜、创新举措，着力解决水源地水质保障方面存在的问题隐患，提升水源地水质保障能力，确保人民群众喝上放心水。</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通过以上国家政策的要求，已经把集中式饮用水水源水质达标工作提高到国家层面，并且提出了明确的要求及相关责任人。可见国家对集中式饮用水水源水质的重视程度之高，同时国家水利部、生态环境部提出了明确的要求。太湖渔洋山水源地近岸生态修复工程正是在这样的国家政策的背景下提出，工程的实施是响应国家政策要求，改善城市人居环境，是可行的也是必要的。</w:t>
      </w:r>
    </w:p>
    <w:p>
      <w:pPr>
        <w:spacing w:line="480" w:lineRule="exact"/>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lang w:val="en-US" w:eastAsia="zh-CN"/>
        </w:rPr>
        <w:t>目前，该</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eastAsia="zh-CN"/>
        </w:rPr>
        <w:t>已</w:t>
      </w:r>
      <w:r>
        <w:rPr>
          <w:rFonts w:hint="default" w:ascii="Times New Roman" w:hAnsi="Times New Roman" w:eastAsia="宋体" w:cs="Times New Roman"/>
          <w:color w:val="auto"/>
          <w:sz w:val="24"/>
          <w:szCs w:val="24"/>
          <w:highlight w:val="none"/>
          <w:lang w:val="en-US" w:eastAsia="zh-CN"/>
        </w:rPr>
        <w:t>于2021年3月20日</w:t>
      </w:r>
      <w:r>
        <w:rPr>
          <w:rFonts w:hint="default" w:ascii="Times New Roman" w:hAnsi="Times New Roman" w:eastAsia="宋体" w:cs="Times New Roman"/>
          <w:color w:val="auto"/>
          <w:sz w:val="24"/>
          <w:szCs w:val="24"/>
          <w:highlight w:val="none"/>
          <w:lang w:eastAsia="zh-CN"/>
        </w:rPr>
        <w:t>取得</w:t>
      </w:r>
      <w:r>
        <w:rPr>
          <w:rFonts w:hint="default" w:ascii="Times New Roman" w:hAnsi="Times New Roman" w:eastAsia="宋体" w:cs="Times New Roman"/>
          <w:color w:val="auto"/>
          <w:sz w:val="24"/>
          <w:szCs w:val="24"/>
          <w:highlight w:val="none"/>
          <w:lang w:val="en-US" w:eastAsia="zh-CN"/>
        </w:rPr>
        <w:t>苏州太湖国家旅游度假区经济发展局《关于苏州市太湖渔洋山水源地近岸生态修复工程项目建议书的批复》（苏太经投[2021]21号），并于2021年4月1日取得苏州太湖国家旅游度假区经济发展局《关于苏州市太湖渔洋山水源地近岸生态修复工程可行性研究报告的批复》（苏太经投[2021]23号）。根据批复文件，同时结合《苏州市太湖渔洋山水源地近岸生态修复工程初步设计（报批稿）》确定本项目建设内容为：鱼贝螺控藻引导水下生态修复工程，水下森林生态修复工程、水生态系统修复工程，面积约12万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p>
    <w:p>
      <w:pPr>
        <w:spacing w:line="480" w:lineRule="exact"/>
        <w:ind w:firstLine="480" w:firstLineChars="200"/>
        <w:jc w:val="both"/>
        <w:rPr>
          <w:rFonts w:hint="default" w:ascii="Times New Roman" w:hAnsi="Times New Roman" w:eastAsia="宋体" w:cs="Times New Roman"/>
          <w:color w:val="auto"/>
          <w:lang w:bidi="ar"/>
        </w:rPr>
      </w:pPr>
      <w:r>
        <w:rPr>
          <w:rFonts w:hint="default" w:ascii="Times New Roman" w:hAnsi="Times New Roman" w:eastAsia="宋体" w:cs="Times New Roman"/>
          <w:color w:val="auto"/>
          <w:lang w:bidi="ar"/>
        </w:rPr>
        <w:t>根据《中华人民共和国环境影响评价法》和《建设项目环境保护管理条例》等相关环保法律、法规规定，本项目应进行环境影响评价。对照《建设项目环境影响评价分类管理名录》</w:t>
      </w:r>
      <w:r>
        <w:rPr>
          <w:rFonts w:hint="eastAsia" w:cs="Times New Roman"/>
          <w:color w:val="auto"/>
          <w:lang w:eastAsia="zh-CN" w:bidi="ar"/>
        </w:rPr>
        <w:t>（</w:t>
      </w:r>
      <w:r>
        <w:rPr>
          <w:rFonts w:hint="default" w:ascii="Times New Roman" w:hAnsi="Times New Roman" w:eastAsia="宋体" w:cs="Times New Roman"/>
          <w:color w:val="auto"/>
          <w:lang w:bidi="ar"/>
        </w:rPr>
        <w:t>2021版），本项目属于第四十六项</w:t>
      </w:r>
      <w:r>
        <w:rPr>
          <w:rFonts w:hint="eastAsia" w:cs="Times New Roman"/>
          <w:color w:val="auto"/>
          <w:lang w:eastAsia="zh-CN" w:bidi="ar"/>
        </w:rPr>
        <w:t>“</w:t>
      </w:r>
      <w:r>
        <w:rPr>
          <w:rFonts w:hint="default" w:ascii="Times New Roman" w:hAnsi="Times New Roman" w:eastAsia="宋体" w:cs="Times New Roman"/>
          <w:color w:val="auto"/>
          <w:lang w:bidi="ar"/>
        </w:rPr>
        <w:t>水利</w:t>
      </w:r>
      <w:r>
        <w:rPr>
          <w:rFonts w:hint="eastAsia" w:cs="Times New Roman"/>
          <w:color w:val="auto"/>
          <w:lang w:eastAsia="zh-CN" w:bidi="ar"/>
        </w:rPr>
        <w:t>”</w:t>
      </w:r>
      <w:r>
        <w:rPr>
          <w:rFonts w:hint="default" w:ascii="Times New Roman" w:hAnsi="Times New Roman" w:eastAsia="宋体" w:cs="Times New Roman"/>
          <w:color w:val="auto"/>
          <w:lang w:bidi="ar"/>
        </w:rPr>
        <w:t>中第 145</w:t>
      </w:r>
      <w:r>
        <w:rPr>
          <w:rFonts w:hint="eastAsia" w:cs="Times New Roman"/>
          <w:color w:val="auto"/>
          <w:lang w:eastAsia="zh-CN" w:bidi="ar"/>
        </w:rPr>
        <w:t>“</w:t>
      </w:r>
      <w:r>
        <w:rPr>
          <w:rFonts w:hint="default" w:ascii="Times New Roman" w:hAnsi="Times New Roman" w:eastAsia="宋体" w:cs="Times New Roman"/>
          <w:color w:val="auto"/>
          <w:lang w:bidi="ar"/>
        </w:rPr>
        <w:t>河湖整治</w:t>
      </w:r>
      <w:r>
        <w:rPr>
          <w:rFonts w:hint="eastAsia" w:cs="Times New Roman"/>
          <w:color w:val="auto"/>
          <w:lang w:eastAsia="zh-CN" w:bidi="ar"/>
        </w:rPr>
        <w:t>”</w:t>
      </w:r>
      <w:r>
        <w:rPr>
          <w:rFonts w:hint="default" w:ascii="Times New Roman" w:hAnsi="Times New Roman" w:eastAsia="宋体" w:cs="Times New Roman"/>
          <w:color w:val="auto"/>
          <w:lang w:bidi="ar"/>
        </w:rPr>
        <w:t>中</w:t>
      </w:r>
      <w:r>
        <w:rPr>
          <w:rFonts w:hint="eastAsia" w:cs="Times New Roman"/>
          <w:color w:val="auto"/>
          <w:lang w:eastAsia="zh-CN" w:bidi="ar"/>
        </w:rPr>
        <w:t>“</w:t>
      </w:r>
      <w:r>
        <w:rPr>
          <w:rFonts w:hint="default" w:ascii="Times New Roman" w:hAnsi="Times New Roman" w:eastAsia="宋体" w:cs="Times New Roman"/>
          <w:color w:val="auto"/>
          <w:lang w:bidi="ar"/>
        </w:rPr>
        <w:t>涉及环境敏感区的</w:t>
      </w:r>
      <w:r>
        <w:rPr>
          <w:rFonts w:hint="eastAsia" w:cs="Times New Roman"/>
          <w:color w:val="auto"/>
          <w:lang w:eastAsia="zh-CN" w:bidi="ar"/>
        </w:rPr>
        <w:t>”</w:t>
      </w:r>
      <w:r>
        <w:rPr>
          <w:rFonts w:hint="default" w:ascii="Times New Roman" w:hAnsi="Times New Roman" w:eastAsia="宋体" w:cs="Times New Roman"/>
          <w:color w:val="auto"/>
          <w:lang w:bidi="ar"/>
        </w:rPr>
        <w:t>，因此本项目应编制环境影响评价报告书。</w:t>
      </w:r>
      <w:r>
        <w:rPr>
          <w:rFonts w:hint="default" w:ascii="Times New Roman" w:hAnsi="Times New Roman" w:eastAsia="宋体" w:cs="Times New Roman"/>
          <w:color w:val="auto"/>
          <w:lang w:val="en-US" w:eastAsia="zh-CN" w:bidi="ar"/>
        </w:rPr>
        <w:t>为此，苏州市吴中区水务局</w:t>
      </w:r>
      <w:r>
        <w:rPr>
          <w:rFonts w:hint="default" w:ascii="Times New Roman" w:hAnsi="Times New Roman" w:eastAsia="宋体" w:cs="Times New Roman"/>
          <w:color w:val="auto"/>
          <w:lang w:bidi="ar"/>
        </w:rPr>
        <w:t>委托</w:t>
      </w:r>
      <w:r>
        <w:rPr>
          <w:rFonts w:hint="default" w:ascii="Times New Roman" w:hAnsi="Times New Roman" w:eastAsia="宋体" w:cs="Times New Roman"/>
          <w:color w:val="auto"/>
          <w:lang w:val="en-US" w:eastAsia="zh-CN" w:bidi="ar"/>
        </w:rPr>
        <w:t>苏州市东宏环保科技有限公司</w:t>
      </w:r>
      <w:r>
        <w:rPr>
          <w:rFonts w:hint="default" w:ascii="Times New Roman" w:hAnsi="Times New Roman" w:eastAsia="宋体" w:cs="Times New Roman"/>
          <w:color w:val="auto"/>
          <w:lang w:bidi="ar"/>
        </w:rPr>
        <w:t>开展该项目环境影响评价工作。我单位接收委托后，立即成立项目组，组织技术人员对工程区域进行了实地勘察和相关资料收集，并委托开展了工程区域的环境现状监测。同时根据国家有关法律法规、环境影响评价技术导则和技术规范等的要求开展工程环境影响报告书的编制工作，报请审批。</w:t>
      </w:r>
    </w:p>
    <w:p>
      <w:pPr>
        <w:pStyle w:val="4"/>
        <w:spacing w:before="117" w:after="117"/>
        <w:jc w:val="both"/>
        <w:rPr>
          <w:rFonts w:hint="default" w:ascii="Times New Roman" w:hAnsi="Times New Roman" w:eastAsia="宋体" w:cs="Times New Roman"/>
          <w:color w:val="auto"/>
          <w:lang w:val="en-US" w:eastAsia="zh-CN"/>
        </w:rPr>
      </w:pPr>
      <w:bookmarkStart w:id="28" w:name="_Toc492644415"/>
      <w:bookmarkStart w:id="29" w:name="_Toc30561"/>
      <w:r>
        <w:rPr>
          <w:rFonts w:hint="default" w:ascii="Times New Roman" w:hAnsi="Times New Roman" w:eastAsia="宋体" w:cs="Times New Roman"/>
          <w:color w:val="auto"/>
        </w:rPr>
        <w:t>1.</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环境影响评价</w:t>
      </w:r>
      <w:bookmarkEnd w:id="28"/>
      <w:r>
        <w:rPr>
          <w:rFonts w:hint="default" w:ascii="Times New Roman" w:hAnsi="Times New Roman" w:eastAsia="宋体" w:cs="Times New Roman"/>
          <w:color w:val="auto"/>
          <w:lang w:val="en-US" w:eastAsia="zh-CN"/>
        </w:rPr>
        <w:t>技术路线</w:t>
      </w:r>
      <w:bookmarkEnd w:id="29"/>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在接受建设单位委托后，项目组首先研究了相关的法律、法规及规划，确定评价文件类型，其次开展初步的现场调查及资料收集，并根据建设单位提供的资料，进行初步的工程分析，确定评价重点，制定工作方案，安排进一步环境现状详查及环境现状监测。</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在资料收集完成、环境质量现状调查的基础上，识别项目污染因子和环境影响因素，通过工程分析，得出本项目污染物产生及排放情况。预测项目对区域各环境要素的影响，对项目建设的环境可行性进行论证。</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本次评价工作技术路线见图1.</w:t>
      </w:r>
      <w:r>
        <w:rPr>
          <w:rFonts w:hint="eastAsia" w:cs="Times New Roman"/>
          <w:color w:val="auto"/>
          <w:lang w:val="en-US" w:eastAsia="zh-CN"/>
        </w:rPr>
        <w:t>1</w:t>
      </w:r>
      <w:r>
        <w:rPr>
          <w:rFonts w:hint="default" w:ascii="Times New Roman" w:hAnsi="Times New Roman" w:eastAsia="宋体" w:cs="Times New Roman"/>
          <w:color w:val="auto"/>
        </w:rPr>
        <w:t>。</w:t>
      </w:r>
    </w:p>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5392420" cy="5794375"/>
            <wp:effectExtent l="0" t="0" r="0" b="0"/>
            <wp:docPr id="1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5"/>
                    <pic:cNvPicPr>
                      <a:picLocks noChangeAspect="1"/>
                    </pic:cNvPicPr>
                  </pic:nvPicPr>
                  <pic:blipFill>
                    <a:blip r:embed="rId13"/>
                    <a:srcRect l="7184" t="10213" r="11813" b="7877"/>
                    <a:stretch>
                      <a:fillRect/>
                    </a:stretch>
                  </pic:blipFill>
                  <pic:spPr>
                    <a:xfrm>
                      <a:off x="0" y="0"/>
                      <a:ext cx="5392420" cy="5794375"/>
                    </a:xfrm>
                    <a:prstGeom prst="rect">
                      <a:avLst/>
                    </a:prstGeom>
                    <a:noFill/>
                    <a:ln>
                      <a:noFill/>
                    </a:ln>
                  </pic:spPr>
                </pic:pic>
              </a:graphicData>
            </a:graphic>
          </wp:inline>
        </w:drawing>
      </w:r>
    </w:p>
    <w:p>
      <w:pPr>
        <w:pStyle w:val="17"/>
        <w:spacing w:line="480" w:lineRule="exact"/>
        <w:rPr>
          <w:rFonts w:hint="default" w:ascii="Times New Roman" w:hAnsi="Times New Roman" w:eastAsia="宋体" w:cs="Times New Roman"/>
          <w:b/>
          <w:color w:val="auto"/>
          <w:sz w:val="21"/>
          <w:szCs w:val="21"/>
        </w:rPr>
        <w:sectPr>
          <w:headerReference r:id="rId6" w:type="default"/>
          <w:footerReference r:id="rId7" w:type="default"/>
          <w:pgSz w:w="11906" w:h="16838"/>
          <w:pgMar w:top="1797" w:right="1440" w:bottom="1797" w:left="1440" w:header="851" w:footer="992" w:gutter="0"/>
          <w:pgBorders>
            <w:top w:val="none" w:sz="0" w:space="0"/>
            <w:left w:val="none" w:sz="0" w:space="0"/>
            <w:bottom w:val="none" w:sz="0" w:space="0"/>
            <w:right w:val="none" w:sz="0" w:space="0"/>
          </w:pgBorders>
          <w:pgNumType w:fmt="decimal" w:start="1"/>
          <w:cols w:space="0" w:num="1"/>
          <w:docGrid w:type="lines" w:linePitch="392" w:charSpace="0"/>
        </w:sectPr>
      </w:pPr>
      <w:r>
        <w:rPr>
          <w:rFonts w:hint="default" w:ascii="Times New Roman" w:hAnsi="Times New Roman" w:eastAsia="宋体" w:cs="Times New Roman"/>
          <w:b/>
          <w:color w:val="auto"/>
          <w:sz w:val="21"/>
          <w:szCs w:val="21"/>
        </w:rPr>
        <w:t>图1.</w:t>
      </w:r>
      <w:r>
        <w:rPr>
          <w:rFonts w:hint="eastAsia" w:ascii="Times New Roman" w:hAnsi="Times New Roman" w:eastAsia="宋体" w:cs="Times New Roman"/>
          <w:b/>
          <w:color w:val="auto"/>
          <w:sz w:val="21"/>
          <w:szCs w:val="21"/>
          <w:lang w:val="en-US" w:eastAsia="zh-CN"/>
        </w:rPr>
        <w:t>1</w:t>
      </w:r>
      <w:r>
        <w:rPr>
          <w:rFonts w:hint="default" w:ascii="Times New Roman" w:hAnsi="Times New Roman" w:eastAsia="宋体" w:cs="Times New Roman"/>
          <w:b/>
          <w:color w:val="auto"/>
          <w:sz w:val="21"/>
          <w:szCs w:val="21"/>
        </w:rPr>
        <w:t xml:space="preserve">  评价技术路线</w:t>
      </w:r>
    </w:p>
    <w:p>
      <w:pPr>
        <w:pStyle w:val="4"/>
        <w:spacing w:before="117" w:after="117"/>
        <w:jc w:val="both"/>
        <w:rPr>
          <w:rFonts w:hint="default" w:ascii="Times New Roman" w:hAnsi="Times New Roman" w:eastAsia="宋体" w:cs="Times New Roman"/>
          <w:color w:val="auto"/>
        </w:rPr>
      </w:pPr>
      <w:bookmarkStart w:id="30" w:name="_Toc8293"/>
      <w:bookmarkStart w:id="31" w:name="_Toc24117"/>
      <w:bookmarkStart w:id="32" w:name="_Toc492644418"/>
      <w:bookmarkStart w:id="33" w:name="_Toc424517466"/>
      <w:bookmarkStart w:id="34" w:name="_Toc472524366"/>
      <w:bookmarkStart w:id="35" w:name="_Toc425238761"/>
      <w:r>
        <w:rPr>
          <w:rFonts w:hint="default" w:ascii="Times New Roman" w:hAnsi="Times New Roman" w:eastAsia="宋体" w:cs="Times New Roman"/>
          <w:color w:val="auto"/>
        </w:rPr>
        <w:t>1.</w:t>
      </w:r>
      <w:r>
        <w:rPr>
          <w:rFonts w:hint="default" w:ascii="Times New Roman" w:hAnsi="Times New Roman" w:eastAsia="宋体" w:cs="Times New Roman"/>
          <w:color w:val="auto"/>
          <w:lang w:val="en-US" w:eastAsia="zh-CN"/>
        </w:rPr>
        <w:t>3</w:t>
      </w:r>
      <w:bookmarkEnd w:id="30"/>
      <w:r>
        <w:rPr>
          <w:rFonts w:hint="default" w:ascii="Times New Roman" w:hAnsi="Times New Roman" w:eastAsia="宋体" w:cs="Times New Roman"/>
        </w:rPr>
        <w:t>分析判定相关情况</w:t>
      </w:r>
      <w:bookmarkEnd w:id="31"/>
    </w:p>
    <w:p>
      <w:pPr>
        <w:pStyle w:val="5"/>
        <w:tabs>
          <w:tab w:val="left" w:pos="4860"/>
          <w:tab w:val="clear" w:pos="980"/>
        </w:tabs>
        <w:spacing w:before="196" w:beforeLines="50" w:after="196" w:afterLines="50"/>
        <w:jc w:val="both"/>
        <w:rPr>
          <w:rFonts w:hint="default" w:ascii="Times New Roman" w:hAnsi="Times New Roman" w:eastAsia="宋体" w:cs="Times New Roman"/>
          <w:color w:val="auto"/>
        </w:rPr>
      </w:pPr>
      <w:bookmarkStart w:id="525" w:name="_GoBack"/>
      <w:bookmarkEnd w:id="525"/>
      <w:bookmarkStart w:id="36" w:name="_Toc5033"/>
      <w:bookmarkStart w:id="37" w:name="_Toc9890"/>
      <w:r>
        <w:rPr>
          <w:rFonts w:hint="default" w:ascii="Times New Roman" w:hAnsi="Times New Roman" w:eastAsia="宋体" w:cs="Times New Roman"/>
          <w:color w:val="auto"/>
        </w:rPr>
        <w:t>1.</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.1产业政策相符性</w:t>
      </w:r>
      <w:bookmarkEnd w:id="36"/>
      <w:bookmarkEnd w:id="37"/>
    </w:p>
    <w:p>
      <w:pPr>
        <w:widowControl w:val="0"/>
        <w:tabs>
          <w:tab w:val="left" w:pos="4860"/>
        </w:tabs>
        <w:spacing w:line="480" w:lineRule="exact"/>
        <w:ind w:firstLine="480" w:firstLineChars="20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本项目属于</w:t>
      </w:r>
      <w:r>
        <w:rPr>
          <w:rFonts w:hint="default" w:ascii="Times New Roman" w:hAnsi="Times New Roman" w:eastAsia="宋体" w:cs="Times New Roman"/>
          <w:color w:val="auto"/>
          <w:lang w:val="en-US" w:eastAsia="zh-CN"/>
        </w:rPr>
        <w:t>水源地生态修复工程</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属于</w:t>
      </w:r>
      <w:r>
        <w:rPr>
          <w:rFonts w:hint="default" w:ascii="Times New Roman" w:hAnsi="Times New Roman" w:eastAsia="宋体" w:cs="Times New Roman"/>
          <w:color w:val="auto"/>
        </w:rPr>
        <w:t>《产业结构调整指导目录（2019年本）》</w:t>
      </w:r>
      <w:r>
        <w:rPr>
          <w:rFonts w:hint="default" w:ascii="Times New Roman" w:hAnsi="Times New Roman" w:eastAsia="宋体" w:cs="Times New Roman"/>
          <w:color w:val="auto"/>
          <w:lang w:val="en-US" w:eastAsia="zh-CN"/>
        </w:rPr>
        <w:t>鼓励类</w:t>
      </w:r>
      <w:r>
        <w:rPr>
          <w:rFonts w:hint="eastAsia" w:cs="Times New Roman"/>
          <w:color w:val="auto"/>
          <w:lang w:val="en-US" w:eastAsia="zh-CN"/>
        </w:rPr>
        <w:t>“</w:t>
      </w:r>
      <w:r>
        <w:rPr>
          <w:rFonts w:hint="default" w:ascii="Times New Roman" w:hAnsi="Times New Roman" w:eastAsia="宋体" w:cs="Times New Roman"/>
          <w:color w:val="auto"/>
        </w:rPr>
        <w:t>二、水利类</w:t>
      </w:r>
      <w:r>
        <w:rPr>
          <w:rFonts w:hint="eastAsia" w:cs="Times New Roman"/>
          <w:color w:val="auto"/>
          <w:lang w:val="en-US" w:eastAsia="zh-CN"/>
        </w:rPr>
        <w:t>”</w:t>
      </w:r>
      <w:r>
        <w:rPr>
          <w:rFonts w:hint="default" w:ascii="Times New Roman" w:hAnsi="Times New Roman" w:eastAsia="宋体" w:cs="Times New Roman"/>
          <w:color w:val="auto"/>
          <w:lang w:val="en-US" w:eastAsia="zh-CN"/>
        </w:rPr>
        <w:t>中</w:t>
      </w:r>
      <w:r>
        <w:rPr>
          <w:rFonts w:hint="eastAsia" w:cs="Times New Roman"/>
          <w:color w:val="auto"/>
          <w:lang w:val="en-US" w:eastAsia="zh-CN"/>
        </w:rPr>
        <w:t>“</w:t>
      </w:r>
      <w:r>
        <w:rPr>
          <w:rFonts w:hint="default" w:ascii="Times New Roman" w:hAnsi="Times New Roman" w:eastAsia="宋体" w:cs="Times New Roman"/>
          <w:color w:val="auto"/>
          <w:lang w:val="en-US" w:eastAsia="zh-CN"/>
        </w:rPr>
        <w:t>20、水源地保护工程（水源地保护区划分、隔离防护、水土保持、水资源保护、水生态环境修复及有关技术开发推广）</w:t>
      </w:r>
      <w:r>
        <w:rPr>
          <w:rFonts w:hint="eastAsia" w:cs="Times New Roman"/>
          <w:color w:val="auto"/>
          <w:lang w:val="en-US" w:eastAsia="zh-CN"/>
        </w:rPr>
        <w:t>”</w:t>
      </w:r>
      <w:r>
        <w:rPr>
          <w:rFonts w:hint="default" w:ascii="Times New Roman" w:hAnsi="Times New Roman" w:eastAsia="宋体" w:cs="Times New Roman"/>
          <w:color w:val="auto"/>
          <w:lang w:eastAsia="zh-CN"/>
        </w:rPr>
        <w:t>。</w:t>
      </w:r>
    </w:p>
    <w:p>
      <w:pPr>
        <w:widowControl w:val="0"/>
        <w:tabs>
          <w:tab w:val="left" w:pos="4860"/>
        </w:tabs>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本项目不属于《江苏省工业和信息产业结构调整指导目录（2012 年）》（2013 修正）、《苏州市产业发展导向目录（2007 年本）》中限制、淘汰类。</w:t>
      </w:r>
    </w:p>
    <w:p>
      <w:pPr>
        <w:widowControl w:val="0"/>
        <w:tabs>
          <w:tab w:val="left" w:pos="4860"/>
        </w:tabs>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本项目建议书</w:t>
      </w:r>
      <w:r>
        <w:rPr>
          <w:rFonts w:hint="default" w:ascii="Times New Roman" w:hAnsi="Times New Roman" w:eastAsia="宋体" w:cs="Times New Roman"/>
          <w:color w:val="auto"/>
          <w:lang w:val="en-US" w:eastAsia="zh-CN"/>
        </w:rPr>
        <w:t>与可行性研究报告均</w:t>
      </w:r>
      <w:r>
        <w:rPr>
          <w:rFonts w:hint="default" w:ascii="Times New Roman" w:hAnsi="Times New Roman" w:eastAsia="宋体" w:cs="Times New Roman"/>
          <w:color w:val="auto"/>
        </w:rPr>
        <w:t>已</w:t>
      </w:r>
      <w:r>
        <w:rPr>
          <w:rFonts w:hint="default" w:ascii="Times New Roman" w:hAnsi="Times New Roman" w:eastAsia="宋体" w:cs="Times New Roman"/>
          <w:color w:val="auto"/>
          <w:lang w:val="en-US" w:eastAsia="zh-CN"/>
        </w:rPr>
        <w:t>取得苏州太湖国家旅游度假区经济发展局批复（苏太经投[2021]21号、苏太经投[2021]23号</w:t>
      </w:r>
      <w:r>
        <w:rPr>
          <w:rFonts w:hint="default" w:ascii="Times New Roman" w:hAnsi="Times New Roman" w:eastAsia="宋体" w:cs="Times New Roman"/>
          <w:color w:val="auto"/>
        </w:rPr>
        <w:t>，见附件），同意该项目实施。</w:t>
      </w:r>
    </w:p>
    <w:p>
      <w:pPr>
        <w:widowControl w:val="0"/>
        <w:tabs>
          <w:tab w:val="left" w:pos="4860"/>
        </w:tabs>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综上，本项目建设符合国家与地方产业政策。</w:t>
      </w:r>
    </w:p>
    <w:p>
      <w:pPr>
        <w:pStyle w:val="5"/>
        <w:keepNext w:val="0"/>
        <w:keepLines w:val="0"/>
        <w:tabs>
          <w:tab w:val="left" w:pos="4860"/>
          <w:tab w:val="clear" w:pos="980"/>
        </w:tabs>
        <w:spacing w:before="196" w:beforeLines="50" w:after="196" w:afterLines="50"/>
        <w:jc w:val="both"/>
        <w:rPr>
          <w:rFonts w:hint="default" w:ascii="Times New Roman" w:hAnsi="Times New Roman" w:eastAsia="宋体" w:cs="Times New Roman"/>
          <w:color w:val="auto"/>
        </w:rPr>
      </w:pPr>
      <w:bookmarkStart w:id="38" w:name="_Toc3638"/>
      <w:bookmarkStart w:id="39" w:name="_Toc975"/>
      <w:r>
        <w:rPr>
          <w:rFonts w:hint="default" w:ascii="Times New Roman" w:hAnsi="Times New Roman" w:eastAsia="宋体" w:cs="Times New Roman"/>
          <w:color w:val="auto"/>
        </w:rPr>
        <w:t>1.</w:t>
      </w:r>
      <w:r>
        <w:rPr>
          <w:rFonts w:hint="eastAsia" w:cs="Times New Roman"/>
          <w:color w:val="auto"/>
          <w:lang w:val="en-US" w:eastAsia="zh-CN"/>
        </w:rPr>
        <w:t>3</w:t>
      </w:r>
      <w:r>
        <w:rPr>
          <w:rFonts w:hint="default" w:ascii="Times New Roman" w:hAnsi="Times New Roman" w:eastAsia="宋体" w:cs="Times New Roman"/>
          <w:color w:val="auto"/>
        </w:rPr>
        <w:t>.2</w:t>
      </w:r>
      <w:bookmarkEnd w:id="38"/>
      <w:r>
        <w:rPr>
          <w:rFonts w:hint="default" w:ascii="Times New Roman" w:hAnsi="Times New Roman" w:eastAsia="宋体" w:cs="Times New Roman"/>
          <w:color w:val="auto"/>
        </w:rPr>
        <w:t>《饮用水水源保护区污染防治管理规定》（2010修改）相符性</w:t>
      </w:r>
      <w:bookmarkEnd w:id="39"/>
    </w:p>
    <w:p>
      <w:pPr>
        <w:widowControl w:val="0"/>
        <w:tabs>
          <w:tab w:val="left" w:pos="4860"/>
        </w:tabs>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为渔洋山饮用水水源地生态修复项目，不属于与供水设施和保护水源无关的建设项目，不向太湖排放污水，不设置排污口、与供水需要无关的码头、油库等，项目不涉及种植、放养禽畜和网箱养殖活动，也不涉及可能污染水源的旅游活动和其他活动。且本项目建设有益于维护区域生态安全，提高水体自净能力，对水源地水质具有一定的改善作用，同时也有利于改善水环境质量和水环境生态系统性能，对水源地有保护作用，对水源的保护是有利的，故本项目实施内容为保护水源相关内容，同时其对水源的保护作用与其主体功能饮用水水源保护区的定位相符，因此本项目建设不违背《饮用水水源保护区污染防治管理规定》（2010修改）。</w:t>
      </w:r>
    </w:p>
    <w:p>
      <w:pPr>
        <w:pStyle w:val="5"/>
        <w:tabs>
          <w:tab w:val="left" w:pos="4860"/>
          <w:tab w:val="clear" w:pos="980"/>
        </w:tabs>
        <w:spacing w:before="196" w:beforeLines="50" w:after="196" w:afterLines="50"/>
        <w:jc w:val="both"/>
        <w:rPr>
          <w:rFonts w:hint="default" w:ascii="Times New Roman" w:hAnsi="Times New Roman" w:eastAsia="宋体" w:cs="Times New Roman"/>
          <w:color w:val="auto"/>
        </w:rPr>
      </w:pPr>
      <w:bookmarkStart w:id="40" w:name="_Toc351"/>
      <w:r>
        <w:rPr>
          <w:rFonts w:hint="default" w:ascii="Times New Roman" w:hAnsi="Times New Roman" w:eastAsia="宋体" w:cs="Times New Roman"/>
          <w:color w:val="auto"/>
        </w:rPr>
        <w:t>1.</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.3</w:t>
      </w:r>
      <w:bookmarkStart w:id="41" w:name="_Toc21369801"/>
      <w:r>
        <w:rPr>
          <w:rFonts w:hint="eastAsia" w:cs="Times New Roman"/>
          <w:color w:val="auto"/>
          <w:lang w:eastAsia="zh-CN"/>
        </w:rPr>
        <w:t>“</w:t>
      </w:r>
      <w:r>
        <w:rPr>
          <w:rFonts w:hint="default" w:ascii="Times New Roman" w:hAnsi="Times New Roman" w:eastAsia="宋体" w:cs="Times New Roman"/>
          <w:color w:val="auto"/>
        </w:rPr>
        <w:t>三线一单</w:t>
      </w:r>
      <w:r>
        <w:rPr>
          <w:rFonts w:hint="eastAsia" w:cs="Times New Roman"/>
          <w:color w:val="auto"/>
          <w:lang w:eastAsia="zh-CN"/>
        </w:rPr>
        <w:t>”</w:t>
      </w:r>
      <w:r>
        <w:rPr>
          <w:rFonts w:hint="default" w:ascii="Times New Roman" w:hAnsi="Times New Roman" w:eastAsia="宋体" w:cs="Times New Roman"/>
          <w:color w:val="auto"/>
        </w:rPr>
        <w:t>相符性</w:t>
      </w:r>
      <w:bookmarkEnd w:id="40"/>
      <w:bookmarkEnd w:id="41"/>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生态保护红线</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根据《江苏省生态空间管控区域规划》和《江苏省国家级生态保护红线规划》分析，</w:t>
      </w:r>
      <w:r>
        <w:rPr>
          <w:rFonts w:hint="eastAsia" w:cs="Times New Roman"/>
          <w:color w:val="auto"/>
          <w:lang w:val="en-US" w:eastAsia="zh-CN"/>
        </w:rPr>
        <w:t>本项目</w:t>
      </w:r>
      <w:r>
        <w:rPr>
          <w:lang w:bidi="ar"/>
        </w:rPr>
        <w:t>为生态治理工程，工程不包括任何开发建设活动，不属于生态空间管控区域内禁止行为。</w:t>
      </w:r>
      <w:r>
        <w:rPr>
          <w:rFonts w:hint="default" w:ascii="Times New Roman" w:hAnsi="Times New Roman" w:eastAsia="宋体" w:cs="Times New Roman"/>
          <w:color w:val="auto"/>
        </w:rPr>
        <w:t>本项目涉及太湖渔洋山饮用水水源保护区的实施内容有利于水源地的安全和保护，有利于水源的涵养和水环境的质量改善，有利于水源地的涵养和保护，为与保护水源有关的项目，同时对水源的保护也与其主体功能饮用水水源保护区的主体功能定位相符，故本项目不属于与保护水源无关的建设项目，同时本项目的实施未改变其饮用水水源保护区用途和主体功能区定位，不违背其管理要求。故本项目的建设符合《江苏省生态空间管控区域规划》和《江苏省国家级生态保护红线规划》相关要求。</w:t>
      </w:r>
    </w:p>
    <w:p>
      <w:pPr>
        <w:numPr>
          <w:ilvl w:val="0"/>
          <w:numId w:val="8"/>
        </w:num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环境质量底线</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①环</w:t>
      </w:r>
      <w:r>
        <w:rPr>
          <w:rFonts w:hint="default" w:ascii="Times New Roman" w:hAnsi="Times New Roman" w:eastAsia="宋体" w:cs="Times New Roman"/>
          <w:color w:val="auto"/>
          <w:lang w:val="en-US" w:eastAsia="zh-CN"/>
        </w:rPr>
        <w:t>境空气</w:t>
      </w:r>
    </w:p>
    <w:p>
      <w:pPr>
        <w:spacing w:line="480" w:lineRule="exact"/>
        <w:ind w:firstLine="480" w:firstLineChars="20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根据《2020年度苏州市生态环境状况公报》</w:t>
      </w:r>
      <w:r>
        <w:rPr>
          <w:rFonts w:hint="default" w:ascii="Times New Roman" w:hAnsi="Times New Roman" w:eastAsia="宋体" w:cs="Times New Roman"/>
          <w:color w:val="auto"/>
          <w:lang w:eastAsia="zh-CN"/>
        </w:rPr>
        <w:t>，2020年苏州市区环境空气质量优良天数比率为84.4%。</w:t>
      </w:r>
      <w:r>
        <w:rPr>
          <w:rFonts w:hint="default" w:ascii="Times New Roman" w:hAnsi="Times New Roman" w:eastAsia="宋体" w:cs="Times New Roman"/>
          <w:color w:val="auto"/>
          <w:lang w:val="en-US" w:eastAsia="zh-CN"/>
        </w:rPr>
        <w:t>苏州市区</w:t>
      </w:r>
      <w:r>
        <w:rPr>
          <w:rFonts w:hint="default" w:ascii="Times New Roman" w:hAnsi="Times New Roman" w:eastAsia="宋体" w:cs="Times New Roman"/>
          <w:color w:val="auto"/>
          <w:lang w:eastAsia="zh-CN"/>
        </w:rPr>
        <w:t>细颗粒物（PM</w:t>
      </w:r>
      <w:r>
        <w:rPr>
          <w:rFonts w:hint="default" w:ascii="Times New Roman" w:hAnsi="Times New Roman" w:eastAsia="宋体" w:cs="Times New Roman"/>
          <w:color w:val="auto"/>
          <w:vertAlign w:val="subscript"/>
          <w:lang w:eastAsia="zh-CN"/>
        </w:rPr>
        <w:t>2.5</w:t>
      </w:r>
      <w:r>
        <w:rPr>
          <w:rFonts w:hint="default" w:ascii="Times New Roman" w:hAnsi="Times New Roman" w:eastAsia="宋体" w:cs="Times New Roman"/>
          <w:color w:val="auto"/>
          <w:lang w:eastAsia="zh-CN"/>
        </w:rPr>
        <w:t>）、可吸入颗粒物（PM</w:t>
      </w:r>
      <w:r>
        <w:rPr>
          <w:rFonts w:hint="default" w:ascii="Times New Roman" w:hAnsi="Times New Roman" w:eastAsia="宋体" w:cs="Times New Roman"/>
          <w:color w:val="auto"/>
          <w:vertAlign w:val="subscript"/>
          <w:lang w:eastAsia="zh-CN"/>
        </w:rPr>
        <w:t>10</w:t>
      </w:r>
      <w:r>
        <w:rPr>
          <w:rFonts w:hint="default" w:ascii="Times New Roman" w:hAnsi="Times New Roman" w:eastAsia="宋体" w:cs="Times New Roman"/>
          <w:color w:val="auto"/>
          <w:lang w:eastAsia="zh-CN"/>
        </w:rPr>
        <w:t>）、二氧化硫（SO</w:t>
      </w:r>
      <w:r>
        <w:rPr>
          <w:rFonts w:hint="default" w:ascii="Times New Roman" w:hAnsi="Times New Roman" w:eastAsia="宋体" w:cs="Times New Roman"/>
          <w:color w:val="auto"/>
          <w:vertAlign w:val="subscript"/>
          <w:lang w:eastAsia="zh-CN"/>
        </w:rPr>
        <w:t>2</w:t>
      </w:r>
      <w:r>
        <w:rPr>
          <w:rFonts w:hint="default" w:ascii="Times New Roman" w:hAnsi="Times New Roman" w:eastAsia="宋体" w:cs="Times New Roman"/>
          <w:color w:val="auto"/>
          <w:lang w:eastAsia="zh-CN"/>
        </w:rPr>
        <w:t>）、二氧化氮（NO</w:t>
      </w:r>
      <w:r>
        <w:rPr>
          <w:rFonts w:hint="default" w:ascii="Times New Roman" w:hAnsi="Times New Roman" w:eastAsia="宋体" w:cs="Times New Roman"/>
          <w:color w:val="auto"/>
          <w:vertAlign w:val="subscript"/>
          <w:lang w:eastAsia="zh-CN"/>
        </w:rPr>
        <w:t>2</w:t>
      </w:r>
      <w:r>
        <w:rPr>
          <w:rFonts w:hint="default" w:ascii="Times New Roman" w:hAnsi="Times New Roman" w:eastAsia="宋体" w:cs="Times New Roman"/>
          <w:color w:val="auto"/>
          <w:lang w:eastAsia="zh-CN"/>
        </w:rPr>
        <w:t>）年均浓度分别为</w:t>
      </w:r>
      <w:r>
        <w:rPr>
          <w:rFonts w:hint="default" w:ascii="Times New Roman" w:hAnsi="Times New Roman" w:eastAsia="宋体" w:cs="Times New Roman"/>
          <w:color w:val="auto"/>
          <w:lang w:val="en-US" w:eastAsia="zh-CN"/>
        </w:rPr>
        <w:t>33</w:t>
      </w:r>
      <w:r>
        <w:rPr>
          <w:rFonts w:hint="default" w:ascii="Times New Roman" w:hAnsi="Times New Roman" w:eastAsia="宋体" w:cs="Times New Roman"/>
          <w:color w:val="auto"/>
          <w:lang w:eastAsia="zh-CN"/>
        </w:rPr>
        <w:t>微克/立方米、</w:t>
      </w:r>
      <w:r>
        <w:rPr>
          <w:rFonts w:hint="default" w:ascii="Times New Roman" w:hAnsi="Times New Roman" w:eastAsia="宋体" w:cs="Times New Roman"/>
          <w:color w:val="auto"/>
          <w:lang w:val="en-US" w:eastAsia="zh-CN"/>
        </w:rPr>
        <w:t>47</w:t>
      </w:r>
      <w:r>
        <w:rPr>
          <w:rFonts w:hint="default" w:ascii="Times New Roman" w:hAnsi="Times New Roman" w:eastAsia="宋体" w:cs="Times New Roman"/>
          <w:color w:val="auto"/>
          <w:lang w:eastAsia="zh-CN"/>
        </w:rPr>
        <w:t>微克/立方米、6微克/立方米和3</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lang w:eastAsia="zh-CN"/>
        </w:rPr>
        <w:t>微克/立方米；一氧化碳（CO）和臭氧（O</w:t>
      </w:r>
      <w:r>
        <w:rPr>
          <w:rFonts w:hint="default" w:ascii="Times New Roman" w:hAnsi="Times New Roman" w:eastAsia="宋体" w:cs="Times New Roman"/>
          <w:color w:val="auto"/>
          <w:vertAlign w:val="subscript"/>
          <w:lang w:eastAsia="zh-CN"/>
        </w:rPr>
        <w:t>3</w:t>
      </w:r>
      <w:r>
        <w:rPr>
          <w:rFonts w:hint="default" w:ascii="Times New Roman" w:hAnsi="Times New Roman" w:eastAsia="宋体" w:cs="Times New Roman"/>
          <w:color w:val="auto"/>
          <w:lang w:eastAsia="zh-CN"/>
        </w:rPr>
        <w:t>）浓度分别为1.</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eastAsia="zh-CN"/>
        </w:rPr>
        <w:t>毫克/立方米和16</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eastAsia="zh-CN"/>
        </w:rPr>
        <w:t>微克/立方米。细颗粒物、可吸入颗粒物、二氧化硫、二氧化氮、一氧化碳指标年均值达到国家《环境空气质量标准》（GB3095-2012）及其修改单中年均值的二级标准，臭氧的年均值未达到国家《环境空气质量标准》（GB3095-2012）其修改单中年均值的二级标准。</w:t>
      </w:r>
    </w:p>
    <w:p>
      <w:pPr>
        <w:spacing w:line="480" w:lineRule="exact"/>
        <w:ind w:firstLine="480" w:firstLineChars="200"/>
        <w:jc w:val="both"/>
        <w:rPr>
          <w:rFonts w:hint="default" w:ascii="Times New Roman" w:hAnsi="Times New Roman" w:eastAsia="宋体" w:cs="Times New Roman"/>
          <w:color w:val="FF0000"/>
        </w:rPr>
      </w:pPr>
      <w:r>
        <w:rPr>
          <w:rFonts w:hint="default" w:ascii="Times New Roman" w:hAnsi="Times New Roman" w:eastAsia="宋体" w:cs="Times New Roman"/>
          <w:color w:val="auto"/>
        </w:rPr>
        <w:t>根据《环境影响评价技术导则大气环境》（HJ2.2-2018），苏州</w:t>
      </w:r>
      <w:r>
        <w:rPr>
          <w:rFonts w:hint="default" w:ascii="Times New Roman" w:hAnsi="Times New Roman" w:eastAsia="宋体" w:cs="Times New Roman"/>
          <w:color w:val="auto"/>
          <w:lang w:val="en-US" w:eastAsia="zh-CN"/>
        </w:rPr>
        <w:t>市</w:t>
      </w:r>
      <w:r>
        <w:rPr>
          <w:rFonts w:hint="default" w:ascii="Times New Roman" w:hAnsi="Times New Roman" w:eastAsia="宋体" w:cs="Times New Roman"/>
          <w:color w:val="auto"/>
        </w:rPr>
        <w:t>区环境控制属于不达标区。工程项目运营期对空气质量无影响，施工期正常生产情况下，控制好</w:t>
      </w:r>
      <w:r>
        <w:rPr>
          <w:rFonts w:hint="eastAsia" w:cs="Times New Roman"/>
          <w:color w:val="auto"/>
          <w:lang w:val="en-US" w:eastAsia="zh-CN"/>
        </w:rPr>
        <w:t>道路</w:t>
      </w:r>
      <w:r>
        <w:rPr>
          <w:rFonts w:hint="default" w:ascii="Times New Roman" w:hAnsi="Times New Roman" w:eastAsia="宋体" w:cs="Times New Roman"/>
          <w:color w:val="auto"/>
        </w:rPr>
        <w:t>扬尘，项目对评价区环境敏感目标影响较小。</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市政府在《苏州市空气质量改善达标规划（2019-2024年）》中提出了综合治理大气污染的7项措施，到2024年苏州市PM</w:t>
      </w:r>
      <w:r>
        <w:rPr>
          <w:rFonts w:hint="default" w:ascii="Times New Roman" w:hAnsi="Times New Roman" w:eastAsia="宋体" w:cs="Times New Roman"/>
          <w:color w:val="auto"/>
          <w:vertAlign w:val="subscript"/>
          <w:lang w:val="en-US" w:eastAsia="zh-CN"/>
        </w:rPr>
        <w:t>2.5</w:t>
      </w:r>
      <w:r>
        <w:rPr>
          <w:rFonts w:hint="default" w:ascii="Times New Roman" w:hAnsi="Times New Roman" w:eastAsia="宋体" w:cs="Times New Roman"/>
          <w:color w:val="auto"/>
          <w:lang w:val="en-US" w:eastAsia="zh-CN"/>
        </w:rPr>
        <w:t>浓度达到35μg/m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左右，O</w:t>
      </w:r>
      <w:r>
        <w:rPr>
          <w:rFonts w:hint="default" w:ascii="Times New Roman" w:hAnsi="Times New Roman" w:eastAsia="宋体" w:cs="Times New Roman"/>
          <w:color w:val="auto"/>
          <w:vertAlign w:val="subscript"/>
          <w:lang w:val="en-US" w:eastAsia="zh-CN"/>
        </w:rPr>
        <w:t>3</w:t>
      </w:r>
      <w:r>
        <w:rPr>
          <w:rFonts w:hint="default" w:ascii="Times New Roman" w:hAnsi="Times New Roman" w:eastAsia="宋体" w:cs="Times New Roman"/>
          <w:color w:val="auto"/>
          <w:lang w:val="en-US" w:eastAsia="zh-CN"/>
        </w:rPr>
        <w:t>浓度达到拐点，除O</w:t>
      </w:r>
      <w:r>
        <w:rPr>
          <w:rFonts w:hint="default" w:ascii="Times New Roman" w:hAnsi="Times New Roman" w:eastAsia="宋体" w:cs="Times New Roman"/>
          <w:color w:val="auto"/>
          <w:vertAlign w:val="subscript"/>
          <w:lang w:val="en-US" w:eastAsia="zh-CN"/>
        </w:rPr>
        <w:t>3</w:t>
      </w:r>
      <w:r>
        <w:rPr>
          <w:rFonts w:hint="default" w:ascii="Times New Roman" w:hAnsi="Times New Roman" w:eastAsia="宋体" w:cs="Times New Roman"/>
          <w:color w:val="auto"/>
          <w:lang w:val="en-US" w:eastAsia="zh-CN"/>
        </w:rPr>
        <w:t>以外的主要大气污染物浓度达到国家二级标准要求，空气质量优良天数比率达到80%。</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②地表水环境</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根据现状监测结果</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太湖湖泊</w:t>
      </w:r>
      <w:r>
        <w:rPr>
          <w:rFonts w:hint="eastAsia" w:cs="Times New Roman"/>
          <w:color w:val="auto"/>
          <w:lang w:val="en-US" w:eastAsia="zh-CN"/>
        </w:rPr>
        <w:t>总氮、</w:t>
      </w:r>
      <w:r>
        <w:rPr>
          <w:rFonts w:hint="default" w:ascii="Times New Roman" w:hAnsi="Times New Roman" w:eastAsia="宋体" w:cs="Times New Roman"/>
          <w:color w:val="auto"/>
          <w:lang w:val="en-US" w:eastAsia="zh-CN"/>
        </w:rPr>
        <w:t>总磷</w:t>
      </w:r>
      <w:r>
        <w:rPr>
          <w:rFonts w:hint="eastAsia" w:cs="Times New Roman"/>
          <w:color w:val="auto"/>
          <w:lang w:val="en-US" w:eastAsia="zh-CN"/>
        </w:rPr>
        <w:t>、高锰酸盐指数</w:t>
      </w:r>
      <w:r>
        <w:rPr>
          <w:rFonts w:hint="default" w:ascii="Times New Roman" w:hAnsi="Times New Roman" w:eastAsia="宋体" w:cs="Times New Roman"/>
          <w:color w:val="auto"/>
          <w:lang w:val="en-US" w:eastAsia="zh-CN"/>
        </w:rPr>
        <w:t>超标原因有：①2019年之前太湖周边存在大量养殖户，养殖户施肥养鱼养蟹，肥料中含有大量的含</w:t>
      </w:r>
      <w:r>
        <w:rPr>
          <w:rFonts w:hint="eastAsia" w:cs="Times New Roman"/>
          <w:color w:val="auto"/>
          <w:lang w:val="en-US" w:eastAsia="zh-CN"/>
        </w:rPr>
        <w:t>氮</w:t>
      </w:r>
      <w:r>
        <w:rPr>
          <w:rFonts w:hint="default" w:ascii="Times New Roman" w:hAnsi="Times New Roman" w:eastAsia="宋体" w:cs="Times New Roman"/>
          <w:color w:val="auto"/>
          <w:lang w:val="en-US" w:eastAsia="zh-CN"/>
        </w:rPr>
        <w:t>磷物质，这些物质通过太湖周边沟渠进入太湖；②乡镇企业的快速发展和布局的分散性、经营方式的多变性及其初级粗加工，造成的污染极为严重。③来自生活污水排放和农业面源污染。④治理资金难以到位也是太湖水污染防治未能取得预期效果的重要原因。本项目建设完成后，将能够有效增加水源地水域面积，并能够增加一定的水环境容量，促进水体的流动与交换，可以改善太湖水质。</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本项目为渔洋山水源地生态修复工程，项目在施工期及运营期均不会向水体排放含氮、磷物质，项目的建设有助于改善工程周边</w:t>
      </w:r>
      <w:r>
        <w:rPr>
          <w:rFonts w:hint="eastAsia" w:cs="Times New Roman"/>
          <w:color w:val="auto"/>
          <w:lang w:val="en-US" w:eastAsia="zh-CN"/>
        </w:rPr>
        <w:t>太湖</w:t>
      </w:r>
      <w:r>
        <w:rPr>
          <w:rFonts w:hint="default" w:ascii="Times New Roman" w:hAnsi="Times New Roman" w:eastAsia="宋体" w:cs="Times New Roman"/>
          <w:color w:val="auto"/>
          <w:lang w:val="en-US" w:eastAsia="zh-CN"/>
        </w:rPr>
        <w:t>水环境质量，可以促进水体的流动与交换，改善湖泊生态环境状况、提升生态系统功能，促进经济可持续发展。</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③声环境质量</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项目附近敏感点声环境均满足《声环境质量标准》(GB3096-2008)中的2类标准。本项目施工过程中，施工机械和施工活动将对区域声环境造成一定的影响，但这些影响是暂时的，随着施工的结束影响也随之消失。</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综上所述，本项目在建设过程中会对周围环境造成一定的影响，但本项目施工期严格执行各项污染防治措施，废气、废水、固废均得到合理处置，对周边影响较不大，不会对区域环境质量底线造成冲击，同时项目投入运营后对改善区域大气环境质量和水环境质量现正效益。</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（3）资源利用上线</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施工过程中所用的资源主要为水、电等。生活用水采用自来水。项目工程范围内已有自来水管网分布，可根据施工需要引接，基本可满足施工生活用水的供应要求。本工程用电量不大，城区供电基本有保障，为确保工程顺利施工，施工单位自备</w:t>
      </w:r>
      <w:r>
        <w:rPr>
          <w:rFonts w:hint="eastAsia" w:cs="Times New Roman"/>
          <w:color w:val="auto"/>
          <w:lang w:val="en-US" w:eastAsia="zh-CN"/>
        </w:rPr>
        <w:t>2</w:t>
      </w:r>
      <w:r>
        <w:rPr>
          <w:rFonts w:hint="default" w:ascii="Times New Roman" w:hAnsi="Times New Roman" w:eastAsia="宋体" w:cs="Times New Roman"/>
          <w:color w:val="auto"/>
          <w:lang w:val="en-US" w:eastAsia="zh-CN"/>
        </w:rPr>
        <w:t>台</w:t>
      </w:r>
      <w:r>
        <w:rPr>
          <w:rFonts w:hint="eastAsia" w:cs="Times New Roman"/>
          <w:color w:val="auto"/>
          <w:lang w:val="en-US" w:eastAsia="zh-CN"/>
        </w:rPr>
        <w:t>12</w:t>
      </w:r>
      <w:r>
        <w:rPr>
          <w:rFonts w:hint="default" w:ascii="Times New Roman" w:hAnsi="Times New Roman" w:eastAsia="宋体" w:cs="Times New Roman"/>
          <w:color w:val="auto"/>
          <w:lang w:val="en-US" w:eastAsia="zh-CN"/>
        </w:rPr>
        <w:t>0kW柴油发电机组。本工程所在地水、电供应基础设施完备，为本工程提供了优越的水、电供应条件。因此，本项目建设符合资源利用上线标准。</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（4）环境准入负面清单</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本项目属于水源地生态修复工程，属于《产业结构调整指导目录（2019年本）》鼓励类</w:t>
      </w:r>
      <w:r>
        <w:rPr>
          <w:rFonts w:hint="eastAsia" w:cs="Times New Roman"/>
          <w:color w:val="auto"/>
          <w:lang w:val="en-US" w:eastAsia="zh-CN"/>
        </w:rPr>
        <w:t>“</w:t>
      </w:r>
      <w:r>
        <w:rPr>
          <w:rFonts w:hint="default" w:ascii="Times New Roman" w:hAnsi="Times New Roman" w:eastAsia="宋体" w:cs="Times New Roman"/>
          <w:color w:val="auto"/>
          <w:lang w:val="en-US" w:eastAsia="zh-CN"/>
        </w:rPr>
        <w:t>二、水利类</w:t>
      </w:r>
      <w:r>
        <w:rPr>
          <w:rFonts w:hint="eastAsia" w:cs="Times New Roman"/>
          <w:color w:val="auto"/>
          <w:lang w:val="en-US" w:eastAsia="zh-CN"/>
        </w:rPr>
        <w:t>”</w:t>
      </w:r>
      <w:r>
        <w:rPr>
          <w:rFonts w:hint="default" w:ascii="Times New Roman" w:hAnsi="Times New Roman" w:eastAsia="宋体" w:cs="Times New Roman"/>
          <w:color w:val="auto"/>
          <w:lang w:val="en-US" w:eastAsia="zh-CN"/>
        </w:rPr>
        <w:t>中</w:t>
      </w:r>
      <w:r>
        <w:rPr>
          <w:rFonts w:hint="eastAsia" w:cs="Times New Roman"/>
          <w:color w:val="auto"/>
          <w:lang w:val="en-US" w:eastAsia="zh-CN"/>
        </w:rPr>
        <w:t>“</w:t>
      </w:r>
      <w:r>
        <w:rPr>
          <w:rFonts w:hint="default" w:ascii="Times New Roman" w:hAnsi="Times New Roman" w:eastAsia="宋体" w:cs="Times New Roman"/>
          <w:color w:val="auto"/>
          <w:lang w:val="en-US" w:eastAsia="zh-CN"/>
        </w:rPr>
        <w:t>20、水源地保护工程（水源地保护区划分、隔离防护、水土保持、水资源保护、水生态环境修复及有关技术开发推广）</w:t>
      </w:r>
      <w:r>
        <w:rPr>
          <w:rFonts w:hint="eastAsia" w:cs="Times New Roman"/>
          <w:color w:val="auto"/>
          <w:lang w:val="en-US" w:eastAsia="zh-CN"/>
        </w:rPr>
        <w:t>”</w:t>
      </w:r>
      <w:r>
        <w:rPr>
          <w:rFonts w:hint="default" w:ascii="Times New Roman" w:hAnsi="Times New Roman" w:eastAsia="宋体" w:cs="Times New Roman"/>
          <w:color w:val="auto"/>
          <w:lang w:val="en-US" w:eastAsia="zh-CN"/>
        </w:rPr>
        <w:t>。</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根据《苏州市主体功能区实施意见》，其</w:t>
      </w:r>
      <w:r>
        <w:rPr>
          <w:rFonts w:hint="eastAsia" w:cs="Times New Roman"/>
          <w:color w:val="auto"/>
          <w:lang w:val="en-US" w:eastAsia="zh-CN"/>
        </w:rPr>
        <w:t>“</w:t>
      </w:r>
      <w:r>
        <w:rPr>
          <w:rFonts w:hint="default" w:ascii="Times New Roman" w:hAnsi="Times New Roman" w:eastAsia="宋体" w:cs="Times New Roman"/>
          <w:color w:val="auto"/>
          <w:lang w:val="en-US" w:eastAsia="zh-CN"/>
        </w:rPr>
        <w:t>禁止开发区域：具有重要生态服务功能、需要特殊保护的区域，除太湖和长江水面外，点状分布于优化和限制开发区域内，应该禁止工业化和城市化开发、必须实行严格管理和维护的自然文化资源保护区域，包括纳入国家和省主体功能区规划的禁止开发区域、自然保护区、风景名胜区、森林公园、地质公园等，还包括饮用水源保护区、清水通道维护区、重要湿地和渔业水域、生态公益林等生态红线区域的一级管控区</w:t>
      </w:r>
      <w:r>
        <w:rPr>
          <w:rFonts w:hint="eastAsia" w:cs="Times New Roman"/>
          <w:color w:val="auto"/>
          <w:lang w:val="en-US" w:eastAsia="zh-CN"/>
        </w:rPr>
        <w:t>”</w:t>
      </w:r>
      <w:r>
        <w:rPr>
          <w:rFonts w:hint="default" w:ascii="Times New Roman" w:hAnsi="Times New Roman" w:eastAsia="宋体" w:cs="Times New Roman"/>
          <w:color w:val="auto"/>
          <w:lang w:val="en-US" w:eastAsia="zh-CN"/>
        </w:rPr>
        <w:t>。</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为渔洋山饮用水源地生态修复工程，建设内容有利于水源地水环境的保护和改善，不属于与保护水源无关的项目，不属于改变饮用水水源保护区用途项目和不符合主体功能区定位要求项目，不属于工业化和城市化开发；对饮用水水源保护区的保护具有正效益；故符合《苏州市主体功能区实施意见》要求。</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符合《江苏省生态空间管控区域规划》和《江苏省国家级生态保护红线规划》相关要求，不属于改变其饮用水水源保护区用途和主体功能区定位开发活动，不属于与保护水源无关的项目，符合《饮用水水源保护区污染防治管理规定》（2010修改）相关规定；根据《市场准入负面清单（2020年版）》，本项目不属于法律法规禁止的项目，不属于不符合主体功能区建设要求的各类开发活动，符合《市场准入负面清单（2020年版）》要求。</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综上所述，本项目符合</w:t>
      </w:r>
      <w:r>
        <w:rPr>
          <w:rFonts w:hint="eastAsia" w:cs="Times New Roman"/>
          <w:color w:val="auto"/>
          <w:lang w:val="en-US" w:eastAsia="zh-CN"/>
        </w:rPr>
        <w:t>“</w:t>
      </w:r>
      <w:r>
        <w:rPr>
          <w:rFonts w:hint="default" w:ascii="Times New Roman" w:hAnsi="Times New Roman" w:eastAsia="宋体" w:cs="Times New Roman"/>
          <w:color w:val="auto"/>
          <w:lang w:val="en-US" w:eastAsia="zh-CN"/>
        </w:rPr>
        <w:t>三线一单</w:t>
      </w:r>
      <w:r>
        <w:rPr>
          <w:rFonts w:hint="eastAsia" w:cs="Times New Roman"/>
          <w:color w:val="auto"/>
          <w:lang w:val="en-US" w:eastAsia="zh-CN"/>
        </w:rPr>
        <w:t>”</w:t>
      </w:r>
      <w:r>
        <w:rPr>
          <w:rFonts w:hint="default" w:ascii="Times New Roman" w:hAnsi="Times New Roman" w:eastAsia="宋体" w:cs="Times New Roman"/>
          <w:color w:val="auto"/>
          <w:lang w:val="en-US" w:eastAsia="zh-CN"/>
        </w:rPr>
        <w:t>要求。</w:t>
      </w:r>
    </w:p>
    <w:p>
      <w:pPr>
        <w:pStyle w:val="5"/>
        <w:tabs>
          <w:tab w:val="left" w:pos="4860"/>
          <w:tab w:val="clear" w:pos="980"/>
        </w:tabs>
        <w:spacing w:before="196" w:beforeLines="50" w:after="196" w:afterLines="50"/>
        <w:jc w:val="both"/>
        <w:rPr>
          <w:rFonts w:hint="default" w:ascii="Times New Roman" w:hAnsi="Times New Roman" w:eastAsia="宋体" w:cs="Times New Roman"/>
          <w:color w:val="auto"/>
        </w:rPr>
      </w:pPr>
      <w:bookmarkStart w:id="42" w:name="_Toc24604"/>
      <w:r>
        <w:rPr>
          <w:rFonts w:hint="default" w:ascii="Times New Roman" w:hAnsi="Times New Roman" w:eastAsia="宋体" w:cs="Times New Roman"/>
          <w:color w:val="auto"/>
        </w:rPr>
        <w:t>1.</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4项目与区域相关规划符合性分析</w:t>
      </w:r>
      <w:bookmarkEnd w:id="42"/>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本项目位于太湖</w:t>
      </w:r>
      <w:r>
        <w:rPr>
          <w:rFonts w:hint="eastAsia" w:cs="Times New Roman"/>
          <w:color w:val="auto"/>
          <w:lang w:val="en-US" w:eastAsia="zh-CN"/>
        </w:rPr>
        <w:t>渔洋山水源地</w:t>
      </w:r>
      <w:r>
        <w:rPr>
          <w:rFonts w:hint="default" w:ascii="Times New Roman" w:hAnsi="Times New Roman" w:eastAsia="宋体" w:cs="Times New Roman"/>
          <w:color w:val="auto"/>
        </w:rPr>
        <w:t>，项目已取得苏州太湖国家旅游度假区经济发展局批复（苏太经投[2021]21号、苏太经投[2021]23号，见附件）；项目建设符合</w:t>
      </w:r>
      <w:r>
        <w:rPr>
          <w:rFonts w:hint="eastAsia" w:cs="Times New Roman"/>
          <w:color w:val="auto"/>
          <w:lang w:eastAsia="zh-CN"/>
        </w:rPr>
        <w:t>《</w:t>
      </w:r>
      <w:r>
        <w:rPr>
          <w:rFonts w:hint="default" w:ascii="Times New Roman" w:hAnsi="Times New Roman" w:eastAsia="宋体" w:cs="Times New Roman"/>
          <w:color w:val="auto"/>
        </w:rPr>
        <w:t>苏州太湖国家旅游度假区总体规划</w:t>
      </w:r>
      <w:r>
        <w:rPr>
          <w:rFonts w:hint="eastAsia" w:cs="Times New Roman"/>
          <w:color w:val="auto"/>
          <w:lang w:eastAsia="zh-CN"/>
        </w:rPr>
        <w:t>》</w:t>
      </w:r>
      <w:r>
        <w:rPr>
          <w:rFonts w:hint="default" w:ascii="Times New Roman" w:hAnsi="Times New Roman" w:eastAsia="宋体" w:cs="Times New Roman"/>
          <w:color w:val="auto"/>
        </w:rPr>
        <w:t>、《太湖风景名胜区总体规划（2001-2030年）》 《苏南现代化建设示范区规划》等相关规划要求。</w:t>
      </w:r>
    </w:p>
    <w:p>
      <w:pPr>
        <w:pStyle w:val="5"/>
        <w:keepNext w:val="0"/>
        <w:keepLines w:val="0"/>
        <w:tabs>
          <w:tab w:val="left" w:pos="4860"/>
          <w:tab w:val="clear" w:pos="980"/>
        </w:tabs>
        <w:spacing w:before="196" w:beforeLines="50" w:after="196" w:afterLines="50"/>
        <w:jc w:val="both"/>
        <w:rPr>
          <w:rFonts w:hint="default" w:ascii="Times New Roman" w:hAnsi="Times New Roman" w:eastAsia="宋体" w:cs="Times New Roman"/>
          <w:color w:val="auto"/>
          <w:lang w:val="en-US" w:eastAsia="zh-CN"/>
        </w:rPr>
      </w:pPr>
      <w:bookmarkStart w:id="43" w:name="_Toc14729"/>
      <w:bookmarkStart w:id="44" w:name="_Toc30096"/>
      <w:bookmarkStart w:id="45" w:name="_Toc2779540"/>
      <w:bookmarkStart w:id="46" w:name="_Toc27039"/>
      <w:r>
        <w:rPr>
          <w:rFonts w:hint="default" w:ascii="Times New Roman" w:hAnsi="Times New Roman" w:eastAsia="宋体" w:cs="Times New Roman"/>
          <w:color w:val="auto"/>
        </w:rPr>
        <w:t>1.</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5</w:t>
      </w:r>
      <w:r>
        <w:rPr>
          <w:rFonts w:hint="eastAsia" w:cs="Times New Roman"/>
          <w:color w:val="auto"/>
          <w:lang w:val="en-US" w:eastAsia="zh-CN"/>
        </w:rPr>
        <w:t>与</w:t>
      </w:r>
      <w:r>
        <w:rPr>
          <w:rFonts w:hint="default" w:ascii="Times New Roman" w:hAnsi="Times New Roman" w:eastAsia="宋体" w:cs="Times New Roman"/>
          <w:color w:val="auto"/>
          <w:lang w:val="en-US" w:eastAsia="zh-CN"/>
        </w:rPr>
        <w:t>《苏州市</w:t>
      </w:r>
      <w:r>
        <w:rPr>
          <w:rFonts w:hint="eastAsia" w:cs="Times New Roman"/>
          <w:color w:val="auto"/>
          <w:lang w:val="en-US" w:eastAsia="zh-CN"/>
        </w:rPr>
        <w:t>“</w:t>
      </w:r>
      <w:r>
        <w:rPr>
          <w:rFonts w:hint="default" w:ascii="Times New Roman" w:hAnsi="Times New Roman" w:eastAsia="宋体" w:cs="Times New Roman"/>
          <w:color w:val="auto"/>
          <w:lang w:val="en-US" w:eastAsia="zh-CN"/>
        </w:rPr>
        <w:t>三线一单</w:t>
      </w:r>
      <w:r>
        <w:rPr>
          <w:rFonts w:hint="eastAsia" w:cs="Times New Roman"/>
          <w:color w:val="auto"/>
          <w:lang w:val="en-US" w:eastAsia="zh-CN"/>
        </w:rPr>
        <w:t>”</w:t>
      </w:r>
      <w:r>
        <w:rPr>
          <w:rFonts w:hint="default" w:ascii="Times New Roman" w:hAnsi="Times New Roman" w:eastAsia="宋体" w:cs="Times New Roman"/>
          <w:color w:val="auto"/>
          <w:lang w:val="en-US" w:eastAsia="zh-CN"/>
        </w:rPr>
        <w:t>生态环境分区管控实施方案》（苏环办字[2020]313号）相符性分析</w:t>
      </w:r>
      <w:bookmarkEnd w:id="43"/>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本项目位于太湖渔洋山饮用水水源地，为江苏省国家级生态保护红线，根据《苏州市</w:t>
      </w:r>
      <w:r>
        <w:rPr>
          <w:rFonts w:hint="eastAsia" w:cs="Times New Roman"/>
          <w:color w:val="auto"/>
          <w:lang w:eastAsia="zh-CN"/>
        </w:rPr>
        <w:t>“</w:t>
      </w:r>
      <w:r>
        <w:rPr>
          <w:rFonts w:hint="default" w:ascii="Times New Roman" w:hAnsi="Times New Roman" w:eastAsia="宋体" w:cs="Times New Roman"/>
          <w:color w:val="auto"/>
        </w:rPr>
        <w:t>三线一单</w:t>
      </w:r>
      <w:r>
        <w:rPr>
          <w:rFonts w:hint="eastAsia" w:cs="Times New Roman"/>
          <w:color w:val="auto"/>
          <w:lang w:eastAsia="zh-CN"/>
        </w:rPr>
        <w:t>”</w:t>
      </w:r>
      <w:r>
        <w:rPr>
          <w:rFonts w:hint="default" w:ascii="Times New Roman" w:hAnsi="Times New Roman" w:eastAsia="宋体" w:cs="Times New Roman"/>
          <w:color w:val="auto"/>
        </w:rPr>
        <w:t>生态环境分区管控实施方案》，项目属于优先保护单元。本项目的建设有利于水源的涵养和水环境的质量改善，不属于与保护水源无关的建设项目；同时本项目的实施未改变其饮用水水源保护区用途和主体功能区定位，符合《苏州市</w:t>
      </w:r>
      <w:r>
        <w:rPr>
          <w:rFonts w:hint="eastAsia" w:cs="Times New Roman"/>
          <w:color w:val="auto"/>
          <w:lang w:eastAsia="zh-CN"/>
        </w:rPr>
        <w:t>“</w:t>
      </w:r>
      <w:r>
        <w:rPr>
          <w:rFonts w:hint="default" w:ascii="Times New Roman" w:hAnsi="Times New Roman" w:eastAsia="宋体" w:cs="Times New Roman"/>
          <w:color w:val="auto"/>
        </w:rPr>
        <w:t>三线一单</w:t>
      </w:r>
      <w:r>
        <w:rPr>
          <w:rFonts w:hint="eastAsia" w:cs="Times New Roman"/>
          <w:color w:val="auto"/>
          <w:lang w:eastAsia="zh-CN"/>
        </w:rPr>
        <w:t>”</w:t>
      </w:r>
      <w:r>
        <w:rPr>
          <w:rFonts w:hint="default" w:ascii="Times New Roman" w:hAnsi="Times New Roman" w:eastAsia="宋体" w:cs="Times New Roman"/>
          <w:color w:val="auto"/>
        </w:rPr>
        <w:t>生态环境分区管控实施方案》（苏环办字[2020]313号）要求。</w:t>
      </w:r>
    </w:p>
    <w:bookmarkEnd w:id="44"/>
    <w:p>
      <w:pPr>
        <w:pStyle w:val="4"/>
        <w:tabs>
          <w:tab w:val="left" w:pos="2160"/>
        </w:tabs>
        <w:spacing w:before="117" w:after="117"/>
        <w:jc w:val="both"/>
        <w:rPr>
          <w:rFonts w:hint="default" w:ascii="Times New Roman" w:hAnsi="Times New Roman" w:eastAsia="宋体" w:cs="Times New Roman"/>
          <w:color w:val="auto"/>
        </w:rPr>
      </w:pPr>
      <w:bookmarkStart w:id="47" w:name="_Toc6276"/>
      <w:r>
        <w:rPr>
          <w:rFonts w:hint="default" w:ascii="Times New Roman" w:hAnsi="Times New Roman" w:eastAsia="宋体" w:cs="Times New Roman"/>
          <w:color w:val="auto"/>
        </w:rPr>
        <w:t>1.</w:t>
      </w:r>
      <w:r>
        <w:rPr>
          <w:rFonts w:hint="eastAsia" w:cs="Times New Roman"/>
          <w:color w:val="auto"/>
          <w:lang w:val="en-US" w:eastAsia="zh-CN"/>
        </w:rPr>
        <w:t>4</w:t>
      </w:r>
      <w:r>
        <w:rPr>
          <w:rFonts w:hint="default" w:ascii="Times New Roman" w:hAnsi="Times New Roman" w:eastAsia="宋体" w:cs="Times New Roman"/>
          <w:color w:val="auto"/>
        </w:rPr>
        <w:t>关注的主要环境问题及环境影响</w:t>
      </w:r>
      <w:bookmarkEnd w:id="45"/>
      <w:bookmarkEnd w:id="46"/>
      <w:bookmarkEnd w:id="47"/>
    </w:p>
    <w:p>
      <w:pPr>
        <w:spacing w:line="480" w:lineRule="exact"/>
        <w:ind w:firstLine="480" w:firstLineChars="200"/>
        <w:jc w:val="both"/>
        <w:rPr>
          <w:rFonts w:hint="default" w:ascii="Times New Roman" w:hAnsi="Times New Roman" w:eastAsia="宋体" w:cs="Times New Roman"/>
          <w:bCs/>
          <w:color w:val="auto"/>
        </w:rPr>
      </w:pPr>
      <w:r>
        <w:rPr>
          <w:rFonts w:hint="default" w:ascii="Times New Roman" w:hAnsi="Times New Roman" w:eastAsia="宋体" w:cs="Times New Roman"/>
          <w:bCs/>
          <w:color w:val="auto"/>
        </w:rPr>
        <w:t>本项目属于生态修复项目，项目建设后将改善</w:t>
      </w:r>
      <w:r>
        <w:rPr>
          <w:rFonts w:hint="default" w:ascii="Times New Roman" w:hAnsi="Times New Roman" w:eastAsia="宋体" w:cs="Times New Roman"/>
          <w:bCs/>
          <w:color w:val="auto"/>
          <w:lang w:val="en-US" w:eastAsia="zh-CN"/>
        </w:rPr>
        <w:t>渔洋山水源地</w:t>
      </w:r>
      <w:r>
        <w:rPr>
          <w:rFonts w:hint="default" w:ascii="Times New Roman" w:hAnsi="Times New Roman" w:eastAsia="宋体" w:cs="Times New Roman"/>
          <w:bCs/>
          <w:color w:val="auto"/>
        </w:rPr>
        <w:t>水质和水生生态环境，具有明显的环境效益与社会效益。根据本项目工程特点及环境特征，本评价重点关注工程建设、占地、施工活动对生态环境的影响，提出必要可行的避让、减缓或恢复措施，减轻不良影响。</w:t>
      </w:r>
    </w:p>
    <w:p>
      <w:pPr>
        <w:spacing w:line="480" w:lineRule="exact"/>
        <w:ind w:firstLine="480" w:firstLineChars="200"/>
        <w:jc w:val="both"/>
        <w:rPr>
          <w:rFonts w:hint="default" w:ascii="Times New Roman" w:hAnsi="Times New Roman" w:eastAsia="宋体" w:cs="Times New Roman"/>
          <w:bCs/>
          <w:color w:val="auto"/>
        </w:rPr>
      </w:pPr>
      <w:r>
        <w:rPr>
          <w:rFonts w:hint="default" w:ascii="Times New Roman" w:hAnsi="Times New Roman" w:eastAsia="宋体" w:cs="Times New Roman"/>
          <w:bCs/>
          <w:color w:val="auto"/>
        </w:rPr>
        <w:t>本工程建成后，可以促进水体的流动与交换，改善湖泊生态环境状况、提升生态系统功能，</w:t>
      </w:r>
      <w:r>
        <w:rPr>
          <w:rFonts w:hint="eastAsia" w:cs="Times New Roman"/>
          <w:bCs/>
          <w:color w:val="auto"/>
          <w:lang w:val="en-US" w:eastAsia="zh-CN"/>
        </w:rPr>
        <w:t>因此</w:t>
      </w:r>
      <w:r>
        <w:rPr>
          <w:rFonts w:hint="default" w:ascii="Times New Roman" w:hAnsi="Times New Roman" w:eastAsia="宋体" w:cs="Times New Roman"/>
          <w:bCs/>
          <w:color w:val="auto"/>
        </w:rPr>
        <w:t>水质的影响变化情况也是本评价关注的主要环境问题。</w:t>
      </w:r>
    </w:p>
    <w:p>
      <w:pPr>
        <w:pStyle w:val="4"/>
        <w:spacing w:before="117" w:after="117"/>
        <w:jc w:val="both"/>
        <w:rPr>
          <w:rFonts w:hint="default" w:ascii="Times New Roman" w:hAnsi="Times New Roman" w:eastAsia="宋体" w:cs="Times New Roman"/>
          <w:color w:val="auto"/>
        </w:rPr>
      </w:pPr>
      <w:bookmarkStart w:id="48" w:name="_Toc5441"/>
      <w:r>
        <w:rPr>
          <w:rFonts w:hint="default" w:ascii="Times New Roman" w:hAnsi="Times New Roman" w:eastAsia="宋体" w:cs="Times New Roman"/>
          <w:color w:val="auto"/>
        </w:rPr>
        <w:t>1.</w:t>
      </w:r>
      <w:r>
        <w:rPr>
          <w:rFonts w:hint="eastAsia" w:cs="Times New Roman"/>
          <w:color w:val="auto"/>
          <w:lang w:val="en-US" w:eastAsia="zh-CN"/>
        </w:rPr>
        <w:t>5</w:t>
      </w:r>
      <w:r>
        <w:rPr>
          <w:rFonts w:hint="default" w:ascii="Times New Roman" w:hAnsi="Times New Roman" w:eastAsia="宋体" w:cs="Times New Roman"/>
          <w:color w:val="auto"/>
        </w:rPr>
        <w:t>环境影响评价的主要结论</w:t>
      </w:r>
      <w:bookmarkEnd w:id="32"/>
      <w:bookmarkEnd w:id="33"/>
      <w:bookmarkEnd w:id="34"/>
      <w:bookmarkEnd w:id="35"/>
      <w:bookmarkEnd w:id="48"/>
    </w:p>
    <w:p>
      <w:pPr>
        <w:spacing w:line="480" w:lineRule="exact"/>
        <w:ind w:firstLine="480" w:firstLineChars="200"/>
        <w:jc w:val="both"/>
        <w:rPr>
          <w:rFonts w:hint="default" w:ascii="Times New Roman" w:hAnsi="Times New Roman" w:eastAsia="宋体" w:cs="Times New Roman"/>
          <w:bCs/>
          <w:color w:val="auto"/>
        </w:rPr>
      </w:pPr>
      <w:bookmarkStart w:id="49" w:name="_Toc492644419"/>
      <w:r>
        <w:rPr>
          <w:rFonts w:hint="default" w:ascii="Times New Roman" w:hAnsi="Times New Roman" w:eastAsia="宋体" w:cs="Times New Roman"/>
          <w:bCs/>
          <w:color w:val="auto"/>
        </w:rPr>
        <w:t>环评单位通过调查、分析和综合评价后认为：</w:t>
      </w:r>
    </w:p>
    <w:p>
      <w:pPr>
        <w:spacing w:line="480" w:lineRule="exact"/>
        <w:ind w:firstLine="480" w:firstLineChars="200"/>
        <w:jc w:val="both"/>
        <w:rPr>
          <w:rFonts w:hint="default" w:ascii="Times New Roman" w:hAnsi="Times New Roman" w:eastAsia="宋体" w:cs="Times New Roman"/>
          <w:bCs/>
          <w:color w:val="auto"/>
        </w:rPr>
      </w:pPr>
      <w:r>
        <w:rPr>
          <w:rFonts w:hint="default" w:ascii="Times New Roman" w:hAnsi="Times New Roman" w:eastAsia="宋体" w:cs="Times New Roman"/>
          <w:bCs/>
          <w:color w:val="auto"/>
          <w:lang w:val="en-US" w:eastAsia="zh-CN"/>
        </w:rPr>
        <w:t>本</w:t>
      </w:r>
      <w:r>
        <w:rPr>
          <w:rFonts w:hint="default" w:ascii="Times New Roman" w:hAnsi="Times New Roman" w:eastAsia="宋体" w:cs="Times New Roman"/>
          <w:bCs/>
          <w:color w:val="auto"/>
        </w:rPr>
        <w:t>项目的实施将促进水体的流动与交换，改善水环境和生态环境，保障饮水安全，为水资源优化配置和合理利用创造条件。</w:t>
      </w:r>
    </w:p>
    <w:p>
      <w:pPr>
        <w:spacing w:line="480" w:lineRule="exact"/>
        <w:ind w:firstLine="480" w:firstLineChars="200"/>
        <w:jc w:val="both"/>
        <w:rPr>
          <w:rFonts w:hint="default" w:ascii="Times New Roman" w:hAnsi="Times New Roman" w:eastAsia="宋体" w:cs="Times New Roman"/>
          <w:bCs/>
          <w:color w:val="auto"/>
        </w:rPr>
      </w:pPr>
      <w:r>
        <w:rPr>
          <w:rFonts w:hint="default" w:ascii="Times New Roman" w:hAnsi="Times New Roman" w:eastAsia="宋体" w:cs="Times New Roman"/>
          <w:bCs/>
          <w:color w:val="auto"/>
        </w:rPr>
        <w:t>本工程为生态治理工程，符合当地经济社会发展规划、水资源和水环境保护规划要求，也符合江苏省生态红线要求。本项目工程不涉及永久基本农田。</w:t>
      </w:r>
    </w:p>
    <w:p>
      <w:pPr>
        <w:spacing w:line="480" w:lineRule="exact"/>
        <w:ind w:firstLine="480" w:firstLineChars="200"/>
        <w:jc w:val="both"/>
        <w:rPr>
          <w:rFonts w:hint="default" w:ascii="Times New Roman" w:hAnsi="Times New Roman" w:eastAsia="宋体" w:cs="Times New Roman"/>
          <w:bCs/>
          <w:color w:val="auto"/>
        </w:rPr>
      </w:pPr>
      <w:r>
        <w:rPr>
          <w:rFonts w:hint="default" w:ascii="Times New Roman" w:hAnsi="Times New Roman" w:eastAsia="宋体" w:cs="Times New Roman"/>
          <w:bCs/>
          <w:color w:val="auto"/>
        </w:rPr>
        <w:t>工程施工期将对区域环境产生一定的不利影响，本次环评提出了各项环境保护措施，如针对施工期对重要生态敏感区的影响，从施工布局、施工方式和管理等措施进行保护；针对施工时局部植被破坏产生水土流失，拟采用工程措施与植物措施相结合的水土保持措施进行控制；针对施工期</w:t>
      </w:r>
      <w:r>
        <w:rPr>
          <w:rFonts w:hint="eastAsia" w:cs="Times New Roman"/>
          <w:bCs/>
          <w:color w:val="auto"/>
          <w:lang w:eastAsia="zh-CN"/>
        </w:rPr>
        <w:t>“</w:t>
      </w:r>
      <w:r>
        <w:rPr>
          <w:rFonts w:hint="default" w:ascii="Times New Roman" w:hAnsi="Times New Roman" w:eastAsia="宋体" w:cs="Times New Roman"/>
          <w:bCs/>
          <w:color w:val="auto"/>
        </w:rPr>
        <w:t>三废一噪</w:t>
      </w:r>
      <w:r>
        <w:rPr>
          <w:rFonts w:hint="eastAsia" w:cs="Times New Roman"/>
          <w:bCs/>
          <w:color w:val="auto"/>
          <w:lang w:eastAsia="zh-CN"/>
        </w:rPr>
        <w:t>”</w:t>
      </w:r>
      <w:r>
        <w:rPr>
          <w:rFonts w:hint="default" w:ascii="Times New Roman" w:hAnsi="Times New Roman" w:eastAsia="宋体" w:cs="Times New Roman"/>
          <w:bCs/>
          <w:color w:val="auto"/>
        </w:rPr>
        <w:t>污染，主体工程将从环境管理和污染控制并举对区域环境质量进行达标控制。此外，通过加强工程环境监理，可有效保障各类环保措施得到有效落实。施工期的影响是暂时性的，而且通过采取各类保护措施，可以得到有效避免或减缓，基本不会对饮用水取水口取水安全造成影响。工程运行期工程本身基本不产生污染物，不会对湖泊以及周边河流水文情势带来大的改变，基本不改变区域生态系统格局，对太湖</w:t>
      </w:r>
      <w:r>
        <w:rPr>
          <w:rFonts w:hint="default" w:ascii="Times New Roman" w:hAnsi="Times New Roman" w:eastAsia="宋体" w:cs="Times New Roman"/>
          <w:bCs/>
          <w:color w:val="auto"/>
          <w:lang w:val="en-US" w:eastAsia="zh-CN"/>
        </w:rPr>
        <w:t>渔洋山</w:t>
      </w:r>
      <w:r>
        <w:rPr>
          <w:rFonts w:hint="default" w:ascii="Times New Roman" w:hAnsi="Times New Roman" w:eastAsia="宋体" w:cs="Times New Roman"/>
          <w:bCs/>
          <w:color w:val="auto"/>
        </w:rPr>
        <w:t>饮用水水源保护区不会产生影响。</w:t>
      </w:r>
    </w:p>
    <w:p>
      <w:pPr>
        <w:spacing w:line="480" w:lineRule="exact"/>
        <w:ind w:firstLine="480" w:firstLineChars="200"/>
        <w:jc w:val="both"/>
        <w:rPr>
          <w:rFonts w:hint="default" w:ascii="Times New Roman" w:hAnsi="Times New Roman" w:eastAsia="宋体" w:cs="Times New Roman"/>
          <w:bCs/>
          <w:color w:val="auto"/>
        </w:rPr>
      </w:pPr>
      <w:r>
        <w:rPr>
          <w:rFonts w:hint="default" w:ascii="Times New Roman" w:hAnsi="Times New Roman" w:eastAsia="宋体" w:cs="Times New Roman"/>
          <w:bCs/>
          <w:color w:val="auto"/>
        </w:rPr>
        <w:t>综上，本工程建设的有利影响是主要的，不利影响是次要的、局部的、暂时的，且不利影响可通过采取一定措施加以减缓。因此，在切实做好各项环境保护措施的前提下，并征得主管部门的同意后，从环境保护角度来看，工程建设是可行的。</w:t>
      </w:r>
    </w:p>
    <w:p>
      <w:pPr>
        <w:pStyle w:val="3"/>
        <w:spacing w:before="117" w:after="117"/>
        <w:jc w:val="both"/>
        <w:rPr>
          <w:rFonts w:hint="default" w:ascii="Times New Roman" w:hAnsi="Times New Roman" w:eastAsia="宋体" w:cs="Times New Roman"/>
          <w:color w:val="auto"/>
        </w:rPr>
      </w:pPr>
      <w:r>
        <w:rPr>
          <w:rFonts w:hint="default" w:ascii="Times New Roman" w:hAnsi="Times New Roman" w:eastAsia="宋体" w:cs="Times New Roman"/>
          <w:color w:val="auto"/>
        </w:rPr>
        <w:br w:type="page"/>
      </w:r>
      <w:bookmarkStart w:id="50" w:name="_Toc32682"/>
      <w:r>
        <w:rPr>
          <w:rFonts w:hint="default" w:ascii="Times New Roman" w:hAnsi="Times New Roman" w:eastAsia="宋体" w:cs="Times New Roman"/>
          <w:color w:val="auto"/>
        </w:rPr>
        <w:t>2总则</w:t>
      </w:r>
      <w:bookmarkEnd w:id="49"/>
      <w:bookmarkEnd w:id="50"/>
    </w:p>
    <w:bookmarkEnd w:id="18"/>
    <w:bookmarkEnd w:id="19"/>
    <w:bookmarkEnd w:id="20"/>
    <w:bookmarkEnd w:id="21"/>
    <w:bookmarkEnd w:id="22"/>
    <w:bookmarkEnd w:id="23"/>
    <w:bookmarkEnd w:id="24"/>
    <w:bookmarkEnd w:id="25"/>
    <w:p>
      <w:pPr>
        <w:pStyle w:val="4"/>
        <w:spacing w:before="117" w:after="117"/>
        <w:jc w:val="both"/>
        <w:rPr>
          <w:rFonts w:hint="default" w:ascii="Times New Roman" w:hAnsi="Times New Roman" w:eastAsia="宋体" w:cs="Times New Roman"/>
          <w:color w:val="auto"/>
        </w:rPr>
      </w:pPr>
      <w:bookmarkStart w:id="51" w:name="_Toc214355799"/>
      <w:bookmarkStart w:id="52" w:name="_Toc310243964"/>
      <w:bookmarkStart w:id="53" w:name="_Toc492644420"/>
      <w:bookmarkStart w:id="54" w:name="_Toc312155918"/>
      <w:bookmarkStart w:id="55" w:name="_Toc21885"/>
      <w:r>
        <w:rPr>
          <w:rFonts w:hint="default" w:ascii="Times New Roman" w:hAnsi="Times New Roman" w:eastAsia="宋体" w:cs="Times New Roman"/>
          <w:color w:val="auto"/>
        </w:rPr>
        <w:t>2.1编制依据</w:t>
      </w:r>
      <w:bookmarkEnd w:id="51"/>
      <w:bookmarkEnd w:id="52"/>
      <w:bookmarkEnd w:id="53"/>
      <w:bookmarkEnd w:id="54"/>
      <w:bookmarkEnd w:id="55"/>
    </w:p>
    <w:p>
      <w:pPr>
        <w:pStyle w:val="5"/>
        <w:jc w:val="both"/>
        <w:rPr>
          <w:rFonts w:hint="default" w:ascii="Times New Roman" w:hAnsi="Times New Roman" w:eastAsia="宋体" w:cs="Times New Roman"/>
          <w:color w:val="auto"/>
        </w:rPr>
      </w:pPr>
      <w:bookmarkStart w:id="56" w:name="_Toc310243965"/>
      <w:bookmarkStart w:id="57" w:name="_Toc312155919"/>
      <w:bookmarkStart w:id="58" w:name="_Toc503461502"/>
      <w:bookmarkStart w:id="59" w:name="_Toc492644483"/>
      <w:bookmarkStart w:id="60" w:name="_Toc507334544"/>
      <w:bookmarkStart w:id="61" w:name="_Toc12303"/>
      <w:r>
        <w:rPr>
          <w:rFonts w:hint="default" w:ascii="Times New Roman" w:hAnsi="Times New Roman" w:eastAsia="宋体" w:cs="Times New Roman"/>
          <w:color w:val="auto"/>
        </w:rPr>
        <w:t>2.1.1国家法规与政策</w:t>
      </w:r>
      <w:bookmarkEnd w:id="56"/>
      <w:bookmarkEnd w:id="57"/>
      <w:bookmarkEnd w:id="58"/>
      <w:bookmarkEnd w:id="59"/>
      <w:bookmarkEnd w:id="60"/>
      <w:bookmarkEnd w:id="61"/>
    </w:p>
    <w:p>
      <w:pPr>
        <w:widowControl w:val="0"/>
        <w:spacing w:line="480" w:lineRule="exact"/>
        <w:ind w:firstLine="480" w:firstLineChars="200"/>
        <w:jc w:val="both"/>
        <w:rPr>
          <w:rFonts w:hint="default" w:ascii="Times New Roman" w:hAnsi="Times New Roman" w:eastAsia="宋体" w:cs="Times New Roman"/>
          <w:color w:val="auto"/>
        </w:rPr>
      </w:pPr>
      <w:bookmarkStart w:id="62" w:name="_Toc132616350"/>
      <w:bookmarkStart w:id="63" w:name="_Toc119742907"/>
      <w:bookmarkStart w:id="64" w:name="_Toc112514466"/>
      <w:bookmarkStart w:id="65" w:name="_Toc143401055"/>
      <w:bookmarkStart w:id="66" w:name="_Toc492644484"/>
      <w:bookmarkStart w:id="67" w:name="_Toc310243966"/>
      <w:bookmarkStart w:id="68" w:name="_Toc507334545"/>
      <w:bookmarkStart w:id="69" w:name="_Toc503461503"/>
      <w:bookmarkStart w:id="70" w:name="_Toc312155920"/>
      <w:r>
        <w:rPr>
          <w:rFonts w:hint="default" w:ascii="Times New Roman" w:hAnsi="Times New Roman" w:eastAsia="宋体" w:cs="Times New Roman"/>
          <w:color w:val="auto"/>
        </w:rPr>
        <w:t>（1）《中华人民共和国环境保护法》，2014年4月24日修订；</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（2）《中华人民共和国环境影响评价法》，2018年12月29日修订；</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（3）《中华人民共和国水污染防治法》，2017年6月27日修订；</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（4）《中华人民共和国大气污染防治法》，2018年10月26日修订；</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（5）《中华人民共和国环境噪声污染防治法》，2018年12月29日修订；</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（6）《中华人民共和国固体废物污染环境防治法》，2020年修订；</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（7）《中华人民共和国土壤污染防治法》，2019年1月1日；</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lang w:eastAsia="zh-CN"/>
        </w:rPr>
        <w:t>）《中华人民共和国水土保持法》，2011年3月1日</w:t>
      </w:r>
      <w:r>
        <w:rPr>
          <w:rFonts w:hint="default" w:ascii="Times New Roman" w:hAnsi="Times New Roman" w:eastAsia="宋体" w:cs="Times New Roman"/>
          <w:color w:val="auto"/>
        </w:rPr>
        <w:t>；</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9</w:t>
      </w:r>
      <w:r>
        <w:rPr>
          <w:rFonts w:hint="default" w:ascii="Times New Roman" w:hAnsi="Times New Roman" w:eastAsia="宋体" w:cs="Times New Roman"/>
          <w:color w:val="auto"/>
        </w:rPr>
        <w:t>）《中华人民共和国水法》，2016年7月2日修订；</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eastAsia" w:cs="Times New Roman"/>
          <w:color w:val="auto"/>
          <w:lang w:val="en-US" w:eastAsia="zh-CN"/>
        </w:rPr>
        <w:t>0</w:t>
      </w:r>
      <w:r>
        <w:rPr>
          <w:rFonts w:hint="default" w:ascii="Times New Roman" w:hAnsi="Times New Roman" w:eastAsia="宋体" w:cs="Times New Roman"/>
          <w:color w:val="auto"/>
        </w:rPr>
        <w:t>）《中华人民共和国渔业法》，2013年12月28日修订；</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eastAsia" w:cs="Times New Roman"/>
          <w:color w:val="auto"/>
          <w:lang w:val="en-US" w:eastAsia="zh-CN"/>
        </w:rPr>
        <w:t>1</w:t>
      </w:r>
      <w:r>
        <w:rPr>
          <w:rFonts w:hint="default" w:ascii="Times New Roman" w:hAnsi="Times New Roman" w:eastAsia="宋体" w:cs="Times New Roman"/>
          <w:color w:val="auto"/>
        </w:rPr>
        <w:t>）《中华人民共和国野生动物保护法》，2018年10月26日修订；</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eastAsia" w:cs="Times New Roman"/>
          <w:color w:val="auto"/>
          <w:lang w:val="en-US" w:eastAsia="zh-CN"/>
        </w:rPr>
        <w:t>2</w:t>
      </w:r>
      <w:r>
        <w:rPr>
          <w:rFonts w:hint="default" w:ascii="Times New Roman" w:hAnsi="Times New Roman" w:eastAsia="宋体" w:cs="Times New Roman"/>
          <w:color w:val="auto"/>
        </w:rPr>
        <w:t>）《中华人民共和国水生野生动物保护实施条例》，2013年12月7日修订；</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eastAsia" w:cs="Times New Roman"/>
          <w:color w:val="auto"/>
          <w:lang w:val="en-US" w:eastAsia="zh-CN"/>
        </w:rPr>
        <w:t>3）</w:t>
      </w:r>
      <w:r>
        <w:rPr>
          <w:rFonts w:hint="default" w:ascii="Times New Roman" w:hAnsi="Times New Roman" w:eastAsia="宋体" w:cs="Times New Roman"/>
          <w:color w:val="auto"/>
          <w:lang w:val="en-US" w:eastAsia="zh-CN"/>
        </w:rPr>
        <w:t>《中华人民共和国野生植物保护条例》，2017年10月7日修订</w:t>
      </w:r>
      <w:r>
        <w:rPr>
          <w:rFonts w:hint="default" w:ascii="Times New Roman" w:hAnsi="Times New Roman" w:eastAsia="宋体" w:cs="Times New Roman"/>
          <w:color w:val="auto"/>
        </w:rPr>
        <w:t>；</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eastAsia" w:ascii="Times New Roman" w:hAnsi="Times New Roman" w:eastAsia="宋体" w:cs="Times New Roman"/>
          <w:color w:val="auto"/>
          <w:lang w:val="en-US" w:eastAsia="zh-CN"/>
        </w:rPr>
        <w:t>4</w:t>
      </w:r>
      <w:r>
        <w:rPr>
          <w:rFonts w:hint="default" w:ascii="Times New Roman" w:hAnsi="Times New Roman" w:eastAsia="宋体" w:cs="Times New Roman"/>
          <w:color w:val="auto"/>
        </w:rPr>
        <w:t>）</w:t>
      </w:r>
      <w:r>
        <w:rPr>
          <w:rFonts w:hint="eastAsia" w:ascii="Times New Roman" w:hAnsi="Times New Roman" w:eastAsia="宋体" w:cs="Times New Roman"/>
          <w:color w:val="auto"/>
        </w:rPr>
        <w:t>《中华人民共和国陆生野生动物保护实施条例》，2016年2月6日修订</w:t>
      </w:r>
      <w:r>
        <w:rPr>
          <w:rFonts w:hint="default" w:ascii="Times New Roman" w:hAnsi="Times New Roman" w:eastAsia="宋体" w:cs="Times New Roman"/>
          <w:color w:val="auto"/>
        </w:rPr>
        <w:t>；</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eastAsia" w:cs="Times New Roman"/>
          <w:color w:val="auto"/>
          <w:lang w:val="en-US" w:eastAsia="zh-CN"/>
        </w:rPr>
        <w:t>5</w:t>
      </w:r>
      <w:r>
        <w:rPr>
          <w:rFonts w:hint="default" w:ascii="Times New Roman" w:hAnsi="Times New Roman" w:eastAsia="宋体" w:cs="Times New Roman"/>
          <w:color w:val="auto"/>
        </w:rPr>
        <w:t>）《中华人民共和国自然保护区条例》，2017年10月7日修订；</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eastAsia" w:cs="Times New Roman"/>
          <w:color w:val="auto"/>
          <w:lang w:val="en-US" w:eastAsia="zh-CN"/>
        </w:rPr>
        <w:t>16</w:t>
      </w:r>
      <w:r>
        <w:rPr>
          <w:rFonts w:hint="default" w:ascii="Times New Roman" w:hAnsi="Times New Roman" w:eastAsia="宋体" w:cs="Times New Roman"/>
          <w:color w:val="auto"/>
        </w:rPr>
        <w:t>）《建设项目环境保护管理条例》，2017年7月16日修订；</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eastAsia" w:cs="Times New Roman"/>
          <w:color w:val="auto"/>
          <w:lang w:val="en-US" w:eastAsia="zh-CN"/>
        </w:rPr>
        <w:t>17</w:t>
      </w:r>
      <w:r>
        <w:rPr>
          <w:rFonts w:hint="default" w:ascii="Times New Roman" w:hAnsi="Times New Roman" w:eastAsia="宋体" w:cs="Times New Roman"/>
          <w:color w:val="auto"/>
        </w:rPr>
        <w:t>）《基本农田保护条例》，1999年1月1日；</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eastAsia" w:cs="Times New Roman"/>
          <w:color w:val="auto"/>
          <w:lang w:val="en-US" w:eastAsia="zh-CN"/>
        </w:rPr>
        <w:t>18</w:t>
      </w:r>
      <w:r>
        <w:rPr>
          <w:rFonts w:hint="default" w:ascii="Times New Roman" w:hAnsi="Times New Roman" w:eastAsia="宋体" w:cs="Times New Roman"/>
          <w:color w:val="auto"/>
        </w:rPr>
        <w:t>）《国家重点保护野生动物名录》，1988年12月10日；</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eastAsia" w:cs="Times New Roman"/>
          <w:color w:val="auto"/>
          <w:lang w:val="en-US" w:eastAsia="zh-CN"/>
        </w:rPr>
        <w:t>19</w:t>
      </w:r>
      <w:r>
        <w:rPr>
          <w:rFonts w:hint="default" w:ascii="Times New Roman" w:hAnsi="Times New Roman" w:eastAsia="宋体" w:cs="Times New Roman"/>
          <w:color w:val="auto"/>
        </w:rPr>
        <w:t>）《国家重点保护野生植物名录(第一批)》，1999年8月4日；</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（2</w:t>
      </w:r>
      <w:r>
        <w:rPr>
          <w:rFonts w:hint="eastAsia" w:cs="Times New Roman"/>
          <w:color w:val="auto"/>
          <w:lang w:val="en-US" w:eastAsia="zh-CN"/>
        </w:rPr>
        <w:t>0</w:t>
      </w:r>
      <w:r>
        <w:rPr>
          <w:rFonts w:hint="default" w:ascii="Times New Roman" w:hAnsi="Times New Roman" w:eastAsia="宋体" w:cs="Times New Roman"/>
          <w:color w:val="auto"/>
        </w:rPr>
        <w:t>）《国家级水产种质资源保护区名录(第二批)》，2009年04月28日；</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（2</w:t>
      </w:r>
      <w:r>
        <w:rPr>
          <w:rFonts w:hint="eastAsia" w:cs="Times New Roman"/>
          <w:color w:val="auto"/>
          <w:lang w:val="en-US" w:eastAsia="zh-CN"/>
        </w:rPr>
        <w:t>1</w:t>
      </w:r>
      <w:r>
        <w:rPr>
          <w:rFonts w:hint="default" w:ascii="Times New Roman" w:hAnsi="Times New Roman" w:eastAsia="宋体" w:cs="Times New Roman"/>
          <w:color w:val="auto"/>
        </w:rPr>
        <w:t>）《建设项目环境影响评价分类管理目录》（2021年版），部令第16号；</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2</w:t>
      </w:r>
      <w:r>
        <w:rPr>
          <w:rFonts w:hint="eastAsia" w:cs="Times New Roman"/>
          <w:color w:val="auto"/>
          <w:lang w:val="en-US" w:eastAsia="zh-CN"/>
        </w:rPr>
        <w:t>2</w:t>
      </w:r>
      <w:r>
        <w:rPr>
          <w:rFonts w:hint="default" w:ascii="Times New Roman" w:hAnsi="Times New Roman" w:eastAsia="宋体" w:cs="Times New Roman"/>
          <w:color w:val="auto"/>
          <w:lang w:eastAsia="zh-CN"/>
        </w:rPr>
        <w:t>）《环境影响评价公众参与办法》，生态环境部部令第4号，2019年1月1日</w:t>
      </w:r>
      <w:r>
        <w:rPr>
          <w:rFonts w:hint="default" w:ascii="Times New Roman" w:hAnsi="Times New Roman" w:eastAsia="宋体" w:cs="Times New Roman"/>
          <w:color w:val="auto"/>
        </w:rPr>
        <w:t>；</w:t>
      </w:r>
    </w:p>
    <w:p>
      <w:pPr>
        <w:widowControl w:val="0"/>
        <w:kinsoku w:val="0"/>
        <w:overflowPunct w:val="0"/>
        <w:autoSpaceDE w:val="0"/>
        <w:autoSpaceDN w:val="0"/>
        <w:adjustRightInd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2</w:t>
      </w:r>
      <w:r>
        <w:rPr>
          <w:rFonts w:hint="eastAsia" w:cs="Times New Roman"/>
          <w:color w:val="auto"/>
          <w:lang w:val="en-US" w:eastAsia="zh-CN"/>
        </w:rPr>
        <w:t>3</w:t>
      </w:r>
      <w:r>
        <w:rPr>
          <w:rFonts w:hint="default" w:ascii="Times New Roman" w:hAnsi="Times New Roman" w:eastAsia="宋体" w:cs="Times New Roman"/>
          <w:color w:val="auto"/>
        </w:rPr>
        <w:t>）《关于进一步加强环境影响评价管理防范环境风险的通知》，环发[2012]77号；</w:t>
      </w:r>
    </w:p>
    <w:p>
      <w:pPr>
        <w:widowControl w:val="0"/>
        <w:kinsoku w:val="0"/>
        <w:overflowPunct w:val="0"/>
        <w:autoSpaceDE w:val="0"/>
        <w:autoSpaceDN w:val="0"/>
        <w:adjustRightInd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2</w:t>
      </w:r>
      <w:r>
        <w:rPr>
          <w:rFonts w:hint="eastAsia" w:cs="Times New Roman"/>
          <w:color w:val="auto"/>
          <w:lang w:val="en-US" w:eastAsia="zh-CN"/>
        </w:rPr>
        <w:t>4</w:t>
      </w:r>
      <w:r>
        <w:rPr>
          <w:rFonts w:hint="default" w:ascii="Times New Roman" w:hAnsi="Times New Roman" w:eastAsia="宋体" w:cs="Times New Roman"/>
          <w:color w:val="auto"/>
        </w:rPr>
        <w:t>）《关于切实加强风险防范严格环境影响评价管理的通知》，环发[2012]98号；</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eastAsia" w:cs="Times New Roman"/>
          <w:color w:val="auto"/>
          <w:lang w:val="en-US" w:eastAsia="zh-CN"/>
        </w:rPr>
        <w:t>25</w:t>
      </w:r>
      <w:r>
        <w:rPr>
          <w:rFonts w:hint="default" w:ascii="Times New Roman" w:hAnsi="Times New Roman" w:eastAsia="宋体" w:cs="Times New Roman"/>
          <w:color w:val="auto"/>
        </w:rPr>
        <w:t>）《关于加强资源开发生态环境保护监管工作的意见》，环发[2004]24号；</w:t>
      </w:r>
    </w:p>
    <w:p>
      <w:pPr>
        <w:widowControl w:val="0"/>
        <w:spacing w:line="480" w:lineRule="exact"/>
        <w:ind w:firstLine="480" w:firstLineChars="200"/>
        <w:jc w:val="both"/>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w:t>
      </w:r>
      <w:r>
        <w:rPr>
          <w:rFonts w:hint="eastAsia" w:cs="Times New Roman"/>
          <w:color w:val="auto"/>
          <w:lang w:val="en-US" w:eastAsia="zh-CN"/>
        </w:rPr>
        <w:t>26</w:t>
      </w:r>
      <w:r>
        <w:rPr>
          <w:rFonts w:hint="default" w:ascii="Times New Roman" w:hAnsi="Times New Roman" w:eastAsia="宋体" w:cs="Times New Roman"/>
          <w:color w:val="auto"/>
        </w:rPr>
        <w:t>）《饮用水水源保护区污染防治管理规定》，环管字第201号，2010年12月22日修订</w:t>
      </w:r>
      <w:bookmarkEnd w:id="62"/>
      <w:bookmarkEnd w:id="63"/>
      <w:bookmarkEnd w:id="64"/>
      <w:r>
        <w:rPr>
          <w:rFonts w:hint="eastAsia" w:cs="Times New Roman"/>
          <w:color w:val="auto"/>
          <w:lang w:eastAsia="zh-CN"/>
        </w:rPr>
        <w:t>；</w:t>
      </w:r>
    </w:p>
    <w:p>
      <w:pPr>
        <w:widowControl w:val="0"/>
        <w:spacing w:line="480" w:lineRule="exact"/>
        <w:ind w:firstLine="480" w:firstLineChars="200"/>
        <w:jc w:val="both"/>
        <w:rPr>
          <w:rFonts w:hint="eastAsia" w:ascii="Times New Roman" w:hAnsi="Times New Roman" w:eastAsia="宋体" w:cs="Times New Roman"/>
          <w:color w:val="auto"/>
          <w:lang w:eastAsia="zh-CN"/>
        </w:rPr>
      </w:pPr>
      <w:r>
        <w:rPr>
          <w:rFonts w:hint="eastAsia" w:cs="Times New Roman"/>
          <w:color w:val="auto"/>
          <w:lang w:eastAsia="zh-CN"/>
        </w:rPr>
        <w:t>（</w:t>
      </w:r>
      <w:r>
        <w:rPr>
          <w:rFonts w:hint="eastAsia" w:cs="Times New Roman"/>
          <w:color w:val="auto"/>
          <w:lang w:val="en-US" w:eastAsia="zh-CN"/>
        </w:rPr>
        <w:t>27</w:t>
      </w:r>
      <w:r>
        <w:rPr>
          <w:rFonts w:hint="eastAsia" w:cs="Times New Roman"/>
          <w:color w:val="auto"/>
          <w:lang w:eastAsia="zh-CN"/>
        </w:rPr>
        <w:t>）《全国集中式饮用水水源地环境保护专项行动方案》(环环监[2018]25号）；</w:t>
      </w:r>
    </w:p>
    <w:p>
      <w:pPr>
        <w:widowControl w:val="0"/>
        <w:spacing w:line="480" w:lineRule="exact"/>
        <w:ind w:firstLine="480" w:firstLineChars="200"/>
        <w:jc w:val="both"/>
        <w:rPr>
          <w:rFonts w:hint="eastAsia" w:ascii="Times New Roman" w:hAnsi="Times New Roman" w:eastAsia="宋体" w:cs="Times New Roman"/>
          <w:color w:val="auto"/>
          <w:lang w:eastAsia="zh-CN"/>
        </w:rPr>
      </w:pPr>
      <w:r>
        <w:rPr>
          <w:rFonts w:hint="eastAsia" w:cs="Times New Roman"/>
          <w:color w:val="auto"/>
          <w:lang w:eastAsia="zh-CN"/>
        </w:rPr>
        <w:t>（</w:t>
      </w:r>
      <w:r>
        <w:rPr>
          <w:rFonts w:hint="eastAsia" w:cs="Times New Roman"/>
          <w:color w:val="auto"/>
          <w:lang w:val="en-US" w:eastAsia="zh-CN"/>
        </w:rPr>
        <w:t>28</w:t>
      </w:r>
      <w:r>
        <w:rPr>
          <w:rFonts w:hint="eastAsia" w:cs="Times New Roman"/>
          <w:color w:val="auto"/>
          <w:lang w:eastAsia="zh-CN"/>
        </w:rPr>
        <w:t>）《水产种质资源保护区管理暂行办法》（农业部令2011年第1号）；</w:t>
      </w:r>
    </w:p>
    <w:p>
      <w:pPr>
        <w:widowControl w:val="0"/>
        <w:spacing w:line="480" w:lineRule="exact"/>
        <w:ind w:firstLine="480" w:firstLineChars="200"/>
        <w:jc w:val="both"/>
        <w:rPr>
          <w:rFonts w:hint="eastAsia" w:ascii="Times New Roman" w:hAnsi="Times New Roman" w:eastAsia="宋体" w:cs="Times New Roman"/>
          <w:color w:val="auto"/>
          <w:lang w:eastAsia="zh-CN"/>
        </w:rPr>
      </w:pPr>
      <w:r>
        <w:rPr>
          <w:rFonts w:hint="eastAsia" w:cs="Times New Roman"/>
          <w:color w:val="auto"/>
          <w:lang w:eastAsia="zh-CN"/>
        </w:rPr>
        <w:t>（</w:t>
      </w:r>
      <w:r>
        <w:rPr>
          <w:rFonts w:hint="eastAsia" w:cs="Times New Roman"/>
          <w:color w:val="auto"/>
          <w:lang w:val="en-US" w:eastAsia="zh-CN"/>
        </w:rPr>
        <w:t>29</w:t>
      </w:r>
      <w:r>
        <w:rPr>
          <w:rFonts w:hint="eastAsia" w:cs="Times New Roman"/>
          <w:color w:val="auto"/>
          <w:lang w:eastAsia="zh-CN"/>
        </w:rPr>
        <w:t>）《关于进一步加强水生生物资源保护严格环境影响评价管理的通知》，环发[2013]86号；</w:t>
      </w:r>
    </w:p>
    <w:p>
      <w:pPr>
        <w:widowControl w:val="0"/>
        <w:spacing w:line="480" w:lineRule="exact"/>
        <w:ind w:firstLine="480" w:firstLineChars="200"/>
        <w:jc w:val="both"/>
        <w:rPr>
          <w:rFonts w:hint="eastAsia" w:ascii="Times New Roman" w:hAnsi="Times New Roman" w:eastAsia="宋体" w:cs="Times New Roman"/>
          <w:color w:val="auto"/>
          <w:lang w:eastAsia="zh-CN"/>
        </w:rPr>
      </w:pPr>
      <w:r>
        <w:rPr>
          <w:rFonts w:hint="eastAsia" w:cs="Times New Roman"/>
          <w:color w:val="auto"/>
          <w:lang w:eastAsia="zh-CN"/>
        </w:rPr>
        <w:t>（</w:t>
      </w:r>
      <w:r>
        <w:rPr>
          <w:rFonts w:hint="eastAsia" w:cs="Times New Roman"/>
          <w:color w:val="auto"/>
          <w:lang w:val="en-US" w:eastAsia="zh-CN"/>
        </w:rPr>
        <w:t>30</w:t>
      </w:r>
      <w:r>
        <w:rPr>
          <w:rFonts w:hint="eastAsia" w:cs="Times New Roman"/>
          <w:color w:val="auto"/>
          <w:lang w:eastAsia="zh-CN"/>
        </w:rPr>
        <w:t>）</w:t>
      </w:r>
      <w:r>
        <w:rPr>
          <w:rFonts w:hint="eastAsia" w:cs="Times New Roman"/>
          <w:color w:val="auto"/>
          <w:lang w:val="en-US" w:eastAsia="zh-CN"/>
        </w:rPr>
        <w:t>《关于加强饮用水源地保护的决定》（2012年）</w:t>
      </w:r>
      <w:r>
        <w:rPr>
          <w:rFonts w:hint="eastAsia" w:cs="Times New Roman"/>
          <w:color w:val="auto"/>
          <w:lang w:eastAsia="zh-CN"/>
        </w:rPr>
        <w:t>；</w:t>
      </w:r>
    </w:p>
    <w:p>
      <w:pPr>
        <w:pStyle w:val="5"/>
        <w:bidi w:val="0"/>
        <w:jc w:val="both"/>
        <w:rPr>
          <w:rFonts w:hint="default" w:ascii="Times New Roman" w:hAnsi="Times New Roman" w:eastAsia="宋体" w:cs="Times New Roman"/>
          <w:color w:val="auto"/>
        </w:rPr>
      </w:pPr>
      <w:bookmarkStart w:id="71" w:name="_Toc31406"/>
      <w:r>
        <w:rPr>
          <w:rFonts w:hint="default" w:ascii="Times New Roman" w:hAnsi="Times New Roman" w:eastAsia="宋体" w:cs="Times New Roman"/>
          <w:color w:val="auto"/>
        </w:rPr>
        <w:t>2.1.2地方法规与政策</w:t>
      </w:r>
      <w:bookmarkEnd w:id="65"/>
      <w:bookmarkEnd w:id="66"/>
      <w:bookmarkEnd w:id="67"/>
      <w:bookmarkEnd w:id="68"/>
      <w:bookmarkEnd w:id="69"/>
      <w:bookmarkEnd w:id="70"/>
      <w:bookmarkEnd w:id="71"/>
      <w:bookmarkStart w:id="72" w:name="OLE_LINK5"/>
      <w:bookmarkStart w:id="73" w:name="OLE_LINK4"/>
      <w:bookmarkStart w:id="74" w:name="_Toc131351501"/>
      <w:bookmarkStart w:id="75" w:name="_Toc310243967"/>
      <w:bookmarkStart w:id="76" w:name="_Toc312155921"/>
      <w:bookmarkStart w:id="77" w:name="_Toc492644485"/>
      <w:bookmarkStart w:id="78" w:name="_Toc503461504"/>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eastAsia" w:cs="Times New Roman"/>
          <w:color w:val="auto"/>
          <w:lang w:eastAsia="zh-CN"/>
        </w:rPr>
        <w:t>《江苏省湖泊保护条例》（2018年）</w:t>
      </w:r>
      <w:r>
        <w:rPr>
          <w:rFonts w:hint="default" w:ascii="Times New Roman" w:hAnsi="Times New Roman" w:eastAsia="宋体" w:cs="Times New Roman"/>
          <w:color w:val="auto"/>
        </w:rPr>
        <w:t>；</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（2）《江苏省大气污染防治条例》（2015年2月1日通过，2018年3月28日江苏省第十三届人民代表大会常务委员会第二次会议修订）；</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（3）《《江苏省太湖水污染防治条例》（修订）（2018年5月1日起实施）；</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（4）《江苏省环境噪声污染防治条例》（2005年12月1日通过，2018年3月28日江苏省第十三届人民代表大会常务委员会第二次会议第二次修订）；</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）《江苏省固体废物污染环境防治条例》（2009年9月23日通过，2018年3月28日江苏省第十三届人民代表大会常务委员会第二次会议第三次修订）；</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）《江苏省环境空气功能区划分》（江苏省环保局1998.9）</w:t>
      </w:r>
      <w:r>
        <w:rPr>
          <w:rFonts w:hint="default" w:ascii="Times New Roman" w:hAnsi="Times New Roman" w:eastAsia="宋体" w:cs="Times New Roman"/>
          <w:bCs/>
          <w:color w:val="auto"/>
        </w:rPr>
        <w:t>；</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7</w:t>
      </w:r>
      <w:r>
        <w:rPr>
          <w:rFonts w:hint="default" w:ascii="Times New Roman" w:hAnsi="Times New Roman" w:eastAsia="宋体" w:cs="Times New Roman"/>
          <w:color w:val="auto"/>
        </w:rPr>
        <w:t>）《关于江苏省地表水环境功能区划的批复》（苏政复[2003]29号）；</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）《市政府关于印发苏州市市区环境噪声标准适用区域划分规定的通知》，（苏府[2019]19 号）；</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9</w:t>
      </w:r>
      <w:r>
        <w:rPr>
          <w:rFonts w:hint="default" w:ascii="Times New Roman" w:hAnsi="Times New Roman" w:eastAsia="宋体" w:cs="Times New Roman"/>
          <w:color w:val="auto"/>
        </w:rPr>
        <w:t>）《关于印发〈江苏省排污口设置及规范化整治管理办法〉的通知》（苏环控[1997]122号）；</w:t>
      </w:r>
    </w:p>
    <w:p>
      <w:pPr>
        <w:widowControl w:val="0"/>
        <w:spacing w:line="480" w:lineRule="exact"/>
        <w:ind w:firstLine="480" w:firstLineChars="200"/>
        <w:jc w:val="both"/>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（1</w:t>
      </w:r>
      <w:r>
        <w:rPr>
          <w:rFonts w:hint="default" w:ascii="Times New Roman" w:hAnsi="Times New Roman" w:eastAsia="宋体" w:cs="Times New Roman"/>
          <w:color w:val="auto"/>
          <w:lang w:val="en-US" w:eastAsia="zh-CN"/>
        </w:rPr>
        <w:t>0</w:t>
      </w:r>
      <w:r>
        <w:rPr>
          <w:rFonts w:hint="default" w:ascii="Times New Roman" w:hAnsi="Times New Roman" w:eastAsia="宋体" w:cs="Times New Roman"/>
          <w:color w:val="auto"/>
        </w:rPr>
        <w:t>）《关于印发江苏省建设项目主要污染物排放总量区域平衡方案审核管理办法的通知》，苏环办[2011]71号</w:t>
      </w:r>
      <w:r>
        <w:rPr>
          <w:rFonts w:hint="eastAsia" w:cs="Times New Roman"/>
          <w:color w:val="auto"/>
          <w:lang w:eastAsia="zh-CN"/>
        </w:rPr>
        <w:t>；</w:t>
      </w:r>
    </w:p>
    <w:p>
      <w:pPr>
        <w:widowControl w:val="0"/>
        <w:spacing w:line="480" w:lineRule="exact"/>
        <w:ind w:firstLine="480" w:firstLineChars="200"/>
        <w:jc w:val="both"/>
        <w:rPr>
          <w:rFonts w:hint="default" w:ascii="Times New Roman" w:hAnsi="Times New Roman" w:eastAsia="宋体" w:cs="Times New Roman"/>
          <w:bCs/>
          <w:color w:val="auto"/>
        </w:rPr>
      </w:pPr>
      <w:r>
        <w:rPr>
          <w:rFonts w:hint="default" w:ascii="Times New Roman" w:hAnsi="Times New Roman" w:eastAsia="宋体" w:cs="Times New Roman"/>
          <w:color w:val="auto"/>
        </w:rPr>
        <w:t>（1</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）《关于转发环境保护部切实加强风险防范严格环境影响评价管理的通知》（苏环办[2012]302号）；</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eastAsia" w:cs="Times New Roman"/>
          <w:color w:val="auto"/>
          <w:lang w:val="en-US" w:eastAsia="zh-CN"/>
        </w:rPr>
        <w:t>2</w:t>
      </w:r>
      <w:r>
        <w:rPr>
          <w:rFonts w:hint="default" w:ascii="Times New Roman" w:hAnsi="Times New Roman" w:eastAsia="宋体" w:cs="Times New Roman"/>
          <w:color w:val="auto"/>
        </w:rPr>
        <w:t>）《苏州市产业发展导向目录》，苏府〔2007〕129号；</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eastAsia" w:cs="Times New Roman"/>
          <w:color w:val="auto"/>
          <w:lang w:val="en-US" w:eastAsia="zh-CN"/>
        </w:rPr>
        <w:t>3</w:t>
      </w:r>
      <w:r>
        <w:rPr>
          <w:rFonts w:hint="default" w:ascii="Times New Roman" w:hAnsi="Times New Roman" w:eastAsia="宋体" w:cs="Times New Roman"/>
          <w:color w:val="auto"/>
        </w:rPr>
        <w:t>）《省政府办公厅关于印发江苏省</w:t>
      </w:r>
      <w:r>
        <w:rPr>
          <w:rFonts w:hint="eastAsia" w:cs="Times New Roman"/>
          <w:color w:val="auto"/>
          <w:lang w:eastAsia="zh-CN"/>
        </w:rPr>
        <w:t>“</w:t>
      </w:r>
      <w:r>
        <w:rPr>
          <w:rFonts w:hint="default" w:ascii="Times New Roman" w:hAnsi="Times New Roman" w:eastAsia="宋体" w:cs="Times New Roman"/>
          <w:color w:val="auto"/>
        </w:rPr>
        <w:t>十三五</w:t>
      </w:r>
      <w:r>
        <w:rPr>
          <w:rFonts w:hint="eastAsia" w:cs="Times New Roman"/>
          <w:color w:val="auto"/>
          <w:lang w:eastAsia="zh-CN"/>
        </w:rPr>
        <w:t>”</w:t>
      </w:r>
      <w:r>
        <w:rPr>
          <w:rFonts w:hint="default" w:ascii="Times New Roman" w:hAnsi="Times New Roman" w:eastAsia="宋体" w:cs="Times New Roman"/>
          <w:color w:val="auto"/>
        </w:rPr>
        <w:t>太湖流域水环境综合治理行动方案的通知》，苏政办发[2017]11号；</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1</w:t>
      </w:r>
      <w:r>
        <w:rPr>
          <w:rFonts w:hint="eastAsia" w:cs="Times New Roman"/>
          <w:color w:val="auto"/>
          <w:lang w:val="en-US" w:eastAsia="zh-CN"/>
        </w:rPr>
        <w:t>4</w:t>
      </w:r>
      <w:r>
        <w:rPr>
          <w:rFonts w:hint="default" w:ascii="Times New Roman" w:hAnsi="Times New Roman" w:eastAsia="宋体" w:cs="Times New Roman"/>
          <w:color w:val="auto"/>
        </w:rPr>
        <w:t>）《省政府关于全省县级以上集中式饮用水水源地保护区划分方案的批复》（苏政复〔2009〕2 号）；</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1</w:t>
      </w:r>
      <w:r>
        <w:rPr>
          <w:rFonts w:hint="eastAsia" w:cs="Times New Roman"/>
          <w:color w:val="auto"/>
          <w:lang w:val="en-US" w:eastAsia="zh-CN"/>
        </w:rPr>
        <w:t>5</w:t>
      </w:r>
      <w:r>
        <w:rPr>
          <w:rFonts w:hint="default" w:ascii="Times New Roman" w:hAnsi="Times New Roman" w:eastAsia="宋体" w:cs="Times New Roman"/>
          <w:color w:val="auto"/>
        </w:rPr>
        <w:t>）《江苏省城市集中式饮用水水源地保护攻坚战实施方案》(苏政办发[2018]107号)；</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1</w:t>
      </w:r>
      <w:r>
        <w:rPr>
          <w:rFonts w:hint="eastAsia" w:cs="Times New Roman"/>
          <w:color w:val="auto"/>
          <w:lang w:val="en-US" w:eastAsia="zh-CN"/>
        </w:rPr>
        <w:t>6</w:t>
      </w:r>
      <w:r>
        <w:rPr>
          <w:rFonts w:hint="default" w:ascii="Times New Roman" w:hAnsi="Times New Roman" w:eastAsia="宋体" w:cs="Times New Roman"/>
          <w:color w:val="auto"/>
        </w:rPr>
        <w:t>）《省生态环境厅关于进一步做好建设项目环评审批工作的通知》，苏环办[2019]36号文；</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1</w:t>
      </w:r>
      <w:r>
        <w:rPr>
          <w:rFonts w:hint="eastAsia" w:cs="Times New Roman"/>
          <w:color w:val="auto"/>
          <w:lang w:val="en-US" w:eastAsia="zh-CN"/>
        </w:rPr>
        <w:t>7</w:t>
      </w:r>
      <w:r>
        <w:rPr>
          <w:rFonts w:hint="default" w:ascii="Times New Roman" w:hAnsi="Times New Roman" w:eastAsia="宋体" w:cs="Times New Roman"/>
          <w:color w:val="auto"/>
        </w:rPr>
        <w:t>）《江苏省政府关于印发江苏省国家级生态保护红线规划的通知》，（苏政发[2018]74号）；</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1</w:t>
      </w:r>
      <w:r>
        <w:rPr>
          <w:rFonts w:hint="eastAsia" w:cs="Times New Roman"/>
          <w:color w:val="auto"/>
          <w:lang w:val="en-US" w:eastAsia="zh-CN"/>
        </w:rPr>
        <w:t>8</w:t>
      </w:r>
      <w:r>
        <w:rPr>
          <w:rFonts w:hint="default" w:ascii="Times New Roman" w:hAnsi="Times New Roman" w:eastAsia="宋体" w:cs="Times New Roman"/>
          <w:color w:val="auto"/>
        </w:rPr>
        <w:t>）《省政府关于印发江苏省生态空间管控区域规划的通知》，苏政发[2020]1号；</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eastAsia" w:cs="Times New Roman"/>
          <w:color w:val="auto"/>
          <w:lang w:val="en-US" w:eastAsia="zh-CN"/>
        </w:rPr>
        <w:t>19</w:t>
      </w:r>
      <w:r>
        <w:rPr>
          <w:rFonts w:hint="default" w:ascii="Times New Roman" w:hAnsi="Times New Roman" w:eastAsia="宋体" w:cs="Times New Roman"/>
          <w:color w:val="auto"/>
        </w:rPr>
        <w:t>）《省政府办公厅关于印发江苏省生态空间管控区域调整管理办法的通知》（苏政办发[2021]3号）</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2</w:t>
      </w:r>
      <w:r>
        <w:rPr>
          <w:rFonts w:hint="eastAsia" w:cs="Times New Roman"/>
          <w:color w:val="auto"/>
          <w:lang w:val="en-US" w:eastAsia="zh-CN"/>
        </w:rPr>
        <w:t>0</w:t>
      </w:r>
      <w:r>
        <w:rPr>
          <w:rFonts w:hint="default" w:ascii="Times New Roman" w:hAnsi="Times New Roman" w:eastAsia="宋体" w:cs="Times New Roman"/>
          <w:color w:val="auto"/>
        </w:rPr>
        <w:t>）《关于做好生态环境和应急管理部门联动工作的意见》，苏环办[2020]101号；</w:t>
      </w:r>
    </w:p>
    <w:p>
      <w:pPr>
        <w:pStyle w:val="67"/>
        <w:spacing w:line="480" w:lineRule="exact"/>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2</w:t>
      </w:r>
      <w:r>
        <w:rPr>
          <w:rFonts w:hint="eastAsia" w:cs="Times New Roman"/>
          <w:color w:val="auto"/>
          <w:lang w:val="en-US" w:eastAsia="zh-CN"/>
        </w:rPr>
        <w:t>1</w:t>
      </w:r>
      <w:r>
        <w:rPr>
          <w:rFonts w:hint="default" w:ascii="Times New Roman" w:hAnsi="Times New Roman" w:eastAsia="宋体" w:cs="Times New Roman"/>
          <w:color w:val="auto"/>
        </w:rPr>
        <w:t>）《省政府关于印发江苏省</w:t>
      </w:r>
      <w:r>
        <w:rPr>
          <w:rFonts w:hint="eastAsia" w:cs="Times New Roman"/>
          <w:color w:val="auto"/>
          <w:lang w:eastAsia="zh-CN"/>
        </w:rPr>
        <w:t>“</w:t>
      </w:r>
      <w:r>
        <w:rPr>
          <w:rFonts w:hint="default" w:ascii="Times New Roman" w:hAnsi="Times New Roman" w:eastAsia="宋体" w:cs="Times New Roman"/>
          <w:color w:val="auto"/>
        </w:rPr>
        <w:t>三线一单</w:t>
      </w:r>
      <w:r>
        <w:rPr>
          <w:rFonts w:hint="eastAsia" w:cs="Times New Roman"/>
          <w:color w:val="auto"/>
          <w:lang w:eastAsia="zh-CN"/>
        </w:rPr>
        <w:t>”</w:t>
      </w:r>
      <w:r>
        <w:rPr>
          <w:rFonts w:hint="default" w:ascii="Times New Roman" w:hAnsi="Times New Roman" w:eastAsia="宋体" w:cs="Times New Roman"/>
          <w:color w:val="auto"/>
        </w:rPr>
        <w:t>生态环境分区管控方案的通知》（苏政发〔2020〕49号）；</w:t>
      </w:r>
    </w:p>
    <w:p>
      <w:pPr>
        <w:pStyle w:val="67"/>
        <w:spacing w:line="480" w:lineRule="exact"/>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2</w:t>
      </w:r>
      <w:r>
        <w:rPr>
          <w:rFonts w:hint="eastAsia" w:cs="Times New Roman"/>
          <w:color w:val="auto"/>
          <w:lang w:val="en-US" w:eastAsia="zh-CN"/>
        </w:rPr>
        <w:t>2</w:t>
      </w:r>
      <w:r>
        <w:rPr>
          <w:rFonts w:hint="default" w:ascii="Times New Roman" w:hAnsi="Times New Roman" w:eastAsia="宋体" w:cs="Times New Roman"/>
          <w:color w:val="auto"/>
        </w:rPr>
        <w:t>）《省政府办公厅关于印发江苏省生态空间管控区域调整管理办法的通知》（苏政办发〔2021〕3号）。</w:t>
      </w:r>
    </w:p>
    <w:bookmarkEnd w:id="72"/>
    <w:bookmarkEnd w:id="73"/>
    <w:bookmarkEnd w:id="74"/>
    <w:p>
      <w:pPr>
        <w:pStyle w:val="5"/>
        <w:jc w:val="both"/>
        <w:rPr>
          <w:rFonts w:hint="default" w:ascii="Times New Roman" w:hAnsi="Times New Roman" w:eastAsia="宋体" w:cs="Times New Roman"/>
          <w:color w:val="auto"/>
        </w:rPr>
      </w:pPr>
      <w:bookmarkStart w:id="79" w:name="_Toc507334546"/>
      <w:bookmarkStart w:id="80" w:name="_Toc127"/>
      <w:r>
        <w:rPr>
          <w:rFonts w:hint="default" w:ascii="Times New Roman" w:hAnsi="Times New Roman" w:eastAsia="宋体" w:cs="Times New Roman"/>
          <w:color w:val="auto"/>
        </w:rPr>
        <w:t>2.1.3</w:t>
      </w:r>
      <w:bookmarkEnd w:id="75"/>
      <w:bookmarkEnd w:id="76"/>
      <w:r>
        <w:rPr>
          <w:rFonts w:hint="default" w:ascii="Times New Roman" w:hAnsi="Times New Roman" w:eastAsia="宋体" w:cs="Times New Roman"/>
          <w:color w:val="auto"/>
        </w:rPr>
        <w:t>评价技术导则及相关技术规范</w:t>
      </w:r>
      <w:bookmarkEnd w:id="77"/>
      <w:bookmarkEnd w:id="78"/>
      <w:bookmarkEnd w:id="79"/>
      <w:bookmarkEnd w:id="80"/>
    </w:p>
    <w:p>
      <w:pPr>
        <w:spacing w:line="480" w:lineRule="exact"/>
        <w:ind w:firstLine="480" w:firstLineChars="200"/>
        <w:jc w:val="both"/>
        <w:rPr>
          <w:rFonts w:hint="default" w:ascii="Times New Roman" w:hAnsi="Times New Roman" w:eastAsia="宋体" w:cs="Times New Roman"/>
          <w:color w:val="auto"/>
        </w:rPr>
      </w:pPr>
      <w:bookmarkStart w:id="81" w:name="_Toc312155922"/>
      <w:bookmarkStart w:id="82" w:name="_Toc310243968"/>
      <w:r>
        <w:rPr>
          <w:rFonts w:hint="default" w:ascii="Times New Roman" w:hAnsi="Times New Roman" w:eastAsia="宋体" w:cs="Times New Roman"/>
          <w:color w:val="auto"/>
        </w:rPr>
        <w:t>（1）《环境影响评价技术导则总纲》HJ/T2.1-2016；</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（2）《环境影响评价技术导则-大气环境》HJ2.2-2018；</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（3）《环境影响评价技术导则-地表水环境》HJ/T2.3-2018；</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（4）《环境影响评价技术导则-声环境》HJ2.4-2009；</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（5）《环境影响评价技术导则-生态影响》HJ19-2011；</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（6）《环境影响评价技术导则-地下水环境》HJ610-2016；</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（7）《环境影响评价技术导则-土壤环境（试行）》HJ964-2018；</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（8）《环境影响评价技术导则-水利水电工程》HJ/T88-2003；</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（9）《生态环境状况评价技术(试行)》HJ/T192-2006；</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（10）《建设项目风险评价技术导则》HJ/T169-2018；</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（11）《开发建设项目水土保持技术规范》GB50433-2008；；</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（12）《开发建设项目水土保持方案技术规范》SL204-98；</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eastAsia" w:cs="Times New Roman"/>
          <w:color w:val="auto"/>
          <w:lang w:val="en-US" w:eastAsia="zh-CN"/>
        </w:rPr>
        <w:t>3</w:t>
      </w:r>
      <w:r>
        <w:rPr>
          <w:rFonts w:hint="default" w:ascii="Times New Roman" w:hAnsi="Times New Roman" w:eastAsia="宋体" w:cs="Times New Roman"/>
          <w:color w:val="auto"/>
        </w:rPr>
        <w:t>）《环境监测技术规范》国家环保局，2004年；</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eastAsia" w:cs="Times New Roman"/>
          <w:color w:val="auto"/>
          <w:lang w:val="en-US" w:eastAsia="zh-CN"/>
        </w:rPr>
        <w:t>4</w:t>
      </w:r>
      <w:r>
        <w:rPr>
          <w:rFonts w:hint="default" w:ascii="Times New Roman" w:hAnsi="Times New Roman" w:eastAsia="宋体" w:cs="Times New Roman"/>
          <w:color w:val="auto"/>
        </w:rPr>
        <w:t>）《地表水和污水监测技术规范》HJ/T91-2002；</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eastAsia" w:cs="Times New Roman"/>
          <w:color w:val="auto"/>
          <w:lang w:val="en-US" w:eastAsia="zh-CN"/>
        </w:rPr>
        <w:t>5</w:t>
      </w:r>
      <w:r>
        <w:rPr>
          <w:rFonts w:hint="default" w:ascii="Times New Roman" w:hAnsi="Times New Roman" w:eastAsia="宋体" w:cs="Times New Roman"/>
          <w:color w:val="auto"/>
        </w:rPr>
        <w:t>）《饮用水水源保护区划分技术规范》（HJ338-2018）；</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eastAsia" w:cs="Times New Roman"/>
          <w:color w:val="auto"/>
          <w:lang w:val="en-US" w:eastAsia="zh-CN"/>
        </w:rPr>
        <w:t>6</w:t>
      </w:r>
      <w:r>
        <w:rPr>
          <w:rFonts w:hint="default" w:ascii="Times New Roman" w:hAnsi="Times New Roman" w:eastAsia="宋体" w:cs="Times New Roman"/>
          <w:color w:val="auto"/>
        </w:rPr>
        <w:t>）《集中式饮用水水源地规范化建设环境保护技术要求》（HJ773-2015）；</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eastAsia" w:cs="Times New Roman"/>
          <w:color w:val="auto"/>
          <w:lang w:val="en-US" w:eastAsia="zh-CN"/>
        </w:rPr>
        <w:t>18</w:t>
      </w:r>
      <w:r>
        <w:rPr>
          <w:rFonts w:hint="default" w:ascii="Times New Roman" w:hAnsi="Times New Roman" w:eastAsia="宋体" w:cs="Times New Roman"/>
          <w:color w:val="auto"/>
        </w:rPr>
        <w:t>）《集中式饮用水水源地环境保护状况评估技术规范》（HJ774-2015）；</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eastAsia" w:cs="Times New Roman"/>
          <w:color w:val="auto"/>
          <w:lang w:val="en-US" w:eastAsia="zh-CN"/>
        </w:rPr>
        <w:t>17</w:t>
      </w:r>
      <w:r>
        <w:rPr>
          <w:rFonts w:hint="default" w:ascii="Times New Roman" w:hAnsi="Times New Roman" w:eastAsia="宋体" w:cs="Times New Roman"/>
          <w:color w:val="auto"/>
        </w:rPr>
        <w:t>）《水环境检测规范》（SL219-2013）；</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eastAsia" w:cs="Times New Roman"/>
          <w:color w:val="auto"/>
          <w:lang w:val="en-US" w:eastAsia="zh-CN"/>
        </w:rPr>
        <w:t>18</w:t>
      </w:r>
      <w:r>
        <w:rPr>
          <w:rFonts w:hint="default" w:ascii="Times New Roman" w:hAnsi="Times New Roman" w:eastAsia="宋体" w:cs="Times New Roman"/>
          <w:color w:val="auto"/>
        </w:rPr>
        <w:t>）《水功能区划分技术标准》（GB/T50594-2010）；</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eastAsia" w:cs="Times New Roman"/>
          <w:color w:val="auto"/>
          <w:lang w:val="en-US" w:eastAsia="zh-CN"/>
        </w:rPr>
        <w:t>19</w:t>
      </w:r>
      <w:r>
        <w:rPr>
          <w:rFonts w:hint="default" w:ascii="Times New Roman" w:hAnsi="Times New Roman" w:eastAsia="宋体" w:cs="Times New Roman"/>
          <w:color w:val="auto"/>
        </w:rPr>
        <w:t>）《饮用水水源保护区标志技术要求》（HJ/T433-2008）；</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（2</w:t>
      </w:r>
      <w:r>
        <w:rPr>
          <w:rFonts w:hint="eastAsia" w:cs="Times New Roman"/>
          <w:color w:val="auto"/>
          <w:lang w:val="en-US" w:eastAsia="zh-CN"/>
        </w:rPr>
        <w:t>0</w:t>
      </w:r>
      <w:r>
        <w:rPr>
          <w:rFonts w:hint="default" w:ascii="Times New Roman" w:hAnsi="Times New Roman" w:eastAsia="宋体" w:cs="Times New Roman"/>
          <w:color w:val="auto"/>
        </w:rPr>
        <w:t>）《生活饮用水卫生标准》（GB5749-2006）；</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（2</w:t>
      </w:r>
      <w:r>
        <w:rPr>
          <w:rFonts w:hint="eastAsia" w:cs="Times New Roman"/>
          <w:color w:val="auto"/>
          <w:lang w:val="en-US" w:eastAsia="zh-CN"/>
        </w:rPr>
        <w:t>1</w:t>
      </w:r>
      <w:r>
        <w:rPr>
          <w:rFonts w:hint="default" w:ascii="Times New Roman" w:hAnsi="Times New Roman" w:eastAsia="宋体" w:cs="Times New Roman"/>
          <w:color w:val="auto"/>
        </w:rPr>
        <w:t>）《城镇污水处理厂污染物排放标准》（GB18918-2002）；</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（2</w:t>
      </w:r>
      <w:r>
        <w:rPr>
          <w:rFonts w:hint="eastAsia" w:cs="Times New Roman"/>
          <w:color w:val="auto"/>
          <w:lang w:val="en-US" w:eastAsia="zh-CN"/>
        </w:rPr>
        <w:t>2</w:t>
      </w:r>
      <w:r>
        <w:rPr>
          <w:rFonts w:hint="default" w:ascii="Times New Roman" w:hAnsi="Times New Roman" w:eastAsia="宋体" w:cs="Times New Roman"/>
          <w:color w:val="auto"/>
        </w:rPr>
        <w:t>）《地表水环境质量标准》（GB3838-2002）；</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（2</w:t>
      </w:r>
      <w:r>
        <w:rPr>
          <w:rFonts w:hint="eastAsia" w:cs="Times New Roman"/>
          <w:color w:val="auto"/>
          <w:lang w:val="en-US" w:eastAsia="zh-CN"/>
        </w:rPr>
        <w:t>3</w:t>
      </w:r>
      <w:r>
        <w:rPr>
          <w:rFonts w:hint="default" w:ascii="Times New Roman" w:hAnsi="Times New Roman" w:eastAsia="宋体" w:cs="Times New Roman"/>
          <w:color w:val="auto"/>
        </w:rPr>
        <w:t>）《集中式地表饮用水水源地环境应急管理工作指南（试行）》(环办[2011]93号）；</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（2</w:t>
      </w:r>
      <w:r>
        <w:rPr>
          <w:rFonts w:hint="eastAsia" w:cs="Times New Roman"/>
          <w:color w:val="auto"/>
          <w:lang w:val="en-US" w:eastAsia="zh-CN"/>
        </w:rPr>
        <w:t>4</w:t>
      </w:r>
      <w:r>
        <w:rPr>
          <w:rFonts w:hint="default" w:ascii="Times New Roman" w:hAnsi="Times New Roman" w:eastAsia="宋体" w:cs="Times New Roman"/>
          <w:color w:val="auto"/>
        </w:rPr>
        <w:t>）《突发环境事件应急管理办法》（环境保护部令第34号，2015年6月5日起施行）；</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（2</w:t>
      </w:r>
      <w:r>
        <w:rPr>
          <w:rFonts w:hint="eastAsia" w:cs="Times New Roman"/>
          <w:color w:val="auto"/>
          <w:lang w:val="en-US" w:eastAsia="zh-CN"/>
        </w:rPr>
        <w:t>5</w:t>
      </w:r>
      <w:r>
        <w:rPr>
          <w:rFonts w:hint="default" w:ascii="Times New Roman" w:hAnsi="Times New Roman" w:eastAsia="宋体" w:cs="Times New Roman"/>
          <w:color w:val="auto"/>
        </w:rPr>
        <w:t>）《国民经济行业分类》（GB/T4754-2017）；</w:t>
      </w:r>
    </w:p>
    <w:p>
      <w:pPr>
        <w:pStyle w:val="5"/>
        <w:jc w:val="both"/>
        <w:rPr>
          <w:rFonts w:hint="default" w:ascii="Times New Roman" w:hAnsi="Times New Roman" w:eastAsia="宋体" w:cs="Times New Roman"/>
          <w:color w:val="auto"/>
        </w:rPr>
      </w:pPr>
      <w:bookmarkStart w:id="83" w:name="_Toc492644486"/>
      <w:bookmarkStart w:id="84" w:name="_Toc507334547"/>
      <w:bookmarkStart w:id="85" w:name="_Toc503461505"/>
      <w:bookmarkStart w:id="86" w:name="_Toc8175"/>
      <w:r>
        <w:rPr>
          <w:rFonts w:hint="default" w:ascii="Times New Roman" w:hAnsi="Times New Roman" w:eastAsia="宋体" w:cs="Times New Roman"/>
          <w:color w:val="auto"/>
        </w:rPr>
        <w:t>2.1.4</w:t>
      </w:r>
      <w:bookmarkEnd w:id="81"/>
      <w:bookmarkEnd w:id="82"/>
      <w:r>
        <w:rPr>
          <w:rFonts w:hint="default" w:ascii="Times New Roman" w:hAnsi="Times New Roman" w:eastAsia="宋体" w:cs="Times New Roman"/>
          <w:color w:val="auto"/>
        </w:rPr>
        <w:t>其他相关文件及资料</w:t>
      </w:r>
      <w:bookmarkEnd w:id="83"/>
      <w:bookmarkEnd w:id="84"/>
      <w:bookmarkEnd w:id="85"/>
      <w:bookmarkEnd w:id="86"/>
    </w:p>
    <w:p>
      <w:pPr>
        <w:numPr>
          <w:ilvl w:val="0"/>
          <w:numId w:val="9"/>
        </w:numPr>
        <w:spacing w:line="480" w:lineRule="exact"/>
        <w:ind w:firstLine="480" w:firstLineChars="200"/>
        <w:jc w:val="both"/>
        <w:rPr>
          <w:rFonts w:hint="default" w:ascii="Times New Roman" w:hAnsi="Times New Roman" w:eastAsia="宋体" w:cs="Times New Roman"/>
          <w:color w:val="auto"/>
          <w:lang w:val="zh-CN"/>
        </w:rPr>
      </w:pPr>
      <w:bookmarkStart w:id="87" w:name="_Toc88991670"/>
      <w:bookmarkStart w:id="88" w:name="_Toc310243969"/>
      <w:bookmarkStart w:id="89" w:name="_Toc88991361"/>
      <w:bookmarkStart w:id="90" w:name="_Toc312155923"/>
      <w:bookmarkStart w:id="91" w:name="_Toc88992001"/>
      <w:bookmarkStart w:id="92" w:name="_Toc88991162"/>
      <w:bookmarkStart w:id="93" w:name="_Toc88990312"/>
      <w:bookmarkStart w:id="94" w:name="_Toc214355800"/>
      <w:bookmarkStart w:id="95" w:name="_Toc89051759"/>
      <w:bookmarkStart w:id="96" w:name="_Toc97772537"/>
      <w:bookmarkStart w:id="97" w:name="_Toc89051976"/>
      <w:r>
        <w:rPr>
          <w:rFonts w:hint="eastAsia" w:cs="Times New Roman"/>
          <w:color w:val="auto"/>
          <w:lang w:val="en-US" w:eastAsia="zh-CN"/>
        </w:rPr>
        <w:t>苏州太湖国家旅游度假区经济发展局</w:t>
      </w:r>
      <w:r>
        <w:rPr>
          <w:rFonts w:hint="eastAsia" w:ascii="Times New Roman" w:hAnsi="Times New Roman" w:eastAsia="宋体" w:cs="Times New Roman"/>
          <w:color w:val="auto"/>
          <w:lang w:val="zh-CN"/>
        </w:rPr>
        <w:t>《</w:t>
      </w:r>
      <w:r>
        <w:rPr>
          <w:rFonts w:hint="eastAsia" w:ascii="Times New Roman" w:hAnsi="Times New Roman" w:eastAsia="宋体" w:cs="Times New Roman"/>
          <w:color w:val="auto"/>
          <w:lang w:val="en-US" w:eastAsia="zh-CN"/>
        </w:rPr>
        <w:t>关于苏州市太湖渔洋山水源地近岸生态修复工程项目建议书的批复</w:t>
      </w:r>
      <w:r>
        <w:rPr>
          <w:rFonts w:hint="eastAsia" w:ascii="Times New Roman" w:hAnsi="Times New Roman" w:eastAsia="宋体" w:cs="Times New Roman"/>
          <w:color w:val="auto"/>
          <w:lang w:val="zh-CN"/>
        </w:rPr>
        <w:t>》（</w:t>
      </w:r>
      <w:r>
        <w:rPr>
          <w:rFonts w:hint="eastAsia" w:ascii="Times New Roman" w:hAnsi="Times New Roman" w:eastAsia="宋体" w:cs="Times New Roman"/>
          <w:color w:val="auto"/>
          <w:lang w:val="en-US" w:eastAsia="zh-CN"/>
        </w:rPr>
        <w:t>苏太经投[2021]21号</w:t>
      </w:r>
      <w:r>
        <w:rPr>
          <w:rFonts w:hint="eastAsia" w:ascii="Times New Roman" w:hAnsi="Times New Roman" w:eastAsia="宋体" w:cs="Times New Roman"/>
          <w:color w:val="auto"/>
          <w:lang w:val="zh-CN"/>
        </w:rPr>
        <w:t>）</w:t>
      </w:r>
      <w:r>
        <w:rPr>
          <w:rFonts w:hint="default" w:ascii="Times New Roman" w:hAnsi="Times New Roman" w:eastAsia="宋体" w:cs="Times New Roman"/>
          <w:color w:val="auto"/>
          <w:lang w:val="zh-CN"/>
        </w:rPr>
        <w:t>；</w:t>
      </w:r>
    </w:p>
    <w:p>
      <w:pPr>
        <w:spacing w:line="480" w:lineRule="exact"/>
        <w:ind w:firstLine="480" w:firstLineChars="200"/>
        <w:jc w:val="both"/>
        <w:rPr>
          <w:rFonts w:hint="default" w:ascii="Times New Roman" w:hAnsi="Times New Roman" w:eastAsia="宋体" w:cs="Times New Roman"/>
          <w:color w:val="auto"/>
          <w:lang w:val="zh-CN"/>
        </w:rPr>
      </w:pPr>
      <w:r>
        <w:rPr>
          <w:rFonts w:hint="eastAsia" w:cs="Times New Roman"/>
          <w:color w:val="auto"/>
          <w:lang w:val="zh-CN"/>
        </w:rPr>
        <w:t>（</w:t>
      </w:r>
      <w:r>
        <w:rPr>
          <w:rFonts w:hint="eastAsia" w:cs="Times New Roman"/>
          <w:color w:val="auto"/>
          <w:lang w:val="en-US" w:eastAsia="zh-CN"/>
        </w:rPr>
        <w:t>2</w:t>
      </w:r>
      <w:r>
        <w:rPr>
          <w:rFonts w:hint="eastAsia" w:cs="Times New Roman"/>
          <w:color w:val="auto"/>
          <w:lang w:val="zh-CN"/>
        </w:rPr>
        <w:t>）</w:t>
      </w:r>
      <w:r>
        <w:rPr>
          <w:rFonts w:hint="eastAsia" w:cs="Times New Roman"/>
          <w:color w:val="auto"/>
          <w:lang w:val="en-US" w:eastAsia="zh-CN"/>
        </w:rPr>
        <w:t>苏州太湖国家旅游度假区经济发展局</w:t>
      </w:r>
      <w:r>
        <w:rPr>
          <w:rFonts w:hint="eastAsia" w:ascii="Times New Roman" w:hAnsi="Times New Roman" w:eastAsia="宋体" w:cs="Times New Roman"/>
          <w:color w:val="auto"/>
          <w:lang w:val="zh-CN"/>
        </w:rPr>
        <w:t>《</w:t>
      </w:r>
      <w:r>
        <w:rPr>
          <w:rFonts w:hint="eastAsia" w:ascii="Times New Roman" w:hAnsi="Times New Roman" w:eastAsia="宋体" w:cs="Times New Roman"/>
          <w:color w:val="auto"/>
          <w:lang w:val="en-US" w:eastAsia="zh-CN"/>
        </w:rPr>
        <w:t>关于苏州市太湖渔洋山水源地近岸生态修复工程可行性研究报告的批复</w:t>
      </w:r>
      <w:r>
        <w:rPr>
          <w:rFonts w:hint="eastAsia" w:ascii="Times New Roman" w:hAnsi="Times New Roman" w:eastAsia="宋体" w:cs="Times New Roman"/>
          <w:color w:val="auto"/>
          <w:lang w:val="zh-CN"/>
        </w:rPr>
        <w:t>》（</w:t>
      </w:r>
      <w:r>
        <w:rPr>
          <w:rFonts w:hint="eastAsia" w:ascii="Times New Roman" w:hAnsi="Times New Roman" w:eastAsia="宋体" w:cs="Times New Roman"/>
          <w:color w:val="auto"/>
          <w:lang w:val="en-US" w:eastAsia="zh-CN"/>
        </w:rPr>
        <w:t>苏太经投[2021]23号</w:t>
      </w:r>
      <w:r>
        <w:rPr>
          <w:rFonts w:hint="eastAsia" w:ascii="Times New Roman" w:hAnsi="Times New Roman" w:eastAsia="宋体" w:cs="Times New Roman"/>
          <w:color w:val="auto"/>
          <w:lang w:val="zh-CN"/>
        </w:rPr>
        <w:t>）</w:t>
      </w:r>
      <w:r>
        <w:rPr>
          <w:rFonts w:hint="default" w:ascii="Times New Roman" w:hAnsi="Times New Roman" w:eastAsia="宋体" w:cs="Times New Roman"/>
          <w:color w:val="auto"/>
          <w:lang w:val="zh-CN"/>
        </w:rPr>
        <w:t>；</w:t>
      </w:r>
    </w:p>
    <w:p>
      <w:pPr>
        <w:spacing w:line="480" w:lineRule="exact"/>
        <w:ind w:firstLine="480" w:firstLineChars="200"/>
        <w:jc w:val="both"/>
        <w:rPr>
          <w:rFonts w:hint="default" w:ascii="Times New Roman" w:hAnsi="Times New Roman" w:eastAsia="宋体" w:cs="Times New Roman"/>
          <w:color w:val="auto"/>
          <w:lang w:val="zh-CN"/>
        </w:rPr>
      </w:pPr>
      <w:r>
        <w:rPr>
          <w:rFonts w:hint="eastAsia" w:cs="Times New Roman"/>
          <w:color w:val="auto"/>
          <w:lang w:val="zh-CN"/>
        </w:rPr>
        <w:t>（</w:t>
      </w:r>
      <w:r>
        <w:rPr>
          <w:rFonts w:hint="eastAsia" w:cs="Times New Roman"/>
          <w:color w:val="auto"/>
          <w:lang w:val="en-US" w:eastAsia="zh-CN"/>
        </w:rPr>
        <w:t>3</w:t>
      </w:r>
      <w:r>
        <w:rPr>
          <w:rFonts w:hint="eastAsia" w:cs="Times New Roman"/>
          <w:color w:val="auto"/>
          <w:lang w:val="zh-CN"/>
        </w:rPr>
        <w:t>）</w:t>
      </w:r>
      <w:r>
        <w:rPr>
          <w:rFonts w:hint="eastAsia" w:cs="Times New Roman"/>
          <w:color w:val="auto"/>
          <w:lang w:val="en-US" w:eastAsia="zh-CN"/>
        </w:rPr>
        <w:t>苏州市吴中区水务局</w:t>
      </w:r>
      <w:r>
        <w:rPr>
          <w:rFonts w:hint="eastAsia" w:cs="Times New Roman"/>
          <w:color w:val="auto"/>
          <w:lang w:val="zh-CN"/>
        </w:rPr>
        <w:t>《</w:t>
      </w:r>
      <w:r>
        <w:rPr>
          <w:rFonts w:hint="eastAsia" w:cs="Times New Roman"/>
          <w:color w:val="auto"/>
          <w:lang w:val="en-US" w:eastAsia="zh-CN"/>
        </w:rPr>
        <w:t>关于实施苏州市</w:t>
      </w:r>
      <w:r>
        <w:rPr>
          <w:rFonts w:hint="eastAsia" w:ascii="Times New Roman" w:hAnsi="Times New Roman" w:eastAsia="宋体" w:cs="Times New Roman"/>
          <w:color w:val="auto"/>
          <w:lang w:val="en-US" w:eastAsia="zh-CN"/>
        </w:rPr>
        <w:t>太湖渔洋山水源地近岸生态修复工程</w:t>
      </w:r>
      <w:r>
        <w:rPr>
          <w:rFonts w:hint="eastAsia" w:cs="Times New Roman"/>
          <w:color w:val="auto"/>
          <w:lang w:val="en-US" w:eastAsia="zh-CN"/>
        </w:rPr>
        <w:t>的请示</w:t>
      </w:r>
      <w:r>
        <w:rPr>
          <w:rFonts w:hint="eastAsia" w:cs="Times New Roman"/>
          <w:color w:val="auto"/>
          <w:lang w:val="zh-CN"/>
        </w:rPr>
        <w:t>》（</w:t>
      </w:r>
      <w:r>
        <w:rPr>
          <w:rFonts w:hint="eastAsia" w:cs="Times New Roman"/>
          <w:color w:val="auto"/>
          <w:lang w:val="en-US" w:eastAsia="zh-CN"/>
        </w:rPr>
        <w:t>吴水呈[2021]14号</w:t>
      </w:r>
      <w:r>
        <w:rPr>
          <w:rFonts w:hint="eastAsia" w:cs="Times New Roman"/>
          <w:color w:val="auto"/>
          <w:lang w:val="zh-CN"/>
        </w:rPr>
        <w:t>）</w:t>
      </w:r>
      <w:r>
        <w:rPr>
          <w:rFonts w:hint="default" w:ascii="Times New Roman" w:hAnsi="Times New Roman" w:eastAsia="宋体" w:cs="Times New Roman"/>
          <w:color w:val="auto"/>
          <w:lang w:val="zh-CN"/>
        </w:rPr>
        <w:t>；</w:t>
      </w:r>
    </w:p>
    <w:p>
      <w:pPr>
        <w:spacing w:line="480" w:lineRule="exact"/>
        <w:ind w:firstLine="480" w:firstLineChars="200"/>
        <w:jc w:val="both"/>
        <w:rPr>
          <w:rFonts w:hint="default" w:ascii="Times New Roman" w:hAnsi="Times New Roman" w:eastAsia="宋体" w:cs="Times New Roman"/>
          <w:color w:val="auto"/>
          <w:lang w:val="zh-CN"/>
        </w:rPr>
      </w:pPr>
      <w:r>
        <w:rPr>
          <w:rFonts w:hint="eastAsia" w:cs="Times New Roman"/>
          <w:color w:val="auto"/>
          <w:lang w:val="zh-CN"/>
        </w:rPr>
        <w:t>（</w:t>
      </w:r>
      <w:r>
        <w:rPr>
          <w:rFonts w:hint="eastAsia" w:cs="Times New Roman"/>
          <w:color w:val="auto"/>
          <w:lang w:val="en-US" w:eastAsia="zh-CN"/>
        </w:rPr>
        <w:t>4</w:t>
      </w:r>
      <w:r>
        <w:rPr>
          <w:rFonts w:hint="eastAsia" w:cs="Times New Roman"/>
          <w:color w:val="auto"/>
          <w:lang w:val="zh-CN"/>
        </w:rPr>
        <w:t>）</w:t>
      </w:r>
      <w:r>
        <w:rPr>
          <w:rFonts w:hint="eastAsia" w:cs="Times New Roman"/>
          <w:color w:val="auto"/>
          <w:lang w:val="en-US" w:eastAsia="zh-CN"/>
        </w:rPr>
        <w:t>苏州市吴中区水务局《关于对&lt;</w:t>
      </w:r>
      <w:r>
        <w:rPr>
          <w:rFonts w:hint="eastAsia" w:ascii="Times New Roman" w:hAnsi="Times New Roman" w:eastAsia="宋体" w:cs="Times New Roman"/>
          <w:color w:val="auto"/>
          <w:lang w:val="en-US" w:eastAsia="zh-CN"/>
        </w:rPr>
        <w:t>苏州市太湖渔洋山水源地近岸生态修复工程可行性研究报告</w:t>
      </w:r>
      <w:r>
        <w:rPr>
          <w:rFonts w:hint="eastAsia" w:cs="Times New Roman"/>
          <w:color w:val="auto"/>
          <w:lang w:val="en-US" w:eastAsia="zh-CN"/>
        </w:rPr>
        <w:t>&gt;进行批复的函》（吴水函[2021]22号）</w:t>
      </w:r>
      <w:r>
        <w:rPr>
          <w:rFonts w:hint="default" w:ascii="Times New Roman" w:hAnsi="Times New Roman" w:eastAsia="宋体" w:cs="Times New Roman"/>
          <w:color w:val="auto"/>
          <w:lang w:val="zh-CN"/>
        </w:rPr>
        <w:t>；</w:t>
      </w:r>
    </w:p>
    <w:p>
      <w:pPr>
        <w:numPr>
          <w:ilvl w:val="0"/>
          <w:numId w:val="0"/>
        </w:numPr>
        <w:spacing w:line="480" w:lineRule="exact"/>
        <w:ind w:firstLine="480" w:firstLineChars="200"/>
        <w:jc w:val="both"/>
        <w:rPr>
          <w:rFonts w:hint="eastAsia" w:cs="Times New Roman"/>
          <w:color w:val="auto"/>
          <w:lang w:eastAsia="zh-CN"/>
        </w:rPr>
      </w:pPr>
      <w:r>
        <w:rPr>
          <w:rFonts w:hint="eastAsia" w:cs="Times New Roman"/>
          <w:color w:val="auto"/>
          <w:lang w:eastAsia="zh-CN"/>
        </w:rPr>
        <w:t>（</w:t>
      </w:r>
      <w:r>
        <w:rPr>
          <w:rFonts w:hint="eastAsia" w:cs="Times New Roman"/>
          <w:color w:val="auto"/>
          <w:lang w:val="en-US" w:eastAsia="zh-CN"/>
        </w:rPr>
        <w:t>5</w:t>
      </w:r>
      <w:r>
        <w:rPr>
          <w:rFonts w:hint="eastAsia" w:cs="Times New Roman"/>
          <w:color w:val="auto"/>
          <w:lang w:eastAsia="zh-CN"/>
        </w:rPr>
        <w:t>）《苏州市太湖渔洋山水源地近岸生态修复工程</w:t>
      </w:r>
      <w:r>
        <w:rPr>
          <w:rFonts w:hint="eastAsia" w:cs="Times New Roman"/>
          <w:color w:val="auto"/>
          <w:lang w:val="en-US" w:eastAsia="zh-CN"/>
        </w:rPr>
        <w:t>初步设计（报批稿）</w:t>
      </w:r>
      <w:r>
        <w:rPr>
          <w:rFonts w:hint="eastAsia" w:cs="Times New Roman"/>
          <w:color w:val="auto"/>
          <w:lang w:eastAsia="zh-CN"/>
        </w:rPr>
        <w:t>》</w:t>
      </w:r>
    </w:p>
    <w:p>
      <w:pPr>
        <w:numPr>
          <w:ilvl w:val="0"/>
          <w:numId w:val="0"/>
        </w:numPr>
        <w:spacing w:line="480" w:lineRule="exact"/>
        <w:ind w:firstLine="480" w:firstLineChars="200"/>
        <w:jc w:val="both"/>
        <w:rPr>
          <w:rFonts w:hint="default" w:cs="Times New Roman"/>
          <w:color w:val="auto"/>
          <w:lang w:eastAsia="zh-CN"/>
        </w:rPr>
      </w:pPr>
      <w:r>
        <w:rPr>
          <w:rFonts w:hint="eastAsia" w:cs="Times New Roman"/>
          <w:color w:val="auto"/>
          <w:lang w:eastAsia="zh-CN"/>
        </w:rPr>
        <w:t>（</w:t>
      </w:r>
      <w:r>
        <w:rPr>
          <w:rFonts w:hint="eastAsia" w:cs="Times New Roman"/>
          <w:color w:val="auto"/>
          <w:lang w:val="en-US" w:eastAsia="zh-CN"/>
        </w:rPr>
        <w:t>6</w:t>
      </w:r>
      <w:r>
        <w:rPr>
          <w:rFonts w:hint="eastAsia" w:cs="Times New Roman"/>
          <w:color w:val="auto"/>
          <w:lang w:eastAsia="zh-CN"/>
        </w:rPr>
        <w:t>）《苏州市太湖渔洋山水源地近岸生态修复工程(EPC)施工组织设计》</w:t>
      </w:r>
    </w:p>
    <w:p>
      <w:pPr>
        <w:numPr>
          <w:ilvl w:val="0"/>
          <w:numId w:val="0"/>
        </w:num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eastAsia" w:cs="Times New Roman"/>
          <w:color w:val="auto"/>
          <w:lang w:val="en-US" w:eastAsia="zh-CN"/>
        </w:rPr>
        <w:t>7</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建设单位环评委托书、相关合同及提供的其它图纸、资料；</w:t>
      </w:r>
      <w:r>
        <w:rPr>
          <w:rFonts w:hint="default" w:ascii="Times New Roman" w:hAnsi="Times New Roman" w:eastAsia="宋体" w:cs="Times New Roman"/>
          <w:color w:val="auto"/>
        </w:rPr>
        <w:br w:type="page"/>
      </w:r>
    </w:p>
    <w:bookmarkEnd w:id="87"/>
    <w:bookmarkEnd w:id="88"/>
    <w:bookmarkEnd w:id="89"/>
    <w:bookmarkEnd w:id="90"/>
    <w:bookmarkEnd w:id="91"/>
    <w:bookmarkEnd w:id="92"/>
    <w:bookmarkEnd w:id="93"/>
    <w:bookmarkEnd w:id="94"/>
    <w:bookmarkEnd w:id="95"/>
    <w:bookmarkEnd w:id="96"/>
    <w:bookmarkEnd w:id="97"/>
    <w:p>
      <w:pPr>
        <w:pStyle w:val="4"/>
        <w:spacing w:before="117" w:after="117"/>
        <w:jc w:val="both"/>
        <w:rPr>
          <w:rFonts w:hint="default" w:ascii="Times New Roman" w:hAnsi="Times New Roman" w:eastAsia="宋体" w:cs="Times New Roman"/>
          <w:color w:val="auto"/>
        </w:rPr>
      </w:pPr>
      <w:bookmarkStart w:id="98" w:name="_Toc472524376"/>
      <w:bookmarkStart w:id="99" w:name="_Toc492644421"/>
      <w:bookmarkStart w:id="100" w:name="_Toc18732"/>
      <w:bookmarkStart w:id="101" w:name="_Toc424517473"/>
      <w:bookmarkStart w:id="102" w:name="_Toc425238764"/>
      <w:bookmarkStart w:id="103" w:name="_Toc343432417"/>
      <w:r>
        <w:rPr>
          <w:rFonts w:hint="default" w:ascii="Times New Roman" w:hAnsi="Times New Roman" w:eastAsia="宋体" w:cs="Times New Roman"/>
          <w:color w:val="auto"/>
        </w:rPr>
        <w:t>2.2环境影响因素识别、评价因子</w:t>
      </w:r>
      <w:bookmarkEnd w:id="98"/>
      <w:r>
        <w:rPr>
          <w:rFonts w:hint="default" w:ascii="Times New Roman" w:hAnsi="Times New Roman" w:eastAsia="宋体" w:cs="Times New Roman"/>
          <w:color w:val="auto"/>
        </w:rPr>
        <w:t>确定和评价标准</w:t>
      </w:r>
      <w:bookmarkEnd w:id="99"/>
      <w:bookmarkEnd w:id="100"/>
      <w:bookmarkStart w:id="104" w:name="_Toc503461508"/>
      <w:bookmarkStart w:id="105" w:name="_Toc492644489"/>
      <w:bookmarkStart w:id="106" w:name="_Toc472524378"/>
      <w:bookmarkStart w:id="107" w:name="_Toc507334550"/>
    </w:p>
    <w:p>
      <w:pPr>
        <w:pStyle w:val="5"/>
        <w:spacing w:before="72" w:after="192"/>
        <w:jc w:val="both"/>
        <w:rPr>
          <w:rFonts w:hint="default" w:ascii="Times New Roman" w:hAnsi="Times New Roman" w:eastAsia="宋体" w:cs="Times New Roman"/>
          <w:color w:val="auto"/>
        </w:rPr>
      </w:pPr>
      <w:bookmarkStart w:id="108" w:name="_Toc457044931"/>
      <w:bookmarkStart w:id="109" w:name="_Toc10298"/>
      <w:r>
        <w:rPr>
          <w:rFonts w:hint="default" w:ascii="Times New Roman" w:hAnsi="Times New Roman" w:eastAsia="宋体" w:cs="Times New Roman"/>
          <w:color w:val="auto"/>
        </w:rPr>
        <w:t>2.2.1环境影响因素识别</w:t>
      </w:r>
      <w:bookmarkEnd w:id="108"/>
      <w:bookmarkEnd w:id="109"/>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在全面、深入开展太湖环境现状调查、发展规划资料搜集、公众参与调查等工作基础上，根据太湖环境保护要求和保护目标特点，结合本次工程任务、影响范围等基本情况，并参考国内外同类项目环境影响及环境保护的实践经验，采用矩阵法对工程各环境因素可能产生的影响进行初步识别分析，结果见表2.2-1。</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由表2.2</w:t>
      </w:r>
      <w:r>
        <w:rPr>
          <w:rFonts w:hint="eastAsia" w:cs="Times New Roman"/>
          <w:color w:val="auto"/>
          <w:lang w:val="en-US" w:eastAsia="zh-CN"/>
        </w:rPr>
        <w:t>.1</w:t>
      </w:r>
      <w:r>
        <w:rPr>
          <w:rFonts w:hint="default" w:ascii="Times New Roman" w:hAnsi="Times New Roman" w:eastAsia="宋体" w:cs="Times New Roman"/>
          <w:color w:val="auto"/>
        </w:rPr>
        <w:t xml:space="preserve">-1可见，经筛选、识别确定本项目的主要环境要素是水环境、生态环境。其中主要环境影响因子是水文情势（地表水）、水生生态环境、陆生生态环境；影响较小的环境因子主要是文物古迹、矿产资源和人群健康等；工程建设有利于社会经济、水资源利用等。  </w:t>
      </w:r>
      <w:bookmarkStart w:id="110" w:name="_Ref488687628"/>
    </w:p>
    <w:bookmarkEnd w:id="110"/>
    <w:p>
      <w:pPr>
        <w:spacing w:line="480" w:lineRule="exact"/>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表2.2-1  环境影响因素识别与筛选结果</w:t>
      </w:r>
    </w:p>
    <w:tbl>
      <w:tblPr>
        <w:tblStyle w:val="5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1087"/>
        <w:gridCol w:w="650"/>
        <w:gridCol w:w="850"/>
        <w:gridCol w:w="1100"/>
        <w:gridCol w:w="1100"/>
        <w:gridCol w:w="1100"/>
        <w:gridCol w:w="888"/>
        <w:gridCol w:w="9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150" w:type="dxa"/>
            <w:vMerge w:val="restart"/>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环境类别</w:t>
            </w:r>
          </w:p>
        </w:tc>
        <w:tc>
          <w:tcPr>
            <w:tcW w:w="1087" w:type="dxa"/>
            <w:vMerge w:val="restart"/>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环境影响</w:t>
            </w:r>
          </w:p>
        </w:tc>
        <w:tc>
          <w:tcPr>
            <w:tcW w:w="4800" w:type="dxa"/>
            <w:gridSpan w:val="5"/>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施工期</w:t>
            </w:r>
          </w:p>
        </w:tc>
        <w:tc>
          <w:tcPr>
            <w:tcW w:w="888" w:type="dxa"/>
            <w:vMerge w:val="restart"/>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运营期</w:t>
            </w:r>
          </w:p>
        </w:tc>
        <w:tc>
          <w:tcPr>
            <w:tcW w:w="931" w:type="dxa"/>
            <w:vMerge w:val="restart"/>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识别</w:t>
            </w:r>
          </w:p>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150" w:type="dxa"/>
            <w:vMerge w:val="continue"/>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rPr>
            </w:pPr>
          </w:p>
        </w:tc>
        <w:tc>
          <w:tcPr>
            <w:tcW w:w="1087" w:type="dxa"/>
            <w:vMerge w:val="continue"/>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rPr>
            </w:pPr>
          </w:p>
        </w:tc>
        <w:tc>
          <w:tcPr>
            <w:tcW w:w="650" w:type="dxa"/>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占地</w:t>
            </w:r>
          </w:p>
        </w:tc>
        <w:tc>
          <w:tcPr>
            <w:tcW w:w="850" w:type="dxa"/>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取弃土</w:t>
            </w:r>
          </w:p>
        </w:tc>
        <w:tc>
          <w:tcPr>
            <w:tcW w:w="1100" w:type="dxa"/>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材料运输</w:t>
            </w:r>
          </w:p>
        </w:tc>
        <w:tc>
          <w:tcPr>
            <w:tcW w:w="1100" w:type="dxa"/>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机械作业</w:t>
            </w:r>
          </w:p>
        </w:tc>
        <w:tc>
          <w:tcPr>
            <w:tcW w:w="1100" w:type="dxa"/>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水下作业</w:t>
            </w:r>
          </w:p>
        </w:tc>
        <w:tc>
          <w:tcPr>
            <w:tcW w:w="888" w:type="dxa"/>
            <w:vMerge w:val="continue"/>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rPr>
            </w:pPr>
          </w:p>
        </w:tc>
        <w:tc>
          <w:tcPr>
            <w:tcW w:w="931" w:type="dxa"/>
            <w:vMerge w:val="continue"/>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0" w:type="dxa"/>
            <w:vMerge w:val="restart"/>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水环境</w:t>
            </w:r>
          </w:p>
        </w:tc>
        <w:tc>
          <w:tcPr>
            <w:tcW w:w="1087"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地表水文</w:t>
            </w:r>
          </w:p>
        </w:tc>
        <w:tc>
          <w:tcPr>
            <w:tcW w:w="65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85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10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10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10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-1R</w:t>
            </w:r>
          </w:p>
        </w:tc>
        <w:tc>
          <w:tcPr>
            <w:tcW w:w="888"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+1R</w:t>
            </w:r>
          </w:p>
        </w:tc>
        <w:tc>
          <w:tcPr>
            <w:tcW w:w="931"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±1R</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0" w:type="dxa"/>
            <w:vMerge w:val="continue"/>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p>
        </w:tc>
        <w:tc>
          <w:tcPr>
            <w:tcW w:w="1087"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地表水质</w:t>
            </w:r>
          </w:p>
        </w:tc>
        <w:tc>
          <w:tcPr>
            <w:tcW w:w="65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85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10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10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10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-2R</w:t>
            </w:r>
          </w:p>
        </w:tc>
        <w:tc>
          <w:tcPr>
            <w:tcW w:w="888"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+2R</w:t>
            </w:r>
          </w:p>
        </w:tc>
        <w:tc>
          <w:tcPr>
            <w:tcW w:w="931"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±2R</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大气环境</w:t>
            </w:r>
          </w:p>
        </w:tc>
        <w:tc>
          <w:tcPr>
            <w:tcW w:w="1087"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扬尘</w:t>
            </w:r>
          </w:p>
        </w:tc>
        <w:tc>
          <w:tcPr>
            <w:tcW w:w="65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85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10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-1R</w:t>
            </w:r>
          </w:p>
        </w:tc>
        <w:tc>
          <w:tcPr>
            <w:tcW w:w="110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-1R</w:t>
            </w:r>
          </w:p>
        </w:tc>
        <w:tc>
          <w:tcPr>
            <w:tcW w:w="110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-1R</w:t>
            </w:r>
          </w:p>
        </w:tc>
        <w:tc>
          <w:tcPr>
            <w:tcW w:w="888"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931"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-1R</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声环境</w:t>
            </w:r>
          </w:p>
        </w:tc>
        <w:tc>
          <w:tcPr>
            <w:tcW w:w="1087"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w:t>
            </w:r>
          </w:p>
        </w:tc>
        <w:tc>
          <w:tcPr>
            <w:tcW w:w="65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85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10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-1R</w:t>
            </w:r>
          </w:p>
        </w:tc>
        <w:tc>
          <w:tcPr>
            <w:tcW w:w="110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-1R</w:t>
            </w:r>
          </w:p>
        </w:tc>
        <w:tc>
          <w:tcPr>
            <w:tcW w:w="110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-1R</w:t>
            </w:r>
          </w:p>
        </w:tc>
        <w:tc>
          <w:tcPr>
            <w:tcW w:w="888"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w:t>
            </w:r>
          </w:p>
        </w:tc>
        <w:tc>
          <w:tcPr>
            <w:tcW w:w="931"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-1R</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0" w:type="dxa"/>
            <w:vMerge w:val="restart"/>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生态环境</w:t>
            </w:r>
          </w:p>
        </w:tc>
        <w:tc>
          <w:tcPr>
            <w:tcW w:w="1087"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陆域生态</w:t>
            </w:r>
          </w:p>
        </w:tc>
        <w:tc>
          <w:tcPr>
            <w:tcW w:w="65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85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10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10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-1L</w:t>
            </w:r>
          </w:p>
        </w:tc>
        <w:tc>
          <w:tcPr>
            <w:tcW w:w="110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888"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931"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0" w:type="dxa"/>
            <w:vMerge w:val="continue"/>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p>
        </w:tc>
        <w:tc>
          <w:tcPr>
            <w:tcW w:w="1087"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水生生态</w:t>
            </w:r>
          </w:p>
        </w:tc>
        <w:tc>
          <w:tcPr>
            <w:tcW w:w="65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85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10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10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10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R</w:t>
            </w:r>
          </w:p>
        </w:tc>
        <w:tc>
          <w:tcPr>
            <w:tcW w:w="888"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R</w:t>
            </w:r>
          </w:p>
        </w:tc>
        <w:tc>
          <w:tcPr>
            <w:tcW w:w="931"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R</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0" w:type="dxa"/>
            <w:vMerge w:val="continue"/>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p>
        </w:tc>
        <w:tc>
          <w:tcPr>
            <w:tcW w:w="1087"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水土流失</w:t>
            </w:r>
          </w:p>
        </w:tc>
        <w:tc>
          <w:tcPr>
            <w:tcW w:w="65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85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10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10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-1L</w:t>
            </w:r>
          </w:p>
        </w:tc>
        <w:tc>
          <w:tcPr>
            <w:tcW w:w="110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888"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931"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0" w:type="dxa"/>
            <w:vMerge w:val="restart"/>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社会环境</w:t>
            </w:r>
          </w:p>
        </w:tc>
        <w:tc>
          <w:tcPr>
            <w:tcW w:w="1087"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社会经济</w:t>
            </w:r>
          </w:p>
        </w:tc>
        <w:tc>
          <w:tcPr>
            <w:tcW w:w="65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85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10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10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-1R</w:t>
            </w:r>
          </w:p>
        </w:tc>
        <w:tc>
          <w:tcPr>
            <w:tcW w:w="110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888"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+1R</w:t>
            </w:r>
          </w:p>
        </w:tc>
        <w:tc>
          <w:tcPr>
            <w:tcW w:w="931"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±1R</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0" w:type="dxa"/>
            <w:vMerge w:val="continue"/>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p>
        </w:tc>
        <w:tc>
          <w:tcPr>
            <w:tcW w:w="1087"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水利农业</w:t>
            </w:r>
          </w:p>
        </w:tc>
        <w:tc>
          <w:tcPr>
            <w:tcW w:w="65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85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10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10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-1R</w:t>
            </w:r>
          </w:p>
        </w:tc>
        <w:tc>
          <w:tcPr>
            <w:tcW w:w="110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-1L</w:t>
            </w:r>
          </w:p>
        </w:tc>
        <w:tc>
          <w:tcPr>
            <w:tcW w:w="888"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+1R</w:t>
            </w:r>
          </w:p>
        </w:tc>
        <w:tc>
          <w:tcPr>
            <w:tcW w:w="931"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±1R</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0" w:type="dxa"/>
            <w:vMerge w:val="continue"/>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p>
        </w:tc>
        <w:tc>
          <w:tcPr>
            <w:tcW w:w="1087"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生活质量</w:t>
            </w:r>
          </w:p>
        </w:tc>
        <w:tc>
          <w:tcPr>
            <w:tcW w:w="65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85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10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-1L</w:t>
            </w:r>
          </w:p>
        </w:tc>
        <w:tc>
          <w:tcPr>
            <w:tcW w:w="110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-1R</w:t>
            </w:r>
          </w:p>
        </w:tc>
        <w:tc>
          <w:tcPr>
            <w:tcW w:w="110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-1L</w:t>
            </w:r>
          </w:p>
        </w:tc>
        <w:tc>
          <w:tcPr>
            <w:tcW w:w="888"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+1R</w:t>
            </w:r>
          </w:p>
        </w:tc>
        <w:tc>
          <w:tcPr>
            <w:tcW w:w="931"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±1R</w:t>
            </w:r>
          </w:p>
        </w:tc>
      </w:tr>
    </w:tbl>
    <w:p>
      <w:pPr>
        <w:spacing w:line="4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1"/>
          <w:szCs w:val="21"/>
          <w:lang w:val="en-US" w:eastAsia="zh-CN"/>
        </w:rPr>
        <w:t>注</w:t>
      </w:r>
      <w:r>
        <w:rPr>
          <w:rFonts w:hint="default" w:ascii="Times New Roman" w:hAnsi="Times New Roman" w:eastAsia="宋体" w:cs="Times New Roman"/>
          <w:color w:val="auto"/>
          <w:sz w:val="21"/>
          <w:szCs w:val="21"/>
        </w:rPr>
        <w:t>：</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分别表示有利、不利影响；</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val="en-US" w:eastAsia="zh-CN"/>
        </w:rPr>
        <w:t>R</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val="en-US" w:eastAsia="zh-CN"/>
        </w:rPr>
        <w:t>L</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分别表示表示可逆、不可逆影响；</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0</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1</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2</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3</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数值分别表示影响的程度忽略不计、小、中、大</w:t>
      </w:r>
      <w:r>
        <w:rPr>
          <w:rFonts w:hint="default" w:ascii="Times New Roman" w:hAnsi="Times New Roman" w:eastAsia="宋体" w:cs="Times New Roman"/>
          <w:color w:val="auto"/>
          <w:sz w:val="21"/>
          <w:szCs w:val="21"/>
          <w:lang w:eastAsia="zh-CN"/>
        </w:rPr>
        <w:t>。</w:t>
      </w:r>
    </w:p>
    <w:p>
      <w:pPr>
        <w:pStyle w:val="5"/>
        <w:jc w:val="both"/>
        <w:rPr>
          <w:rFonts w:hint="default" w:ascii="Times New Roman" w:hAnsi="Times New Roman" w:eastAsia="宋体" w:cs="Times New Roman"/>
          <w:color w:val="auto"/>
        </w:rPr>
      </w:pPr>
      <w:bookmarkStart w:id="111" w:name="_Toc26219"/>
      <w:r>
        <w:rPr>
          <w:rFonts w:hint="default" w:ascii="Times New Roman" w:hAnsi="Times New Roman" w:eastAsia="宋体" w:cs="Times New Roman"/>
          <w:color w:val="auto"/>
        </w:rPr>
        <w:t>2.2.2环境影响评价因子</w:t>
      </w:r>
      <w:bookmarkEnd w:id="104"/>
      <w:bookmarkEnd w:id="105"/>
      <w:bookmarkEnd w:id="106"/>
      <w:bookmarkEnd w:id="107"/>
      <w:bookmarkEnd w:id="111"/>
    </w:p>
    <w:p>
      <w:pPr>
        <w:spacing w:line="480" w:lineRule="exact"/>
        <w:ind w:firstLine="480" w:firstLineChars="200"/>
        <w:jc w:val="both"/>
        <w:rPr>
          <w:rFonts w:hint="default" w:ascii="Times New Roman" w:hAnsi="Times New Roman" w:eastAsia="宋体" w:cs="Times New Roman"/>
          <w:color w:val="auto"/>
        </w:rPr>
      </w:pPr>
      <w:bookmarkStart w:id="112" w:name="_Toc492644490"/>
      <w:bookmarkStart w:id="113" w:name="_Toc503461509"/>
      <w:bookmarkStart w:id="114" w:name="_Toc472524381"/>
      <w:r>
        <w:rPr>
          <w:rFonts w:hint="default" w:ascii="Times New Roman" w:hAnsi="Times New Roman" w:eastAsia="宋体" w:cs="Times New Roman"/>
          <w:color w:val="auto"/>
        </w:rPr>
        <w:t>根据环境影响行为识别及地表水、环境空气、声环境现状调查和工程分析，确定具体的指标选择见表2.2-</w:t>
      </w:r>
      <w:r>
        <w:rPr>
          <w:rFonts w:hint="eastAsia" w:cs="Times New Roman"/>
          <w:color w:val="auto"/>
          <w:lang w:val="en-US" w:eastAsia="zh-CN"/>
        </w:rPr>
        <w:t>2</w:t>
      </w:r>
      <w:r>
        <w:rPr>
          <w:rFonts w:hint="default" w:ascii="Times New Roman" w:hAnsi="Times New Roman" w:eastAsia="宋体" w:cs="Times New Roman"/>
          <w:color w:val="auto"/>
        </w:rPr>
        <w:t>。</w:t>
      </w:r>
    </w:p>
    <w:p>
      <w:pPr>
        <w:spacing w:line="400" w:lineRule="exact"/>
        <w:jc w:val="center"/>
        <w:rPr>
          <w:rFonts w:hint="default" w:ascii="Times New Roman" w:hAnsi="Times New Roman" w:eastAsia="宋体" w:cs="Times New Roman"/>
          <w:b/>
          <w:color w:val="auto"/>
          <w:sz w:val="21"/>
          <w:szCs w:val="21"/>
        </w:rPr>
      </w:pPr>
    </w:p>
    <w:p>
      <w:pPr>
        <w:spacing w:line="400" w:lineRule="exact"/>
        <w:jc w:val="center"/>
        <w:rPr>
          <w:rFonts w:hint="default" w:ascii="Times New Roman" w:hAnsi="Times New Roman" w:eastAsia="宋体" w:cs="Times New Roman"/>
          <w:b/>
          <w:color w:val="auto"/>
          <w:sz w:val="21"/>
          <w:szCs w:val="21"/>
        </w:rPr>
      </w:pPr>
    </w:p>
    <w:p>
      <w:pPr>
        <w:spacing w:line="480" w:lineRule="exact"/>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表2.2-</w:t>
      </w:r>
      <w:r>
        <w:rPr>
          <w:rFonts w:hint="eastAsia" w:cs="Times New Roman"/>
          <w:b/>
          <w:color w:val="auto"/>
          <w:lang w:val="en-US" w:eastAsia="zh-CN"/>
        </w:rPr>
        <w:t>2</w:t>
      </w:r>
      <w:r>
        <w:rPr>
          <w:rFonts w:hint="default" w:ascii="Times New Roman" w:hAnsi="Times New Roman" w:eastAsia="宋体" w:cs="Times New Roman"/>
          <w:b/>
          <w:color w:val="auto"/>
        </w:rPr>
        <w:t xml:space="preserve">    评价因子一览表</w:t>
      </w:r>
    </w:p>
    <w:tbl>
      <w:tblPr>
        <w:tblStyle w:val="5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90"/>
        <w:gridCol w:w="2734"/>
        <w:gridCol w:w="2217"/>
        <w:gridCol w:w="22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4" w:type="pct"/>
            <w:tcBorders>
              <w:tl2br w:val="nil"/>
              <w:tr2bl w:val="nil"/>
            </w:tcBorders>
            <w:vAlign w:val="center"/>
          </w:tcPr>
          <w:p>
            <w:pPr>
              <w:pStyle w:val="196"/>
              <w:spacing w:before="12"/>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评价内容</w:t>
            </w:r>
          </w:p>
        </w:tc>
        <w:tc>
          <w:tcPr>
            <w:tcW w:w="1543" w:type="pct"/>
            <w:tcBorders>
              <w:tl2br w:val="nil"/>
              <w:tr2bl w:val="nil"/>
            </w:tcBorders>
            <w:vAlign w:val="center"/>
          </w:tcPr>
          <w:p>
            <w:pPr>
              <w:pStyle w:val="196"/>
              <w:spacing w:before="12"/>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现状评价因子</w:t>
            </w:r>
          </w:p>
        </w:tc>
        <w:tc>
          <w:tcPr>
            <w:tcW w:w="1251" w:type="pct"/>
            <w:tcBorders>
              <w:tl2br w:val="nil"/>
              <w:tr2bl w:val="nil"/>
            </w:tcBorders>
            <w:vAlign w:val="center"/>
          </w:tcPr>
          <w:p>
            <w:pPr>
              <w:pStyle w:val="196"/>
              <w:spacing w:before="12"/>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影响评价因子</w:t>
            </w:r>
          </w:p>
        </w:tc>
        <w:tc>
          <w:tcPr>
            <w:tcW w:w="1250" w:type="pct"/>
            <w:tcBorders>
              <w:tl2br w:val="nil"/>
              <w:tr2bl w:val="nil"/>
            </w:tcBorders>
            <w:vAlign w:val="center"/>
          </w:tcPr>
          <w:p>
            <w:pPr>
              <w:pStyle w:val="196"/>
              <w:spacing w:before="12"/>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总量控制因子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4" w:type="pct"/>
            <w:tcBorders>
              <w:tl2br w:val="nil"/>
              <w:tr2bl w:val="nil"/>
            </w:tcBorders>
            <w:vAlign w:val="center"/>
          </w:tcPr>
          <w:p>
            <w:pPr>
              <w:pStyle w:val="196"/>
              <w:spacing w:before="12"/>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环境空气</w:t>
            </w:r>
          </w:p>
        </w:tc>
        <w:tc>
          <w:tcPr>
            <w:tcW w:w="1543" w:type="pct"/>
            <w:tcBorders>
              <w:tl2br w:val="nil"/>
              <w:tr2bl w:val="nil"/>
            </w:tcBorders>
            <w:vAlign w:val="center"/>
          </w:tcPr>
          <w:p>
            <w:pPr>
              <w:pStyle w:val="196"/>
              <w:spacing w:before="12"/>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SO</w:t>
            </w:r>
            <w:r>
              <w:rPr>
                <w:rFonts w:hint="default" w:ascii="Times New Roman" w:hAnsi="Times New Roman" w:eastAsia="宋体" w:cs="Times New Roman"/>
                <w:b w:val="0"/>
                <w:bCs/>
                <w:sz w:val="21"/>
                <w:szCs w:val="21"/>
                <w:vertAlign w:val="subscript"/>
              </w:rPr>
              <w:t>2</w:t>
            </w:r>
            <w:r>
              <w:rPr>
                <w:rFonts w:hint="default" w:ascii="Times New Roman" w:hAnsi="Times New Roman" w:eastAsia="宋体" w:cs="Times New Roman"/>
                <w:b w:val="0"/>
                <w:bCs/>
                <w:sz w:val="21"/>
                <w:szCs w:val="21"/>
              </w:rPr>
              <w:t>、PM</w:t>
            </w:r>
            <w:r>
              <w:rPr>
                <w:rFonts w:hint="default" w:ascii="Times New Roman" w:hAnsi="Times New Roman" w:eastAsia="宋体" w:cs="Times New Roman"/>
                <w:b w:val="0"/>
                <w:bCs/>
                <w:sz w:val="21"/>
                <w:szCs w:val="21"/>
                <w:vertAlign w:val="subscript"/>
              </w:rPr>
              <w:t>10</w:t>
            </w:r>
            <w:r>
              <w:rPr>
                <w:rFonts w:hint="default" w:ascii="Times New Roman" w:hAnsi="Times New Roman" w:eastAsia="宋体" w:cs="Times New Roman"/>
                <w:b w:val="0"/>
                <w:bCs/>
                <w:sz w:val="21"/>
                <w:szCs w:val="21"/>
              </w:rPr>
              <w:t>、NO</w:t>
            </w:r>
            <w:r>
              <w:rPr>
                <w:rFonts w:hint="default" w:ascii="Times New Roman" w:hAnsi="Times New Roman" w:eastAsia="宋体" w:cs="Times New Roman"/>
                <w:b w:val="0"/>
                <w:bCs/>
                <w:sz w:val="21"/>
                <w:szCs w:val="21"/>
                <w:vertAlign w:val="subscript"/>
              </w:rPr>
              <w:t>2</w:t>
            </w:r>
            <w:r>
              <w:rPr>
                <w:rFonts w:hint="default" w:ascii="Times New Roman" w:hAnsi="Times New Roman" w:eastAsia="宋体" w:cs="Times New Roman"/>
                <w:b w:val="0"/>
                <w:bCs/>
                <w:sz w:val="21"/>
                <w:szCs w:val="21"/>
              </w:rPr>
              <w:t>、PM</w:t>
            </w:r>
            <w:r>
              <w:rPr>
                <w:rFonts w:hint="default" w:ascii="Times New Roman" w:hAnsi="Times New Roman" w:eastAsia="宋体" w:cs="Times New Roman"/>
                <w:b w:val="0"/>
                <w:bCs/>
                <w:sz w:val="21"/>
                <w:szCs w:val="21"/>
                <w:vertAlign w:val="subscript"/>
              </w:rPr>
              <w:t>2.5</w:t>
            </w:r>
            <w:r>
              <w:rPr>
                <w:rFonts w:hint="default" w:ascii="Times New Roman" w:hAnsi="Times New Roman" w:eastAsia="宋体" w:cs="Times New Roman"/>
                <w:b w:val="0"/>
                <w:bCs/>
                <w:sz w:val="21"/>
                <w:szCs w:val="21"/>
              </w:rPr>
              <w:t>、O</w:t>
            </w:r>
            <w:r>
              <w:rPr>
                <w:rFonts w:hint="default" w:ascii="Times New Roman" w:hAnsi="Times New Roman" w:eastAsia="宋体" w:cs="Times New Roman"/>
                <w:b w:val="0"/>
                <w:bCs/>
                <w:sz w:val="21"/>
                <w:szCs w:val="21"/>
                <w:vertAlign w:val="subscript"/>
              </w:rPr>
              <w:t>3</w:t>
            </w:r>
            <w:r>
              <w:rPr>
                <w:rFonts w:hint="default" w:ascii="Times New Roman" w:hAnsi="Times New Roman" w:eastAsia="宋体" w:cs="Times New Roman"/>
                <w:b w:val="0"/>
                <w:bCs/>
                <w:sz w:val="21"/>
                <w:szCs w:val="21"/>
              </w:rPr>
              <w:t>、CO</w:t>
            </w:r>
          </w:p>
        </w:tc>
        <w:tc>
          <w:tcPr>
            <w:tcW w:w="1251" w:type="pct"/>
            <w:tcBorders>
              <w:tl2br w:val="nil"/>
              <w:tr2bl w:val="nil"/>
            </w:tcBorders>
            <w:vAlign w:val="center"/>
          </w:tcPr>
          <w:p>
            <w:pPr>
              <w:pStyle w:val="196"/>
              <w:spacing w:before="12"/>
              <w:jc w:val="center"/>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w:t>
            </w:r>
          </w:p>
        </w:tc>
        <w:tc>
          <w:tcPr>
            <w:tcW w:w="1250" w:type="pct"/>
            <w:tcBorders>
              <w:tl2br w:val="nil"/>
              <w:tr2bl w:val="nil"/>
            </w:tcBorders>
            <w:vAlign w:val="center"/>
          </w:tcPr>
          <w:p>
            <w:pPr>
              <w:widowControl w:val="0"/>
              <w:spacing w:before="12"/>
              <w:ind w:left="0" w:leftChars="0" w:right="0" w:rightChars="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4" w:type="pct"/>
            <w:tcBorders>
              <w:tl2br w:val="nil"/>
              <w:tr2bl w:val="nil"/>
            </w:tcBorders>
            <w:vAlign w:val="center"/>
          </w:tcPr>
          <w:p>
            <w:pPr>
              <w:pStyle w:val="196"/>
              <w:spacing w:before="12"/>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地表水</w:t>
            </w:r>
          </w:p>
        </w:tc>
        <w:tc>
          <w:tcPr>
            <w:tcW w:w="1543" w:type="pct"/>
            <w:tcBorders>
              <w:tl2br w:val="nil"/>
              <w:tr2bl w:val="nil"/>
            </w:tcBorders>
            <w:vAlign w:val="center"/>
          </w:tcPr>
          <w:p>
            <w:pPr>
              <w:pStyle w:val="196"/>
              <w:spacing w:before="12"/>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pH、DO、叶绿素a、COD</w:t>
            </w:r>
            <w:r>
              <w:rPr>
                <w:rFonts w:hint="default" w:ascii="Times New Roman" w:hAnsi="Times New Roman" w:eastAsia="宋体" w:cs="Times New Roman"/>
                <w:b w:val="0"/>
                <w:bCs/>
                <w:sz w:val="21"/>
                <w:szCs w:val="21"/>
                <w:vertAlign w:val="subscript"/>
              </w:rPr>
              <w:t>Mn</w:t>
            </w:r>
            <w:r>
              <w:rPr>
                <w:rFonts w:hint="default" w:ascii="Times New Roman" w:hAnsi="Times New Roman" w:eastAsia="宋体" w:cs="Times New Roman"/>
                <w:b w:val="0"/>
                <w:bCs/>
                <w:sz w:val="21"/>
                <w:szCs w:val="21"/>
              </w:rPr>
              <w:t>、SS、NH</w:t>
            </w:r>
            <w:r>
              <w:rPr>
                <w:rFonts w:hint="default" w:ascii="Times New Roman" w:hAnsi="Times New Roman" w:eastAsia="宋体" w:cs="Times New Roman"/>
                <w:b w:val="0"/>
                <w:bCs/>
                <w:sz w:val="21"/>
                <w:szCs w:val="21"/>
                <w:vertAlign w:val="subscript"/>
              </w:rPr>
              <w:t>3</w:t>
            </w:r>
            <w:r>
              <w:rPr>
                <w:rFonts w:hint="default" w:ascii="Times New Roman" w:hAnsi="Times New Roman" w:eastAsia="宋体" w:cs="Times New Roman"/>
                <w:b w:val="0"/>
                <w:bCs/>
                <w:sz w:val="21"/>
                <w:szCs w:val="21"/>
              </w:rPr>
              <w:t>-N、TP、TN</w:t>
            </w:r>
          </w:p>
        </w:tc>
        <w:tc>
          <w:tcPr>
            <w:tcW w:w="1251" w:type="pct"/>
            <w:tcBorders>
              <w:tl2br w:val="nil"/>
              <w:tr2bl w:val="nil"/>
            </w:tcBorders>
            <w:vAlign w:val="center"/>
          </w:tcPr>
          <w:p>
            <w:pPr>
              <w:pStyle w:val="196"/>
              <w:spacing w:before="12"/>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COD</w:t>
            </w:r>
            <w:r>
              <w:rPr>
                <w:rFonts w:hint="default" w:ascii="Times New Roman" w:hAnsi="Times New Roman" w:eastAsia="宋体" w:cs="Times New Roman"/>
                <w:b w:val="0"/>
                <w:bCs/>
                <w:sz w:val="21"/>
                <w:szCs w:val="21"/>
                <w:vertAlign w:val="subscript"/>
              </w:rPr>
              <w:t>Mn</w:t>
            </w:r>
            <w:r>
              <w:rPr>
                <w:rFonts w:hint="default" w:ascii="Times New Roman" w:hAnsi="Times New Roman" w:eastAsia="宋体" w:cs="Times New Roman"/>
                <w:b w:val="0"/>
                <w:bCs/>
                <w:sz w:val="21"/>
                <w:szCs w:val="21"/>
              </w:rPr>
              <w:t>、SS、NH</w:t>
            </w:r>
            <w:r>
              <w:rPr>
                <w:rFonts w:hint="default" w:ascii="Times New Roman" w:hAnsi="Times New Roman" w:eastAsia="宋体" w:cs="Times New Roman"/>
                <w:b w:val="0"/>
                <w:bCs/>
                <w:sz w:val="21"/>
                <w:szCs w:val="21"/>
                <w:vertAlign w:val="subscript"/>
              </w:rPr>
              <w:t>3</w:t>
            </w:r>
            <w:r>
              <w:rPr>
                <w:rFonts w:hint="default" w:ascii="Times New Roman" w:hAnsi="Times New Roman" w:eastAsia="宋体" w:cs="Times New Roman"/>
                <w:b w:val="0"/>
                <w:bCs/>
                <w:sz w:val="21"/>
                <w:szCs w:val="21"/>
              </w:rPr>
              <w:t>-N、TP、TN</w:t>
            </w:r>
          </w:p>
        </w:tc>
        <w:tc>
          <w:tcPr>
            <w:tcW w:w="1250" w:type="pct"/>
            <w:tcBorders>
              <w:tl2br w:val="nil"/>
              <w:tr2bl w:val="nil"/>
            </w:tcBorders>
            <w:vAlign w:val="center"/>
          </w:tcPr>
          <w:p>
            <w:pPr>
              <w:widowControl w:val="0"/>
              <w:spacing w:before="12"/>
              <w:ind w:left="0" w:leftChars="0" w:right="0" w:rightChars="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4" w:type="pct"/>
            <w:tcBorders>
              <w:tl2br w:val="nil"/>
              <w:tr2bl w:val="nil"/>
            </w:tcBorders>
            <w:vAlign w:val="center"/>
          </w:tcPr>
          <w:p>
            <w:pPr>
              <w:pStyle w:val="196"/>
              <w:spacing w:before="12"/>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底泥</w:t>
            </w:r>
          </w:p>
        </w:tc>
        <w:tc>
          <w:tcPr>
            <w:tcW w:w="1543" w:type="pct"/>
            <w:tcBorders>
              <w:tl2br w:val="nil"/>
              <w:tr2bl w:val="nil"/>
            </w:tcBorders>
            <w:vAlign w:val="center"/>
          </w:tcPr>
          <w:p>
            <w:pPr>
              <w:pStyle w:val="196"/>
              <w:spacing w:before="12"/>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镉、汞、砷、铅、铬、铜、镍、锌、六六六总量、滴滴涕总量、苯并芘、pH、总磷、总氮、有机质</w:t>
            </w:r>
          </w:p>
        </w:tc>
        <w:tc>
          <w:tcPr>
            <w:tcW w:w="1251" w:type="pct"/>
            <w:tcBorders>
              <w:tl2br w:val="nil"/>
              <w:tr2bl w:val="nil"/>
            </w:tcBorders>
            <w:vAlign w:val="center"/>
          </w:tcPr>
          <w:p>
            <w:pPr>
              <w:pStyle w:val="196"/>
              <w:spacing w:before="12"/>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eastAsia="zh-CN"/>
              </w:rPr>
              <w:t>—</w:t>
            </w:r>
          </w:p>
        </w:tc>
        <w:tc>
          <w:tcPr>
            <w:tcW w:w="1250" w:type="pct"/>
            <w:tcBorders>
              <w:tl2br w:val="nil"/>
              <w:tr2bl w:val="nil"/>
            </w:tcBorders>
            <w:vAlign w:val="center"/>
          </w:tcPr>
          <w:p>
            <w:pPr>
              <w:widowControl w:val="0"/>
              <w:spacing w:before="12"/>
              <w:ind w:left="0" w:leftChars="0" w:right="0" w:rightChars="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4" w:type="pct"/>
            <w:tcBorders>
              <w:tl2br w:val="nil"/>
              <w:tr2bl w:val="nil"/>
            </w:tcBorders>
            <w:vAlign w:val="center"/>
          </w:tcPr>
          <w:p>
            <w:pPr>
              <w:pStyle w:val="196"/>
              <w:spacing w:before="12"/>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生态环境</w:t>
            </w:r>
          </w:p>
        </w:tc>
        <w:tc>
          <w:tcPr>
            <w:tcW w:w="1543" w:type="pct"/>
            <w:tcBorders>
              <w:tl2br w:val="nil"/>
              <w:tr2bl w:val="nil"/>
            </w:tcBorders>
            <w:vAlign w:val="center"/>
          </w:tcPr>
          <w:p>
            <w:pPr>
              <w:pStyle w:val="196"/>
              <w:spacing w:before="12"/>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eastAsia="zh-CN"/>
              </w:rPr>
              <w:t>—</w:t>
            </w:r>
          </w:p>
        </w:tc>
        <w:tc>
          <w:tcPr>
            <w:tcW w:w="1251" w:type="pct"/>
            <w:tcBorders>
              <w:tl2br w:val="nil"/>
              <w:tr2bl w:val="nil"/>
            </w:tcBorders>
            <w:vAlign w:val="center"/>
          </w:tcPr>
          <w:p>
            <w:pPr>
              <w:pStyle w:val="196"/>
              <w:spacing w:before="12"/>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敏感生物、植被、鱼类、浮游生物、底栖生物等</w:t>
            </w:r>
          </w:p>
        </w:tc>
        <w:tc>
          <w:tcPr>
            <w:tcW w:w="1250" w:type="pct"/>
            <w:tcBorders>
              <w:tl2br w:val="nil"/>
              <w:tr2bl w:val="nil"/>
            </w:tcBorders>
            <w:vAlign w:val="center"/>
          </w:tcPr>
          <w:p>
            <w:pPr>
              <w:widowControl w:val="0"/>
              <w:spacing w:before="12"/>
              <w:ind w:left="0" w:leftChars="0" w:right="0" w:rightChars="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4" w:type="pct"/>
            <w:tcBorders>
              <w:tl2br w:val="nil"/>
              <w:tr2bl w:val="nil"/>
            </w:tcBorders>
            <w:vAlign w:val="center"/>
          </w:tcPr>
          <w:p>
            <w:pPr>
              <w:pStyle w:val="196"/>
              <w:spacing w:before="12"/>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噪声</w:t>
            </w:r>
          </w:p>
        </w:tc>
        <w:tc>
          <w:tcPr>
            <w:tcW w:w="2794" w:type="pct"/>
            <w:gridSpan w:val="2"/>
            <w:tcBorders>
              <w:tl2br w:val="nil"/>
              <w:tr2bl w:val="nil"/>
            </w:tcBorders>
            <w:vAlign w:val="center"/>
          </w:tcPr>
          <w:p>
            <w:pPr>
              <w:pStyle w:val="196"/>
              <w:spacing w:before="12"/>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等效连续A声级</w:t>
            </w:r>
          </w:p>
        </w:tc>
        <w:tc>
          <w:tcPr>
            <w:tcW w:w="1250" w:type="pct"/>
            <w:tcBorders>
              <w:tl2br w:val="nil"/>
              <w:tr2bl w:val="nil"/>
            </w:tcBorders>
            <w:vAlign w:val="center"/>
          </w:tcPr>
          <w:p>
            <w:pPr>
              <w:pStyle w:val="196"/>
              <w:spacing w:before="12"/>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eastAsia="zh-CN"/>
              </w:rPr>
              <w:t>—</w:t>
            </w:r>
          </w:p>
        </w:tc>
      </w:tr>
    </w:tbl>
    <w:p>
      <w:pPr>
        <w:pStyle w:val="5"/>
        <w:jc w:val="both"/>
        <w:rPr>
          <w:rFonts w:hint="default" w:ascii="Times New Roman" w:hAnsi="Times New Roman" w:eastAsia="宋体" w:cs="Times New Roman"/>
          <w:color w:val="auto"/>
        </w:rPr>
      </w:pPr>
      <w:bookmarkStart w:id="115" w:name="_Toc507334551"/>
      <w:bookmarkStart w:id="116" w:name="_Toc5816"/>
      <w:r>
        <w:rPr>
          <w:rFonts w:hint="default" w:ascii="Times New Roman" w:hAnsi="Times New Roman" w:eastAsia="宋体" w:cs="Times New Roman"/>
          <w:color w:val="auto"/>
        </w:rPr>
        <w:t>2.2.3环境质量标准</w:t>
      </w:r>
      <w:bookmarkEnd w:id="112"/>
      <w:bookmarkEnd w:id="113"/>
      <w:bookmarkEnd w:id="114"/>
      <w:bookmarkEnd w:id="115"/>
      <w:bookmarkEnd w:id="116"/>
    </w:p>
    <w:p>
      <w:pPr>
        <w:spacing w:line="480" w:lineRule="exact"/>
        <w:ind w:firstLine="482" w:firstLineChars="200"/>
        <w:jc w:val="both"/>
        <w:rPr>
          <w:rFonts w:hint="default" w:ascii="Times New Roman" w:hAnsi="Times New Roman" w:eastAsia="宋体" w:cs="Times New Roman"/>
          <w:b/>
          <w:color w:val="auto"/>
        </w:rPr>
      </w:pPr>
      <w:bookmarkStart w:id="117" w:name="_Toc4565579"/>
      <w:bookmarkStart w:id="118" w:name="_Toc7445"/>
      <w:r>
        <w:rPr>
          <w:rFonts w:hint="default" w:ascii="Times New Roman" w:hAnsi="Times New Roman" w:eastAsia="宋体" w:cs="Times New Roman"/>
          <w:b/>
          <w:color w:val="auto"/>
        </w:rPr>
        <w:t>（1）环境空气质量标准</w:t>
      </w:r>
      <w:bookmarkEnd w:id="117"/>
      <w:bookmarkEnd w:id="118"/>
    </w:p>
    <w:p>
      <w:pPr>
        <w:spacing w:line="480" w:lineRule="exact"/>
        <w:ind w:firstLine="480" w:firstLineChars="200"/>
        <w:jc w:val="both"/>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rPr>
        <w:t>根据《苏州市环境空气质量功能区划》，项目所在地区域SO</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、NO</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、PM</w:t>
      </w:r>
      <w:r>
        <w:rPr>
          <w:rFonts w:hint="default" w:ascii="Times New Roman" w:hAnsi="Times New Roman" w:eastAsia="宋体" w:cs="Times New Roman"/>
          <w:color w:val="auto"/>
          <w:vertAlign w:val="subscript"/>
        </w:rPr>
        <w:t>10</w:t>
      </w:r>
      <w:r>
        <w:rPr>
          <w:rFonts w:hint="default" w:ascii="Times New Roman" w:hAnsi="Times New Roman" w:eastAsia="宋体" w:cs="Times New Roman"/>
          <w:color w:val="auto"/>
        </w:rPr>
        <w:t>、PM</w:t>
      </w:r>
      <w:r>
        <w:rPr>
          <w:rFonts w:hint="default" w:ascii="Times New Roman" w:hAnsi="Times New Roman" w:eastAsia="宋体" w:cs="Times New Roman"/>
          <w:color w:val="auto"/>
          <w:vertAlign w:val="subscript"/>
        </w:rPr>
        <w:t>2.5</w:t>
      </w:r>
      <w:r>
        <w:rPr>
          <w:rFonts w:hint="default" w:ascii="Times New Roman" w:hAnsi="Times New Roman" w:eastAsia="宋体" w:cs="Times New Roman"/>
          <w:color w:val="auto"/>
        </w:rPr>
        <w:t>、O</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、CO、NO</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执行《环境空气质量标准》(GB3095-2012)表1和表2中</w:t>
      </w:r>
      <w:r>
        <w:rPr>
          <w:rFonts w:hint="default" w:ascii="Times New Roman" w:hAnsi="Times New Roman" w:eastAsia="宋体" w:cs="Times New Roman"/>
          <w:color w:val="auto"/>
          <w:lang w:val="en-US" w:eastAsia="zh-CN"/>
        </w:rPr>
        <w:t>二</w:t>
      </w:r>
      <w:r>
        <w:rPr>
          <w:rFonts w:hint="default" w:ascii="Times New Roman" w:hAnsi="Times New Roman" w:eastAsia="宋体" w:cs="Times New Roman"/>
          <w:color w:val="auto"/>
        </w:rPr>
        <w:t>级标准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具体限值见表2.2-</w:t>
      </w:r>
      <w:r>
        <w:rPr>
          <w:rFonts w:hint="eastAsia" w:cs="Times New Roman"/>
          <w:color w:val="auto"/>
          <w:lang w:val="en-US" w:eastAsia="zh-CN"/>
        </w:rPr>
        <w:t>3</w:t>
      </w:r>
      <w:r>
        <w:rPr>
          <w:rFonts w:hint="default" w:ascii="Times New Roman" w:hAnsi="Times New Roman" w:eastAsia="宋体" w:cs="Times New Roman"/>
          <w:color w:val="auto"/>
        </w:rPr>
        <w:t>。</w:t>
      </w:r>
    </w:p>
    <w:p>
      <w:pPr>
        <w:spacing w:line="480" w:lineRule="exact"/>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表2.2</w:t>
      </w:r>
      <w:r>
        <w:rPr>
          <w:rFonts w:hint="eastAsia" w:cs="Times New Roman"/>
          <w:b/>
          <w:color w:val="auto"/>
          <w:lang w:val="en-US" w:eastAsia="zh-CN"/>
        </w:rPr>
        <w:t>-</w:t>
      </w:r>
      <w:r>
        <w:rPr>
          <w:rFonts w:hint="default" w:ascii="Times New Roman" w:hAnsi="Times New Roman" w:eastAsia="宋体" w:cs="Times New Roman"/>
          <w:b/>
          <w:color w:val="auto"/>
        </w:rPr>
        <w:t>3  环境空气质量标准限值表</w:t>
      </w:r>
    </w:p>
    <w:tbl>
      <w:tblPr>
        <w:tblStyle w:val="55"/>
        <w:tblW w:w="913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5"/>
        <w:gridCol w:w="1816"/>
        <w:gridCol w:w="1200"/>
        <w:gridCol w:w="950"/>
        <w:gridCol w:w="900"/>
        <w:gridCol w:w="1017"/>
        <w:gridCol w:w="1233"/>
        <w:gridCol w:w="11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Merge w:val="restart"/>
            <w:vAlign w:val="center"/>
          </w:tcPr>
          <w:p>
            <w:pPr>
              <w:spacing w:line="28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区域名</w:t>
            </w:r>
          </w:p>
        </w:tc>
        <w:tc>
          <w:tcPr>
            <w:tcW w:w="1816" w:type="dxa"/>
            <w:vMerge w:val="restart"/>
            <w:vAlign w:val="center"/>
          </w:tcPr>
          <w:p>
            <w:pPr>
              <w:spacing w:line="28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执行标准</w:t>
            </w:r>
          </w:p>
        </w:tc>
        <w:tc>
          <w:tcPr>
            <w:tcW w:w="1200" w:type="dxa"/>
            <w:vMerge w:val="restart"/>
            <w:vAlign w:val="center"/>
          </w:tcPr>
          <w:p>
            <w:pPr>
              <w:spacing w:line="28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表号及</w:t>
            </w:r>
          </w:p>
          <w:p>
            <w:pPr>
              <w:spacing w:line="28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级别</w:t>
            </w:r>
          </w:p>
        </w:tc>
        <w:tc>
          <w:tcPr>
            <w:tcW w:w="950" w:type="dxa"/>
            <w:vMerge w:val="restart"/>
            <w:vAlign w:val="center"/>
          </w:tcPr>
          <w:p>
            <w:pPr>
              <w:spacing w:line="28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p>
            <w:pPr>
              <w:spacing w:line="28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指标</w:t>
            </w:r>
          </w:p>
        </w:tc>
        <w:tc>
          <w:tcPr>
            <w:tcW w:w="900" w:type="dxa"/>
            <w:vMerge w:val="restart"/>
            <w:vAlign w:val="center"/>
          </w:tcPr>
          <w:p>
            <w:pPr>
              <w:spacing w:line="28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c>
          <w:tcPr>
            <w:tcW w:w="3355" w:type="dxa"/>
            <w:gridSpan w:val="3"/>
            <w:vAlign w:val="center"/>
          </w:tcPr>
          <w:p>
            <w:pPr>
              <w:spacing w:line="28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Merge w:val="continue"/>
            <w:vAlign w:val="center"/>
          </w:tcPr>
          <w:p>
            <w:pPr>
              <w:spacing w:line="280" w:lineRule="exact"/>
              <w:jc w:val="center"/>
              <w:rPr>
                <w:rFonts w:hint="default" w:ascii="Times New Roman" w:hAnsi="Times New Roman" w:eastAsia="宋体" w:cs="Times New Roman"/>
                <w:b/>
                <w:bCs/>
                <w:color w:val="auto"/>
                <w:sz w:val="21"/>
                <w:szCs w:val="21"/>
              </w:rPr>
            </w:pPr>
          </w:p>
        </w:tc>
        <w:tc>
          <w:tcPr>
            <w:tcW w:w="1816" w:type="dxa"/>
            <w:vMerge w:val="continue"/>
          </w:tcPr>
          <w:p>
            <w:pPr>
              <w:spacing w:line="280" w:lineRule="exact"/>
              <w:jc w:val="center"/>
              <w:rPr>
                <w:rFonts w:hint="default" w:ascii="Times New Roman" w:hAnsi="Times New Roman" w:eastAsia="宋体" w:cs="Times New Roman"/>
                <w:b/>
                <w:bCs/>
                <w:color w:val="auto"/>
                <w:sz w:val="21"/>
                <w:szCs w:val="21"/>
              </w:rPr>
            </w:pPr>
          </w:p>
        </w:tc>
        <w:tc>
          <w:tcPr>
            <w:tcW w:w="1200" w:type="dxa"/>
            <w:vMerge w:val="continue"/>
          </w:tcPr>
          <w:p>
            <w:pPr>
              <w:spacing w:line="280" w:lineRule="exact"/>
              <w:jc w:val="center"/>
              <w:rPr>
                <w:rFonts w:hint="default" w:ascii="Times New Roman" w:hAnsi="Times New Roman" w:eastAsia="宋体" w:cs="Times New Roman"/>
                <w:b/>
                <w:bCs/>
                <w:color w:val="auto"/>
                <w:sz w:val="21"/>
                <w:szCs w:val="21"/>
              </w:rPr>
            </w:pPr>
          </w:p>
        </w:tc>
        <w:tc>
          <w:tcPr>
            <w:tcW w:w="950" w:type="dxa"/>
            <w:vMerge w:val="continue"/>
            <w:vAlign w:val="center"/>
          </w:tcPr>
          <w:p>
            <w:pPr>
              <w:spacing w:line="280" w:lineRule="exact"/>
              <w:jc w:val="center"/>
              <w:rPr>
                <w:rFonts w:hint="default" w:ascii="Times New Roman" w:hAnsi="Times New Roman" w:eastAsia="宋体" w:cs="Times New Roman"/>
                <w:b/>
                <w:bCs/>
                <w:color w:val="auto"/>
                <w:sz w:val="21"/>
                <w:szCs w:val="21"/>
              </w:rPr>
            </w:pPr>
          </w:p>
        </w:tc>
        <w:tc>
          <w:tcPr>
            <w:tcW w:w="900" w:type="dxa"/>
            <w:vMerge w:val="continue"/>
          </w:tcPr>
          <w:p>
            <w:pPr>
              <w:spacing w:line="280" w:lineRule="exact"/>
              <w:jc w:val="center"/>
              <w:rPr>
                <w:rFonts w:hint="default" w:ascii="Times New Roman" w:hAnsi="Times New Roman" w:eastAsia="宋体" w:cs="Times New Roman"/>
                <w:b/>
                <w:bCs/>
                <w:color w:val="auto"/>
                <w:sz w:val="21"/>
                <w:szCs w:val="21"/>
              </w:rPr>
            </w:pPr>
          </w:p>
        </w:tc>
        <w:tc>
          <w:tcPr>
            <w:tcW w:w="1017" w:type="dxa"/>
            <w:vAlign w:val="center"/>
          </w:tcPr>
          <w:p>
            <w:pPr>
              <w:spacing w:line="28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1小时</w:t>
            </w:r>
          </w:p>
          <w:p>
            <w:pPr>
              <w:spacing w:line="28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平均</w:t>
            </w:r>
          </w:p>
        </w:tc>
        <w:tc>
          <w:tcPr>
            <w:tcW w:w="1233" w:type="dxa"/>
            <w:vAlign w:val="center"/>
          </w:tcPr>
          <w:p>
            <w:pPr>
              <w:spacing w:line="28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24小时</w:t>
            </w:r>
          </w:p>
          <w:p>
            <w:pPr>
              <w:spacing w:line="28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平均</w:t>
            </w:r>
          </w:p>
        </w:tc>
        <w:tc>
          <w:tcPr>
            <w:tcW w:w="1105" w:type="dxa"/>
            <w:vAlign w:val="center"/>
          </w:tcPr>
          <w:p>
            <w:pPr>
              <w:spacing w:line="28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年平均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915" w:type="dxa"/>
            <w:vMerge w:val="restart"/>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项目所在地</w:t>
            </w:r>
          </w:p>
        </w:tc>
        <w:tc>
          <w:tcPr>
            <w:tcW w:w="1816" w:type="dxa"/>
            <w:vMerge w:val="restart"/>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《环境空气质量标准》(GB3095-2012)</w:t>
            </w:r>
          </w:p>
        </w:tc>
        <w:tc>
          <w:tcPr>
            <w:tcW w:w="1200" w:type="dxa"/>
            <w:vMerge w:val="restart"/>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表1和表2</w:t>
            </w:r>
            <w:r>
              <w:rPr>
                <w:rFonts w:hint="default" w:ascii="Times New Roman" w:hAnsi="Times New Roman" w:eastAsia="宋体" w:cs="Times New Roman"/>
                <w:color w:val="auto"/>
                <w:sz w:val="21"/>
                <w:szCs w:val="21"/>
                <w:lang w:val="en-US" w:eastAsia="zh-CN"/>
              </w:rPr>
              <w:t>二</w:t>
            </w:r>
            <w:r>
              <w:rPr>
                <w:rFonts w:hint="default" w:ascii="Times New Roman" w:hAnsi="Times New Roman" w:eastAsia="宋体" w:cs="Times New Roman"/>
                <w:color w:val="auto"/>
                <w:sz w:val="21"/>
                <w:szCs w:val="21"/>
              </w:rPr>
              <w:t>级标准</w:t>
            </w:r>
          </w:p>
        </w:tc>
        <w:tc>
          <w:tcPr>
            <w:tcW w:w="950" w:type="dxa"/>
            <w:vAlign w:val="center"/>
          </w:tcPr>
          <w:p>
            <w:pPr>
              <w:spacing w:line="280" w:lineRule="exact"/>
              <w:jc w:val="center"/>
              <w:rPr>
                <w:rFonts w:hint="default" w:ascii="Times New Roman" w:hAnsi="Times New Roman" w:eastAsia="宋体" w:cs="Times New Roman"/>
                <w:color w:val="auto"/>
                <w:sz w:val="21"/>
                <w:szCs w:val="21"/>
                <w:vertAlign w:val="subscript"/>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900" w:type="dxa"/>
            <w:vMerge w:val="restart"/>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µg/m</w:t>
            </w:r>
            <w:r>
              <w:rPr>
                <w:rFonts w:hint="default" w:ascii="Times New Roman" w:hAnsi="Times New Roman" w:eastAsia="宋体" w:cs="Times New Roman"/>
                <w:color w:val="auto"/>
                <w:sz w:val="21"/>
                <w:szCs w:val="21"/>
                <w:vertAlign w:val="superscript"/>
              </w:rPr>
              <w:t>3</w:t>
            </w:r>
          </w:p>
        </w:tc>
        <w:tc>
          <w:tcPr>
            <w:tcW w:w="1017" w:type="dxa"/>
            <w:vAlign w:val="center"/>
          </w:tcPr>
          <w:p>
            <w:pPr>
              <w:spacing w:line="28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r>
              <w:rPr>
                <w:rFonts w:hint="eastAsia" w:cs="Times New Roman"/>
                <w:color w:val="auto"/>
                <w:sz w:val="21"/>
                <w:szCs w:val="21"/>
                <w:lang w:val="en-US" w:eastAsia="zh-CN"/>
              </w:rPr>
              <w:t>0</w:t>
            </w:r>
          </w:p>
        </w:tc>
        <w:tc>
          <w:tcPr>
            <w:tcW w:w="1233"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tc>
        <w:tc>
          <w:tcPr>
            <w:tcW w:w="1105" w:type="dxa"/>
            <w:vAlign w:val="center"/>
          </w:tcPr>
          <w:p>
            <w:pPr>
              <w:spacing w:line="28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1816"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1200"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950"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p>
        </w:tc>
        <w:tc>
          <w:tcPr>
            <w:tcW w:w="900" w:type="dxa"/>
            <w:vMerge w:val="continue"/>
          </w:tcPr>
          <w:p>
            <w:pPr>
              <w:spacing w:line="280" w:lineRule="exact"/>
              <w:jc w:val="center"/>
              <w:rPr>
                <w:rFonts w:hint="default" w:ascii="Times New Roman" w:hAnsi="Times New Roman" w:eastAsia="宋体" w:cs="Times New Roman"/>
                <w:color w:val="auto"/>
                <w:sz w:val="21"/>
                <w:szCs w:val="21"/>
              </w:rPr>
            </w:pPr>
          </w:p>
        </w:tc>
        <w:tc>
          <w:tcPr>
            <w:tcW w:w="1017"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1233"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1105"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1816"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1200"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950"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TSP</w:t>
            </w:r>
          </w:p>
        </w:tc>
        <w:tc>
          <w:tcPr>
            <w:tcW w:w="900" w:type="dxa"/>
            <w:vMerge w:val="continue"/>
          </w:tcPr>
          <w:p>
            <w:pPr>
              <w:spacing w:line="280" w:lineRule="exact"/>
              <w:jc w:val="center"/>
              <w:rPr>
                <w:rFonts w:hint="default" w:ascii="Times New Roman" w:hAnsi="Times New Roman" w:eastAsia="宋体" w:cs="Times New Roman"/>
                <w:color w:val="auto"/>
                <w:sz w:val="21"/>
                <w:szCs w:val="21"/>
              </w:rPr>
            </w:pPr>
          </w:p>
        </w:tc>
        <w:tc>
          <w:tcPr>
            <w:tcW w:w="1017"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33" w:type="dxa"/>
            <w:vAlign w:val="center"/>
          </w:tcPr>
          <w:p>
            <w:pPr>
              <w:spacing w:line="28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300</w:t>
            </w:r>
          </w:p>
        </w:tc>
        <w:tc>
          <w:tcPr>
            <w:tcW w:w="1105" w:type="dxa"/>
            <w:vAlign w:val="center"/>
          </w:tcPr>
          <w:p>
            <w:pPr>
              <w:spacing w:line="28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1816"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1200"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950"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10</w:t>
            </w:r>
          </w:p>
        </w:tc>
        <w:tc>
          <w:tcPr>
            <w:tcW w:w="900" w:type="dxa"/>
            <w:vMerge w:val="continue"/>
          </w:tcPr>
          <w:p>
            <w:pPr>
              <w:spacing w:line="280" w:lineRule="exact"/>
              <w:jc w:val="center"/>
              <w:rPr>
                <w:rFonts w:hint="default" w:ascii="Times New Roman" w:hAnsi="Times New Roman" w:eastAsia="宋体" w:cs="Times New Roman"/>
                <w:color w:val="auto"/>
                <w:sz w:val="21"/>
                <w:szCs w:val="21"/>
              </w:rPr>
            </w:pPr>
          </w:p>
        </w:tc>
        <w:tc>
          <w:tcPr>
            <w:tcW w:w="1017"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33" w:type="dxa"/>
            <w:vAlign w:val="center"/>
          </w:tcPr>
          <w:p>
            <w:pPr>
              <w:spacing w:line="28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50</w:t>
            </w:r>
          </w:p>
        </w:tc>
        <w:tc>
          <w:tcPr>
            <w:tcW w:w="1105" w:type="dxa"/>
            <w:vAlign w:val="center"/>
          </w:tcPr>
          <w:p>
            <w:pPr>
              <w:spacing w:line="28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1816"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1200"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950"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2.5</w:t>
            </w:r>
          </w:p>
        </w:tc>
        <w:tc>
          <w:tcPr>
            <w:tcW w:w="900" w:type="dxa"/>
            <w:vMerge w:val="continue"/>
          </w:tcPr>
          <w:p>
            <w:pPr>
              <w:spacing w:line="280" w:lineRule="exact"/>
              <w:jc w:val="center"/>
              <w:rPr>
                <w:rFonts w:hint="default" w:ascii="Times New Roman" w:hAnsi="Times New Roman" w:eastAsia="宋体" w:cs="Times New Roman"/>
                <w:color w:val="auto"/>
                <w:sz w:val="21"/>
                <w:szCs w:val="21"/>
              </w:rPr>
            </w:pPr>
          </w:p>
        </w:tc>
        <w:tc>
          <w:tcPr>
            <w:tcW w:w="1017"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33" w:type="dxa"/>
            <w:vAlign w:val="center"/>
          </w:tcPr>
          <w:p>
            <w:pPr>
              <w:spacing w:line="28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75</w:t>
            </w:r>
          </w:p>
        </w:tc>
        <w:tc>
          <w:tcPr>
            <w:tcW w:w="1105" w:type="dxa"/>
            <w:vAlign w:val="center"/>
          </w:tcPr>
          <w:p>
            <w:pPr>
              <w:spacing w:line="28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1816"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1200"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950"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3</w:t>
            </w:r>
          </w:p>
        </w:tc>
        <w:tc>
          <w:tcPr>
            <w:tcW w:w="900" w:type="dxa"/>
            <w:vMerge w:val="continue"/>
          </w:tcPr>
          <w:p>
            <w:pPr>
              <w:spacing w:line="280" w:lineRule="exact"/>
              <w:jc w:val="center"/>
              <w:rPr>
                <w:rFonts w:hint="default" w:ascii="Times New Roman" w:hAnsi="Times New Roman" w:eastAsia="宋体" w:cs="Times New Roman"/>
                <w:color w:val="auto"/>
                <w:sz w:val="21"/>
                <w:szCs w:val="21"/>
              </w:rPr>
            </w:pPr>
          </w:p>
        </w:tc>
        <w:tc>
          <w:tcPr>
            <w:tcW w:w="1017" w:type="dxa"/>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200</w:t>
            </w:r>
          </w:p>
        </w:tc>
        <w:tc>
          <w:tcPr>
            <w:tcW w:w="2338" w:type="dxa"/>
            <w:gridSpan w:val="2"/>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eastAsia" w:cs="Times New Roman"/>
                <w:color w:val="auto"/>
                <w:sz w:val="21"/>
                <w:szCs w:val="21"/>
                <w:lang w:val="en-US" w:eastAsia="zh-CN"/>
              </w:rPr>
              <w:t>6</w:t>
            </w:r>
            <w:r>
              <w:rPr>
                <w:rFonts w:hint="default" w:ascii="Times New Roman" w:hAnsi="Times New Roman" w:eastAsia="宋体" w:cs="Times New Roman"/>
                <w:color w:val="auto"/>
                <w:sz w:val="21"/>
                <w:szCs w:val="21"/>
              </w:rPr>
              <w:t>0(</w:t>
            </w:r>
            <w:r>
              <w:rPr>
                <w:rFonts w:hint="eastAsia" w:cs="Times New Roman"/>
                <w:color w:val="auto"/>
                <w:sz w:val="21"/>
                <w:szCs w:val="21"/>
                <w:lang w:val="en-US" w:eastAsia="zh-CN"/>
              </w:rPr>
              <w:t>日最大</w:t>
            </w:r>
            <w:r>
              <w:rPr>
                <w:rFonts w:hint="default" w:ascii="Times New Roman" w:hAnsi="Times New Roman" w:eastAsia="宋体" w:cs="Times New Roman"/>
                <w:color w:val="auto"/>
                <w:sz w:val="21"/>
                <w:szCs w:val="21"/>
              </w:rPr>
              <w:t>8小时平均)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1816"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1200"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950"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w:t>
            </w:r>
          </w:p>
        </w:tc>
        <w:tc>
          <w:tcPr>
            <w:tcW w:w="900" w:type="dxa"/>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1017"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233" w:type="dxa"/>
            <w:vAlign w:val="center"/>
          </w:tcPr>
          <w:p>
            <w:pPr>
              <w:spacing w:line="28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c>
          <w:tcPr>
            <w:tcW w:w="1105" w:type="dxa"/>
            <w:vAlign w:val="center"/>
          </w:tcPr>
          <w:p>
            <w:pPr>
              <w:spacing w:line="28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bl>
    <w:p>
      <w:pPr>
        <w:spacing w:line="480" w:lineRule="exact"/>
        <w:ind w:firstLine="482" w:firstLineChars="200"/>
        <w:jc w:val="both"/>
        <w:rPr>
          <w:rFonts w:hint="default" w:ascii="Times New Roman" w:hAnsi="Times New Roman" w:eastAsia="宋体" w:cs="Times New Roman"/>
          <w:b/>
          <w:color w:val="auto"/>
        </w:rPr>
      </w:pPr>
      <w:r>
        <w:rPr>
          <w:rFonts w:hint="default" w:ascii="Times New Roman" w:hAnsi="Times New Roman" w:eastAsia="宋体" w:cs="Times New Roman"/>
          <w:b/>
          <w:color w:val="auto"/>
        </w:rPr>
        <w:t>（2）地表水环境质量标准</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根据《江苏省地表水（环境）功能区划》（苏政复[2003]29号），</w:t>
      </w:r>
      <w:r>
        <w:rPr>
          <w:rFonts w:hint="default" w:ascii="Times New Roman" w:hAnsi="Times New Roman" w:eastAsia="宋体" w:cs="Times New Roman"/>
          <w:color w:val="auto"/>
          <w:lang w:val="en-US" w:eastAsia="zh-CN"/>
        </w:rPr>
        <w:t>太湖</w:t>
      </w:r>
      <w:r>
        <w:rPr>
          <w:rFonts w:hint="default" w:ascii="Times New Roman" w:hAnsi="Times New Roman" w:eastAsia="宋体" w:cs="Times New Roman"/>
          <w:color w:val="auto"/>
        </w:rPr>
        <w:t>执行《地</w:t>
      </w:r>
    </w:p>
    <w:p>
      <w:pPr>
        <w:spacing w:line="480" w:lineRule="exact"/>
        <w:jc w:val="both"/>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rPr>
        <w:t>表水环境质量标准》（GB3838-2002）Ⅱ类水标准，其中，SS参照执行《地表水资源质量标准》（SL63-94）中的标准限值。具体标准值见表2.2</w:t>
      </w:r>
      <w:r>
        <w:rPr>
          <w:rFonts w:hint="eastAsia" w:cs="Times New Roman"/>
          <w:color w:val="auto"/>
          <w:lang w:val="en-US" w:eastAsia="zh-CN"/>
        </w:rPr>
        <w:t>-4</w:t>
      </w:r>
      <w:r>
        <w:rPr>
          <w:rFonts w:hint="default" w:ascii="Times New Roman" w:hAnsi="Times New Roman" w:eastAsia="宋体" w:cs="Times New Roman"/>
          <w:color w:val="auto"/>
        </w:rPr>
        <w:t>。</w:t>
      </w:r>
    </w:p>
    <w:p>
      <w:pPr>
        <w:spacing w:line="480" w:lineRule="exact"/>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表2.2</w:t>
      </w:r>
      <w:r>
        <w:rPr>
          <w:rFonts w:hint="eastAsia" w:cs="Times New Roman"/>
          <w:b/>
          <w:color w:val="auto"/>
          <w:lang w:val="en-US" w:eastAsia="zh-CN"/>
        </w:rPr>
        <w:t>-4</w:t>
      </w:r>
      <w:r>
        <w:rPr>
          <w:rFonts w:hint="default" w:ascii="Times New Roman" w:hAnsi="Times New Roman" w:eastAsia="宋体" w:cs="Times New Roman"/>
          <w:b/>
          <w:color w:val="auto"/>
        </w:rPr>
        <w:t xml:space="preserve">   地表水环境质量标准限值表</w:t>
      </w:r>
    </w:p>
    <w:tbl>
      <w:tblPr>
        <w:tblStyle w:val="5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1838"/>
        <w:gridCol w:w="1308"/>
        <w:gridCol w:w="1796"/>
        <w:gridCol w:w="1091"/>
        <w:gridCol w:w="17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vAlign w:val="center"/>
          </w:tcPr>
          <w:p>
            <w:pPr>
              <w:spacing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水域名</w:t>
            </w:r>
          </w:p>
        </w:tc>
        <w:tc>
          <w:tcPr>
            <w:tcW w:w="951" w:type="pct"/>
            <w:vAlign w:val="center"/>
          </w:tcPr>
          <w:p>
            <w:pPr>
              <w:spacing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执行标准</w:t>
            </w:r>
          </w:p>
        </w:tc>
        <w:tc>
          <w:tcPr>
            <w:tcW w:w="756" w:type="pct"/>
            <w:vAlign w:val="center"/>
          </w:tcPr>
          <w:p>
            <w:pPr>
              <w:spacing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表号及级别</w:t>
            </w:r>
          </w:p>
        </w:tc>
        <w:tc>
          <w:tcPr>
            <w:tcW w:w="1031" w:type="pct"/>
            <w:vAlign w:val="center"/>
          </w:tcPr>
          <w:p>
            <w:pPr>
              <w:spacing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污染物指标</w:t>
            </w:r>
          </w:p>
        </w:tc>
        <w:tc>
          <w:tcPr>
            <w:tcW w:w="633" w:type="pct"/>
            <w:vAlign w:val="center"/>
          </w:tcPr>
          <w:p>
            <w:pPr>
              <w:spacing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c>
          <w:tcPr>
            <w:tcW w:w="1032" w:type="pct"/>
            <w:vAlign w:val="center"/>
          </w:tcPr>
          <w:p>
            <w:pPr>
              <w:spacing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vMerge w:val="restart"/>
            <w:vAlign w:val="center"/>
          </w:tcPr>
          <w:p>
            <w:pPr>
              <w:spacing w:line="32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太湖</w:t>
            </w:r>
          </w:p>
        </w:tc>
        <w:tc>
          <w:tcPr>
            <w:tcW w:w="951" w:type="pct"/>
            <w:vMerge w:val="restart"/>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《地表水环境质量标准》（GB3838-2002）</w:t>
            </w:r>
          </w:p>
        </w:tc>
        <w:tc>
          <w:tcPr>
            <w:tcW w:w="756" w:type="pct"/>
            <w:vMerge w:val="restart"/>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表1Ⅱ类</w:t>
            </w:r>
          </w:p>
        </w:tc>
        <w:tc>
          <w:tcPr>
            <w:tcW w:w="1031" w:type="pct"/>
            <w:vAlign w:val="center"/>
          </w:tcPr>
          <w:p>
            <w:pPr>
              <w:pStyle w:val="196"/>
              <w:spacing w:before="43"/>
              <w:ind w:left="117" w:leftChars="0" w:right="9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lang w:val="en-US" w:eastAsia="zh-CN"/>
              </w:rPr>
              <w:t>pH</w:t>
            </w:r>
          </w:p>
        </w:tc>
        <w:tc>
          <w:tcPr>
            <w:tcW w:w="633" w:type="pct"/>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无量纲</w:t>
            </w:r>
          </w:p>
        </w:tc>
        <w:tc>
          <w:tcPr>
            <w:tcW w:w="1032" w:type="pct"/>
            <w:vAlign w:val="center"/>
          </w:tcPr>
          <w:p>
            <w:pPr>
              <w:pStyle w:val="196"/>
              <w:spacing w:before="46"/>
              <w:ind w:left="188" w:leftChars="0" w:right="164" w:rightChars="0"/>
              <w:jc w:val="center"/>
              <w:rPr>
                <w:rFonts w:hint="default" w:ascii="Times New Roman" w:hAnsi="Times New Roman" w:eastAsia="宋体" w:cs="Times New Roman"/>
                <w:sz w:val="21"/>
                <w:szCs w:val="22"/>
                <w:lang w:val="en-US" w:eastAsia="zh-CN" w:bidi="ar-SA"/>
              </w:rPr>
            </w:pPr>
            <w:r>
              <w:rPr>
                <w:rFonts w:hint="default" w:ascii="Times New Roman" w:hAnsi="Times New Roman" w:eastAsia="宋体" w:cs="Times New Roman"/>
                <w:sz w:val="21"/>
                <w:lang w:val="en-US" w:eastAsia="zh-CN"/>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vMerge w:val="continue"/>
            <w:vAlign w:val="center"/>
          </w:tcPr>
          <w:p>
            <w:pPr>
              <w:spacing w:line="320" w:lineRule="exact"/>
              <w:jc w:val="center"/>
              <w:rPr>
                <w:rFonts w:hint="default" w:ascii="Times New Roman" w:hAnsi="Times New Roman" w:eastAsia="宋体" w:cs="Times New Roman"/>
                <w:color w:val="auto"/>
                <w:sz w:val="21"/>
                <w:szCs w:val="21"/>
              </w:rPr>
            </w:pPr>
          </w:p>
        </w:tc>
        <w:tc>
          <w:tcPr>
            <w:tcW w:w="951" w:type="pct"/>
            <w:vMerge w:val="continue"/>
            <w:vAlign w:val="center"/>
          </w:tcPr>
          <w:p>
            <w:pPr>
              <w:adjustRightInd w:val="0"/>
              <w:snapToGrid w:val="0"/>
              <w:spacing w:line="320" w:lineRule="exact"/>
              <w:jc w:val="center"/>
              <w:rPr>
                <w:rFonts w:hint="default" w:ascii="Times New Roman" w:hAnsi="Times New Roman" w:eastAsia="宋体" w:cs="Times New Roman"/>
                <w:color w:val="auto"/>
                <w:sz w:val="21"/>
                <w:szCs w:val="21"/>
              </w:rPr>
            </w:pPr>
          </w:p>
        </w:tc>
        <w:tc>
          <w:tcPr>
            <w:tcW w:w="756" w:type="pct"/>
            <w:vMerge w:val="continue"/>
            <w:vAlign w:val="center"/>
          </w:tcPr>
          <w:p>
            <w:pPr>
              <w:adjustRightInd w:val="0"/>
              <w:snapToGrid w:val="0"/>
              <w:spacing w:line="320" w:lineRule="exact"/>
              <w:jc w:val="center"/>
              <w:rPr>
                <w:rFonts w:hint="default" w:ascii="Times New Roman" w:hAnsi="Times New Roman" w:eastAsia="宋体" w:cs="Times New Roman"/>
                <w:color w:val="auto"/>
                <w:sz w:val="21"/>
                <w:szCs w:val="21"/>
              </w:rPr>
            </w:pPr>
          </w:p>
        </w:tc>
        <w:tc>
          <w:tcPr>
            <w:tcW w:w="1031" w:type="pct"/>
            <w:vAlign w:val="center"/>
          </w:tcPr>
          <w:p>
            <w:pPr>
              <w:pStyle w:val="196"/>
              <w:spacing w:before="43"/>
              <w:ind w:left="117" w:leftChars="0" w:right="9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rPr>
              <w:t>COD</w:t>
            </w:r>
            <w:r>
              <w:rPr>
                <w:rFonts w:hint="default" w:ascii="Times New Roman" w:hAnsi="Times New Roman" w:eastAsia="宋体" w:cs="Times New Roman"/>
                <w:sz w:val="21"/>
                <w:vertAlign w:val="subscript"/>
                <w:lang w:val="en-US" w:eastAsia="zh-CN"/>
              </w:rPr>
              <w:t>Mn</w:t>
            </w:r>
          </w:p>
        </w:tc>
        <w:tc>
          <w:tcPr>
            <w:tcW w:w="633" w:type="pct"/>
            <w:vMerge w:val="restart"/>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032" w:type="pct"/>
            <w:vAlign w:val="center"/>
          </w:tcPr>
          <w:p>
            <w:pPr>
              <w:pStyle w:val="196"/>
              <w:spacing w:before="46"/>
              <w:ind w:left="188" w:leftChars="0" w:right="164" w:rightChars="0"/>
              <w:jc w:val="center"/>
              <w:rPr>
                <w:rFonts w:hint="default" w:ascii="Times New Roman" w:hAnsi="Times New Roman" w:eastAsia="宋体" w:cs="Times New Roman"/>
                <w:sz w:val="21"/>
                <w:szCs w:val="22"/>
                <w:lang w:val="zh-CN" w:eastAsia="zh-CN" w:bidi="zh-CN"/>
              </w:rPr>
            </w:pPr>
            <w:r>
              <w:rPr>
                <w:rFonts w:hint="default" w:ascii="Times New Roman" w:hAnsi="Times New Roman" w:eastAsia="宋体" w:cs="Times New Roman"/>
                <w:sz w:val="21"/>
              </w:rPr>
              <w:t>≤</w:t>
            </w:r>
            <w:r>
              <w:rPr>
                <w:rFonts w:hint="default" w:ascii="Times New Roman" w:hAnsi="Times New Roman" w:eastAsia="宋体" w:cs="Times New Roman"/>
                <w:sz w:val="21"/>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vMerge w:val="continue"/>
            <w:vAlign w:val="center"/>
          </w:tcPr>
          <w:p>
            <w:pPr>
              <w:spacing w:line="320" w:lineRule="exact"/>
              <w:jc w:val="center"/>
              <w:rPr>
                <w:rFonts w:hint="default" w:ascii="Times New Roman" w:hAnsi="Times New Roman" w:eastAsia="宋体" w:cs="Times New Roman"/>
                <w:color w:val="auto"/>
                <w:sz w:val="21"/>
                <w:szCs w:val="21"/>
              </w:rPr>
            </w:pPr>
          </w:p>
        </w:tc>
        <w:tc>
          <w:tcPr>
            <w:tcW w:w="951" w:type="pct"/>
            <w:vMerge w:val="continue"/>
            <w:vAlign w:val="center"/>
          </w:tcPr>
          <w:p>
            <w:pPr>
              <w:adjustRightInd w:val="0"/>
              <w:snapToGrid w:val="0"/>
              <w:spacing w:line="320" w:lineRule="exact"/>
              <w:jc w:val="center"/>
              <w:rPr>
                <w:rFonts w:hint="default" w:ascii="Times New Roman" w:hAnsi="Times New Roman" w:eastAsia="宋体" w:cs="Times New Roman"/>
                <w:color w:val="auto"/>
                <w:sz w:val="21"/>
                <w:szCs w:val="21"/>
              </w:rPr>
            </w:pPr>
          </w:p>
        </w:tc>
        <w:tc>
          <w:tcPr>
            <w:tcW w:w="756" w:type="pct"/>
            <w:vMerge w:val="continue"/>
            <w:vAlign w:val="center"/>
          </w:tcPr>
          <w:p>
            <w:pPr>
              <w:adjustRightInd w:val="0"/>
              <w:snapToGrid w:val="0"/>
              <w:spacing w:line="320" w:lineRule="exact"/>
              <w:jc w:val="center"/>
              <w:rPr>
                <w:rFonts w:hint="default" w:ascii="Times New Roman" w:hAnsi="Times New Roman" w:eastAsia="宋体" w:cs="Times New Roman"/>
                <w:color w:val="auto"/>
                <w:sz w:val="21"/>
                <w:szCs w:val="21"/>
              </w:rPr>
            </w:pPr>
          </w:p>
        </w:tc>
        <w:tc>
          <w:tcPr>
            <w:tcW w:w="1031" w:type="pct"/>
            <w:vAlign w:val="center"/>
          </w:tcPr>
          <w:p>
            <w:pPr>
              <w:pStyle w:val="196"/>
              <w:spacing w:before="43"/>
              <w:ind w:left="117" w:leftChars="0" w:right="86"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rPr>
              <w:t>BOD</w:t>
            </w:r>
            <w:r>
              <w:rPr>
                <w:rFonts w:hint="default" w:ascii="Times New Roman" w:hAnsi="Times New Roman" w:eastAsia="宋体" w:cs="Times New Roman"/>
                <w:sz w:val="21"/>
                <w:vertAlign w:val="subscript"/>
              </w:rPr>
              <w:t>5</w:t>
            </w:r>
          </w:p>
        </w:tc>
        <w:tc>
          <w:tcPr>
            <w:tcW w:w="633" w:type="pct"/>
            <w:vMerge w:val="continue"/>
            <w:vAlign w:val="center"/>
          </w:tcPr>
          <w:p>
            <w:pPr>
              <w:spacing w:line="320" w:lineRule="exact"/>
              <w:jc w:val="center"/>
              <w:rPr>
                <w:rFonts w:hint="default" w:ascii="Times New Roman" w:hAnsi="Times New Roman" w:eastAsia="宋体" w:cs="Times New Roman"/>
                <w:color w:val="auto"/>
                <w:sz w:val="21"/>
                <w:szCs w:val="21"/>
              </w:rPr>
            </w:pPr>
          </w:p>
        </w:tc>
        <w:tc>
          <w:tcPr>
            <w:tcW w:w="1032" w:type="pct"/>
            <w:vAlign w:val="center"/>
          </w:tcPr>
          <w:p>
            <w:pPr>
              <w:pStyle w:val="196"/>
              <w:spacing w:before="43"/>
              <w:ind w:left="188" w:leftChars="0" w:right="165" w:rightChars="0"/>
              <w:jc w:val="center"/>
              <w:rPr>
                <w:rFonts w:hint="default" w:ascii="Times New Roman" w:hAnsi="Times New Roman" w:eastAsia="宋体" w:cs="Times New Roman"/>
                <w:sz w:val="21"/>
                <w:szCs w:val="22"/>
                <w:lang w:val="en-US" w:eastAsia="zh-CN" w:bidi="zh-CN"/>
              </w:rPr>
            </w:pPr>
            <w:r>
              <w:rPr>
                <w:rFonts w:hint="default" w:ascii="Times New Roman" w:hAnsi="Times New Roman" w:eastAsia="宋体" w:cs="Times New Roman"/>
                <w:sz w:val="21"/>
              </w:rPr>
              <w:t>≤</w:t>
            </w:r>
            <w:r>
              <w:rPr>
                <w:rFonts w:hint="default" w:ascii="Times New Roman" w:hAnsi="Times New Roman" w:eastAsia="宋体" w:cs="Times New Roman"/>
                <w:sz w:val="21"/>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vMerge w:val="continue"/>
            <w:vAlign w:val="center"/>
          </w:tcPr>
          <w:p>
            <w:pPr>
              <w:spacing w:line="320" w:lineRule="exact"/>
              <w:jc w:val="center"/>
              <w:rPr>
                <w:rFonts w:hint="default" w:ascii="Times New Roman" w:hAnsi="Times New Roman" w:eastAsia="宋体" w:cs="Times New Roman"/>
                <w:color w:val="auto"/>
                <w:sz w:val="21"/>
                <w:szCs w:val="21"/>
              </w:rPr>
            </w:pPr>
          </w:p>
        </w:tc>
        <w:tc>
          <w:tcPr>
            <w:tcW w:w="951" w:type="pct"/>
            <w:vMerge w:val="continue"/>
            <w:vAlign w:val="center"/>
          </w:tcPr>
          <w:p>
            <w:pPr>
              <w:adjustRightInd w:val="0"/>
              <w:snapToGrid w:val="0"/>
              <w:spacing w:line="320" w:lineRule="exact"/>
              <w:jc w:val="center"/>
              <w:rPr>
                <w:rFonts w:hint="default" w:ascii="Times New Roman" w:hAnsi="Times New Roman" w:eastAsia="宋体" w:cs="Times New Roman"/>
                <w:color w:val="auto"/>
                <w:sz w:val="21"/>
                <w:szCs w:val="21"/>
              </w:rPr>
            </w:pPr>
          </w:p>
        </w:tc>
        <w:tc>
          <w:tcPr>
            <w:tcW w:w="756" w:type="pct"/>
            <w:vMerge w:val="continue"/>
            <w:vAlign w:val="center"/>
          </w:tcPr>
          <w:p>
            <w:pPr>
              <w:adjustRightInd w:val="0"/>
              <w:snapToGrid w:val="0"/>
              <w:spacing w:line="320" w:lineRule="exact"/>
              <w:jc w:val="center"/>
              <w:rPr>
                <w:rFonts w:hint="default" w:ascii="Times New Roman" w:hAnsi="Times New Roman" w:eastAsia="宋体" w:cs="Times New Roman"/>
                <w:color w:val="auto"/>
                <w:sz w:val="21"/>
                <w:szCs w:val="21"/>
              </w:rPr>
            </w:pPr>
          </w:p>
        </w:tc>
        <w:tc>
          <w:tcPr>
            <w:tcW w:w="1031" w:type="pct"/>
            <w:vAlign w:val="center"/>
          </w:tcPr>
          <w:p>
            <w:pPr>
              <w:pStyle w:val="196"/>
              <w:spacing w:before="43"/>
              <w:ind w:left="117" w:leftChars="0" w:right="9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rPr>
              <w:t>NH</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vertAlign w:val="baseline"/>
              </w:rPr>
              <w:t>-N</w:t>
            </w:r>
          </w:p>
        </w:tc>
        <w:tc>
          <w:tcPr>
            <w:tcW w:w="633" w:type="pct"/>
            <w:vMerge w:val="continue"/>
            <w:vAlign w:val="center"/>
          </w:tcPr>
          <w:p>
            <w:pPr>
              <w:spacing w:line="320" w:lineRule="exact"/>
              <w:jc w:val="center"/>
              <w:rPr>
                <w:rFonts w:hint="default" w:ascii="Times New Roman" w:hAnsi="Times New Roman" w:eastAsia="宋体" w:cs="Times New Roman"/>
                <w:color w:val="auto"/>
                <w:sz w:val="21"/>
                <w:szCs w:val="21"/>
              </w:rPr>
            </w:pPr>
          </w:p>
        </w:tc>
        <w:tc>
          <w:tcPr>
            <w:tcW w:w="1032" w:type="pct"/>
            <w:vAlign w:val="center"/>
          </w:tcPr>
          <w:p>
            <w:pPr>
              <w:pStyle w:val="196"/>
              <w:spacing w:before="43"/>
              <w:ind w:left="188" w:leftChars="0" w:right="164" w:rightChars="0"/>
              <w:jc w:val="center"/>
              <w:rPr>
                <w:rFonts w:hint="default" w:ascii="Times New Roman" w:hAnsi="Times New Roman" w:eastAsia="宋体" w:cs="Times New Roman"/>
                <w:sz w:val="21"/>
                <w:szCs w:val="22"/>
                <w:lang w:val="en-US" w:eastAsia="zh-CN" w:bidi="zh-CN"/>
              </w:rPr>
            </w:pPr>
            <w:r>
              <w:rPr>
                <w:rFonts w:hint="default" w:ascii="Times New Roman" w:hAnsi="Times New Roman" w:eastAsia="宋体" w:cs="Times New Roman"/>
                <w:sz w:val="21"/>
              </w:rPr>
              <w:t>≤</w:t>
            </w:r>
            <w:r>
              <w:rPr>
                <w:rFonts w:hint="default" w:ascii="Times New Roman" w:hAnsi="Times New Roman" w:eastAsia="宋体" w:cs="Times New Roman"/>
                <w:sz w:val="21"/>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vMerge w:val="continue"/>
            <w:vAlign w:val="center"/>
          </w:tcPr>
          <w:p>
            <w:pPr>
              <w:spacing w:line="320" w:lineRule="exact"/>
              <w:jc w:val="center"/>
              <w:rPr>
                <w:rFonts w:hint="default" w:ascii="Times New Roman" w:hAnsi="Times New Roman" w:eastAsia="宋体" w:cs="Times New Roman"/>
                <w:color w:val="auto"/>
                <w:sz w:val="21"/>
                <w:szCs w:val="21"/>
              </w:rPr>
            </w:pPr>
          </w:p>
        </w:tc>
        <w:tc>
          <w:tcPr>
            <w:tcW w:w="951" w:type="pct"/>
            <w:vMerge w:val="continue"/>
            <w:vAlign w:val="center"/>
          </w:tcPr>
          <w:p>
            <w:pPr>
              <w:adjustRightInd w:val="0"/>
              <w:snapToGrid w:val="0"/>
              <w:spacing w:line="320" w:lineRule="exact"/>
              <w:jc w:val="center"/>
              <w:rPr>
                <w:rFonts w:hint="default" w:ascii="Times New Roman" w:hAnsi="Times New Roman" w:eastAsia="宋体" w:cs="Times New Roman"/>
                <w:color w:val="auto"/>
                <w:sz w:val="21"/>
                <w:szCs w:val="21"/>
              </w:rPr>
            </w:pPr>
          </w:p>
        </w:tc>
        <w:tc>
          <w:tcPr>
            <w:tcW w:w="756" w:type="pct"/>
            <w:vMerge w:val="continue"/>
            <w:vAlign w:val="center"/>
          </w:tcPr>
          <w:p>
            <w:pPr>
              <w:adjustRightInd w:val="0"/>
              <w:snapToGrid w:val="0"/>
              <w:spacing w:line="320" w:lineRule="exact"/>
              <w:jc w:val="center"/>
              <w:rPr>
                <w:rFonts w:hint="default" w:ascii="Times New Roman" w:hAnsi="Times New Roman" w:eastAsia="宋体" w:cs="Times New Roman"/>
                <w:color w:val="auto"/>
                <w:sz w:val="21"/>
                <w:szCs w:val="21"/>
              </w:rPr>
            </w:pPr>
          </w:p>
        </w:tc>
        <w:tc>
          <w:tcPr>
            <w:tcW w:w="1031" w:type="pct"/>
            <w:vAlign w:val="center"/>
          </w:tcPr>
          <w:p>
            <w:pPr>
              <w:pStyle w:val="196"/>
              <w:spacing w:before="43"/>
              <w:ind w:left="117" w:leftChars="0" w:right="86"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lang w:val="en-US" w:eastAsia="zh-CN"/>
              </w:rPr>
              <w:t>DO</w:t>
            </w:r>
          </w:p>
        </w:tc>
        <w:tc>
          <w:tcPr>
            <w:tcW w:w="633" w:type="pct"/>
            <w:vMerge w:val="continue"/>
            <w:vAlign w:val="center"/>
          </w:tcPr>
          <w:p>
            <w:pPr>
              <w:spacing w:line="320" w:lineRule="exact"/>
              <w:jc w:val="center"/>
              <w:rPr>
                <w:rFonts w:hint="default" w:ascii="Times New Roman" w:hAnsi="Times New Roman" w:eastAsia="宋体" w:cs="Times New Roman"/>
                <w:color w:val="auto"/>
                <w:sz w:val="21"/>
                <w:szCs w:val="21"/>
              </w:rPr>
            </w:pPr>
          </w:p>
        </w:tc>
        <w:tc>
          <w:tcPr>
            <w:tcW w:w="1032" w:type="pct"/>
            <w:vAlign w:val="center"/>
          </w:tcPr>
          <w:p>
            <w:pPr>
              <w:pStyle w:val="196"/>
              <w:spacing w:before="43"/>
              <w:ind w:left="188" w:leftChars="0" w:right="165" w:rightChars="0"/>
              <w:jc w:val="center"/>
              <w:rPr>
                <w:rFonts w:hint="default" w:ascii="Times New Roman" w:hAnsi="Times New Roman" w:eastAsia="宋体" w:cs="Times New Roman"/>
                <w:sz w:val="21"/>
                <w:szCs w:val="22"/>
                <w:lang w:val="en-US" w:eastAsia="zh-CN" w:bidi="ar-SA"/>
              </w:rPr>
            </w:pPr>
            <w:r>
              <w:rPr>
                <w:rFonts w:hint="default" w:ascii="Times New Roman" w:hAnsi="Times New Roman" w:eastAsia="宋体" w:cs="Times New Roman"/>
                <w:sz w:val="21"/>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vMerge w:val="continue"/>
            <w:vAlign w:val="center"/>
          </w:tcPr>
          <w:p>
            <w:pPr>
              <w:spacing w:line="320" w:lineRule="exact"/>
              <w:jc w:val="center"/>
              <w:rPr>
                <w:rFonts w:hint="default" w:ascii="Times New Roman" w:hAnsi="Times New Roman" w:eastAsia="宋体" w:cs="Times New Roman"/>
                <w:color w:val="auto"/>
                <w:sz w:val="21"/>
                <w:szCs w:val="21"/>
              </w:rPr>
            </w:pPr>
          </w:p>
        </w:tc>
        <w:tc>
          <w:tcPr>
            <w:tcW w:w="951" w:type="pct"/>
            <w:vMerge w:val="continue"/>
            <w:vAlign w:val="center"/>
          </w:tcPr>
          <w:p>
            <w:pPr>
              <w:adjustRightInd w:val="0"/>
              <w:snapToGrid w:val="0"/>
              <w:spacing w:line="320" w:lineRule="exact"/>
              <w:jc w:val="center"/>
              <w:rPr>
                <w:rFonts w:hint="default" w:ascii="Times New Roman" w:hAnsi="Times New Roman" w:eastAsia="宋体" w:cs="Times New Roman"/>
                <w:color w:val="auto"/>
                <w:sz w:val="21"/>
                <w:szCs w:val="21"/>
              </w:rPr>
            </w:pPr>
          </w:p>
        </w:tc>
        <w:tc>
          <w:tcPr>
            <w:tcW w:w="756" w:type="pct"/>
            <w:vMerge w:val="continue"/>
            <w:vAlign w:val="center"/>
          </w:tcPr>
          <w:p>
            <w:pPr>
              <w:adjustRightInd w:val="0"/>
              <w:snapToGrid w:val="0"/>
              <w:spacing w:line="320" w:lineRule="exact"/>
              <w:jc w:val="center"/>
              <w:rPr>
                <w:rFonts w:hint="default" w:ascii="Times New Roman" w:hAnsi="Times New Roman" w:eastAsia="宋体" w:cs="Times New Roman"/>
                <w:color w:val="auto"/>
                <w:sz w:val="21"/>
                <w:szCs w:val="21"/>
              </w:rPr>
            </w:pPr>
          </w:p>
        </w:tc>
        <w:tc>
          <w:tcPr>
            <w:tcW w:w="1031" w:type="pct"/>
            <w:vAlign w:val="center"/>
          </w:tcPr>
          <w:p>
            <w:pPr>
              <w:pStyle w:val="196"/>
              <w:spacing w:before="37"/>
              <w:ind w:left="117" w:leftChars="0" w:right="-29"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lang w:val="en-US" w:eastAsia="zh-CN"/>
              </w:rPr>
              <w:t>TP（以P计）</w:t>
            </w:r>
          </w:p>
        </w:tc>
        <w:tc>
          <w:tcPr>
            <w:tcW w:w="633" w:type="pct"/>
            <w:vMerge w:val="continue"/>
            <w:vAlign w:val="center"/>
          </w:tcPr>
          <w:p>
            <w:pPr>
              <w:spacing w:line="320" w:lineRule="exact"/>
              <w:jc w:val="center"/>
              <w:rPr>
                <w:rFonts w:hint="default" w:ascii="Times New Roman" w:hAnsi="Times New Roman" w:eastAsia="宋体" w:cs="Times New Roman"/>
                <w:color w:val="auto"/>
                <w:sz w:val="21"/>
                <w:szCs w:val="21"/>
              </w:rPr>
            </w:pPr>
          </w:p>
        </w:tc>
        <w:tc>
          <w:tcPr>
            <w:tcW w:w="1032" w:type="pct"/>
            <w:vAlign w:val="center"/>
          </w:tcPr>
          <w:p>
            <w:pPr>
              <w:pStyle w:val="196"/>
              <w:spacing w:before="43"/>
              <w:ind w:left="188" w:leftChars="0" w:right="164" w:rightChars="0"/>
              <w:jc w:val="center"/>
              <w:rPr>
                <w:rFonts w:hint="default" w:ascii="Times New Roman" w:hAnsi="Times New Roman" w:eastAsia="宋体" w:cs="Times New Roman"/>
                <w:sz w:val="21"/>
                <w:szCs w:val="22"/>
                <w:lang w:val="en-US" w:eastAsia="zh-CN" w:bidi="zh-CN"/>
              </w:rPr>
            </w:pPr>
            <w:r>
              <w:rPr>
                <w:rFonts w:hint="default" w:ascii="Times New Roman" w:hAnsi="Times New Roman" w:eastAsia="宋体" w:cs="Times New Roman"/>
                <w:sz w:val="21"/>
              </w:rPr>
              <w:t>≤</w:t>
            </w:r>
            <w:r>
              <w:rPr>
                <w:rFonts w:hint="default" w:ascii="Times New Roman" w:hAnsi="Times New Roman" w:eastAsia="宋体" w:cs="Times New Roman"/>
                <w:sz w:val="21"/>
                <w:lang w:val="en-US" w:eastAsia="zh-CN"/>
              </w:rPr>
              <w:t>0..025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vMerge w:val="continue"/>
            <w:vAlign w:val="center"/>
          </w:tcPr>
          <w:p>
            <w:pPr>
              <w:spacing w:line="320" w:lineRule="exact"/>
              <w:jc w:val="center"/>
              <w:rPr>
                <w:rFonts w:hint="default" w:ascii="Times New Roman" w:hAnsi="Times New Roman" w:eastAsia="宋体" w:cs="Times New Roman"/>
                <w:color w:val="auto"/>
                <w:sz w:val="21"/>
                <w:szCs w:val="21"/>
              </w:rPr>
            </w:pPr>
          </w:p>
        </w:tc>
        <w:tc>
          <w:tcPr>
            <w:tcW w:w="951" w:type="pct"/>
            <w:vMerge w:val="continue"/>
            <w:vAlign w:val="center"/>
          </w:tcPr>
          <w:p>
            <w:pPr>
              <w:adjustRightInd w:val="0"/>
              <w:snapToGrid w:val="0"/>
              <w:spacing w:line="320" w:lineRule="exact"/>
              <w:jc w:val="center"/>
              <w:rPr>
                <w:rFonts w:hint="default" w:ascii="Times New Roman" w:hAnsi="Times New Roman" w:eastAsia="宋体" w:cs="Times New Roman"/>
                <w:color w:val="auto"/>
                <w:sz w:val="21"/>
                <w:szCs w:val="21"/>
              </w:rPr>
            </w:pPr>
          </w:p>
        </w:tc>
        <w:tc>
          <w:tcPr>
            <w:tcW w:w="756" w:type="pct"/>
            <w:vMerge w:val="continue"/>
            <w:vAlign w:val="center"/>
          </w:tcPr>
          <w:p>
            <w:pPr>
              <w:adjustRightInd w:val="0"/>
              <w:snapToGrid w:val="0"/>
              <w:spacing w:line="320" w:lineRule="exact"/>
              <w:jc w:val="center"/>
              <w:rPr>
                <w:rFonts w:hint="default" w:ascii="Times New Roman" w:hAnsi="Times New Roman" w:eastAsia="宋体" w:cs="Times New Roman"/>
                <w:color w:val="auto"/>
                <w:sz w:val="21"/>
                <w:szCs w:val="21"/>
              </w:rPr>
            </w:pPr>
          </w:p>
        </w:tc>
        <w:tc>
          <w:tcPr>
            <w:tcW w:w="1031" w:type="pct"/>
            <w:vAlign w:val="center"/>
          </w:tcPr>
          <w:p>
            <w:pPr>
              <w:pStyle w:val="196"/>
              <w:spacing w:before="37"/>
              <w:ind w:left="117" w:leftChars="0" w:right="-29"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pacing w:val="-16"/>
                <w:sz w:val="21"/>
              </w:rPr>
              <w:t>TN（</w:t>
            </w:r>
            <w:r>
              <w:rPr>
                <w:rFonts w:hint="default" w:ascii="Times New Roman" w:hAnsi="Times New Roman" w:eastAsia="宋体" w:cs="Times New Roman"/>
                <w:spacing w:val="-22"/>
                <w:sz w:val="21"/>
              </w:rPr>
              <w:t xml:space="preserve">湖、库以 </w:t>
            </w:r>
            <w:r>
              <w:rPr>
                <w:rFonts w:hint="default" w:ascii="Times New Roman" w:hAnsi="Times New Roman" w:eastAsia="宋体" w:cs="Times New Roman"/>
                <w:sz w:val="21"/>
              </w:rPr>
              <w:t>N</w:t>
            </w:r>
            <w:r>
              <w:rPr>
                <w:rFonts w:hint="default" w:ascii="Times New Roman" w:hAnsi="Times New Roman" w:eastAsia="宋体" w:cs="Times New Roman"/>
                <w:spacing w:val="5"/>
                <w:sz w:val="21"/>
              </w:rPr>
              <w:t xml:space="preserve"> </w:t>
            </w:r>
            <w:r>
              <w:rPr>
                <w:rFonts w:hint="default" w:ascii="Times New Roman" w:hAnsi="Times New Roman" w:eastAsia="宋体" w:cs="Times New Roman"/>
                <w:sz w:val="21"/>
              </w:rPr>
              <w:t>计）</w:t>
            </w:r>
          </w:p>
        </w:tc>
        <w:tc>
          <w:tcPr>
            <w:tcW w:w="633" w:type="pct"/>
            <w:vMerge w:val="continue"/>
            <w:vAlign w:val="center"/>
          </w:tcPr>
          <w:p>
            <w:pPr>
              <w:spacing w:line="320" w:lineRule="exact"/>
              <w:jc w:val="center"/>
              <w:rPr>
                <w:rFonts w:hint="default" w:ascii="Times New Roman" w:hAnsi="Times New Roman" w:eastAsia="宋体" w:cs="Times New Roman"/>
                <w:color w:val="auto"/>
                <w:sz w:val="21"/>
                <w:szCs w:val="21"/>
              </w:rPr>
            </w:pPr>
          </w:p>
        </w:tc>
        <w:tc>
          <w:tcPr>
            <w:tcW w:w="1032" w:type="pct"/>
            <w:vAlign w:val="center"/>
          </w:tcPr>
          <w:p>
            <w:pPr>
              <w:pStyle w:val="196"/>
              <w:spacing w:before="43"/>
              <w:ind w:left="188" w:leftChars="0" w:right="164" w:rightChars="0"/>
              <w:jc w:val="center"/>
              <w:rPr>
                <w:rFonts w:hint="default" w:ascii="Times New Roman" w:hAnsi="Times New Roman" w:eastAsia="宋体" w:cs="Times New Roman"/>
                <w:sz w:val="21"/>
                <w:szCs w:val="22"/>
                <w:lang w:val="en-US" w:eastAsia="zh-CN" w:bidi="zh-CN"/>
              </w:rPr>
            </w:pPr>
            <w:r>
              <w:rPr>
                <w:rFonts w:hint="default" w:ascii="Times New Roman" w:hAnsi="Times New Roman" w:eastAsia="宋体" w:cs="Times New Roman"/>
                <w:sz w:val="21"/>
              </w:rPr>
              <w:t>≤</w:t>
            </w:r>
            <w:r>
              <w:rPr>
                <w:rFonts w:hint="default" w:ascii="Times New Roman" w:hAnsi="Times New Roman" w:eastAsia="宋体" w:cs="Times New Roman"/>
                <w:sz w:val="21"/>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vMerge w:val="continue"/>
            <w:vAlign w:val="center"/>
          </w:tcPr>
          <w:p>
            <w:pPr>
              <w:spacing w:line="320" w:lineRule="exact"/>
              <w:jc w:val="center"/>
              <w:rPr>
                <w:rFonts w:hint="default" w:ascii="Times New Roman" w:hAnsi="Times New Roman" w:eastAsia="宋体" w:cs="Times New Roman"/>
                <w:color w:val="auto"/>
                <w:sz w:val="21"/>
                <w:szCs w:val="21"/>
              </w:rPr>
            </w:pPr>
          </w:p>
        </w:tc>
        <w:tc>
          <w:tcPr>
            <w:tcW w:w="951" w:type="pct"/>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《地表水资源质量标准》（SL63-94）</w:t>
            </w:r>
          </w:p>
        </w:tc>
        <w:tc>
          <w:tcPr>
            <w:tcW w:w="756" w:type="pct"/>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表3.0.1-1</w:t>
            </w:r>
          </w:p>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二</w:t>
            </w:r>
            <w:r>
              <w:rPr>
                <w:rFonts w:hint="default" w:ascii="Times New Roman" w:hAnsi="Times New Roman" w:eastAsia="宋体" w:cs="Times New Roman"/>
                <w:color w:val="auto"/>
                <w:sz w:val="21"/>
                <w:szCs w:val="21"/>
              </w:rPr>
              <w:t>级</w:t>
            </w:r>
          </w:p>
        </w:tc>
        <w:tc>
          <w:tcPr>
            <w:tcW w:w="1031" w:type="pct"/>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633" w:type="pct"/>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032" w:type="pct"/>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r>
    </w:tbl>
    <w:p>
      <w:pPr>
        <w:spacing w:line="480" w:lineRule="exact"/>
        <w:ind w:firstLine="482" w:firstLineChars="200"/>
        <w:jc w:val="both"/>
        <w:rPr>
          <w:rFonts w:hint="default" w:ascii="Times New Roman" w:hAnsi="Times New Roman" w:eastAsia="宋体" w:cs="Times New Roman"/>
          <w:b/>
          <w:color w:val="auto"/>
        </w:rPr>
      </w:pPr>
      <w:r>
        <w:rPr>
          <w:rFonts w:hint="default" w:ascii="Times New Roman" w:hAnsi="Times New Roman" w:eastAsia="宋体" w:cs="Times New Roman"/>
          <w:b/>
          <w:color w:val="auto"/>
        </w:rPr>
        <w:t>（3）声环境质量标准</w:t>
      </w:r>
    </w:p>
    <w:p>
      <w:pPr>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根据《市政府关于印发苏州市市区环境噪声标准适用区域划分规定的通知》（苏府[2019]19 号），项目所在区域属于2类声功能区，执行《声环境质量标准》（GB3096-2008）表1中2类标准。具体标准限值见表2.2</w:t>
      </w:r>
      <w:r>
        <w:rPr>
          <w:rFonts w:hint="eastAsia" w:cs="Times New Roman"/>
          <w:color w:val="auto"/>
          <w:lang w:val="en-US" w:eastAsia="zh-CN"/>
        </w:rPr>
        <w:t>-5</w:t>
      </w:r>
      <w:r>
        <w:rPr>
          <w:rFonts w:hint="default" w:ascii="Times New Roman" w:hAnsi="Times New Roman" w:eastAsia="宋体" w:cs="Times New Roman"/>
          <w:color w:val="auto"/>
        </w:rPr>
        <w:t>。</w:t>
      </w:r>
    </w:p>
    <w:p>
      <w:pPr>
        <w:spacing w:line="480" w:lineRule="exact"/>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表2.2</w:t>
      </w:r>
      <w:r>
        <w:rPr>
          <w:rFonts w:hint="eastAsia" w:cs="Times New Roman"/>
          <w:b/>
          <w:color w:val="auto"/>
          <w:lang w:val="en-US" w:eastAsia="zh-CN"/>
        </w:rPr>
        <w:t>-5</w:t>
      </w:r>
      <w:r>
        <w:rPr>
          <w:rFonts w:hint="default" w:ascii="Times New Roman" w:hAnsi="Times New Roman" w:eastAsia="宋体" w:cs="Times New Roman"/>
          <w:b/>
          <w:color w:val="auto"/>
        </w:rPr>
        <w:t xml:space="preserve">   声环境质量标准限值表</w:t>
      </w:r>
    </w:p>
    <w:tbl>
      <w:tblPr>
        <w:tblStyle w:val="55"/>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90"/>
        <w:gridCol w:w="2518"/>
        <w:gridCol w:w="1723"/>
        <w:gridCol w:w="1309"/>
        <w:gridCol w:w="13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4" w:type="pct"/>
            <w:vMerge w:val="restart"/>
            <w:tcBorders>
              <w:right w:val="single" w:color="auto" w:sz="2" w:space="0"/>
            </w:tcBorders>
            <w:vAlign w:val="center"/>
          </w:tcPr>
          <w:p>
            <w:pPr>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区域名</w:t>
            </w:r>
          </w:p>
        </w:tc>
        <w:tc>
          <w:tcPr>
            <w:tcW w:w="1422" w:type="pct"/>
            <w:vMerge w:val="restart"/>
            <w:tcBorders>
              <w:left w:val="single" w:color="auto" w:sz="2" w:space="0"/>
              <w:right w:val="single" w:color="auto" w:sz="2" w:space="0"/>
            </w:tcBorders>
            <w:vAlign w:val="center"/>
          </w:tcPr>
          <w:p>
            <w:pPr>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执行标准</w:t>
            </w:r>
          </w:p>
        </w:tc>
        <w:tc>
          <w:tcPr>
            <w:tcW w:w="973" w:type="pct"/>
            <w:vMerge w:val="restart"/>
            <w:tcBorders>
              <w:left w:val="single" w:color="auto" w:sz="2" w:space="0"/>
              <w:right w:val="single" w:color="auto" w:sz="2" w:space="0"/>
            </w:tcBorders>
            <w:vAlign w:val="center"/>
          </w:tcPr>
          <w:p>
            <w:pPr>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表号及级别</w:t>
            </w:r>
          </w:p>
        </w:tc>
        <w:tc>
          <w:tcPr>
            <w:tcW w:w="1479" w:type="pct"/>
            <w:gridSpan w:val="2"/>
            <w:tcBorders>
              <w:left w:val="single" w:color="auto" w:sz="2" w:space="0"/>
            </w:tcBorders>
            <w:vAlign w:val="center"/>
          </w:tcPr>
          <w:p>
            <w:pPr>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标准限值dB（A）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4" w:type="pct"/>
            <w:vMerge w:val="continue"/>
            <w:tcBorders>
              <w:right w:val="single" w:color="auto" w:sz="2" w:space="0"/>
            </w:tcBorders>
            <w:vAlign w:val="center"/>
          </w:tcPr>
          <w:p>
            <w:pPr>
              <w:adjustRightInd w:val="0"/>
              <w:snapToGrid w:val="0"/>
              <w:spacing w:line="300" w:lineRule="exact"/>
              <w:jc w:val="center"/>
              <w:rPr>
                <w:rFonts w:hint="default" w:ascii="Times New Roman" w:hAnsi="Times New Roman" w:eastAsia="宋体" w:cs="Times New Roman"/>
                <w:b/>
                <w:bCs/>
                <w:color w:val="auto"/>
                <w:sz w:val="21"/>
                <w:szCs w:val="21"/>
              </w:rPr>
            </w:pPr>
          </w:p>
        </w:tc>
        <w:tc>
          <w:tcPr>
            <w:tcW w:w="1422" w:type="pct"/>
            <w:vMerge w:val="continue"/>
            <w:tcBorders>
              <w:left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eastAsia="宋体" w:cs="Times New Roman"/>
                <w:b/>
                <w:bCs/>
                <w:color w:val="auto"/>
                <w:sz w:val="21"/>
                <w:szCs w:val="21"/>
              </w:rPr>
            </w:pPr>
          </w:p>
        </w:tc>
        <w:tc>
          <w:tcPr>
            <w:tcW w:w="973" w:type="pct"/>
            <w:vMerge w:val="continue"/>
            <w:tcBorders>
              <w:left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eastAsia="宋体" w:cs="Times New Roman"/>
                <w:b/>
                <w:bCs/>
                <w:color w:val="auto"/>
                <w:sz w:val="21"/>
                <w:szCs w:val="21"/>
              </w:rPr>
            </w:pPr>
          </w:p>
        </w:tc>
        <w:tc>
          <w:tcPr>
            <w:tcW w:w="739" w:type="pct"/>
            <w:tcBorders>
              <w:left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昼间</w:t>
            </w:r>
          </w:p>
        </w:tc>
        <w:tc>
          <w:tcPr>
            <w:tcW w:w="740" w:type="pct"/>
            <w:tcBorders>
              <w:left w:val="single" w:color="auto" w:sz="2" w:space="0"/>
            </w:tcBorders>
            <w:vAlign w:val="center"/>
          </w:tcPr>
          <w:p>
            <w:pPr>
              <w:adjustRightInd w:val="0"/>
              <w:snapToGrid w:val="0"/>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24" w:type="pct"/>
            <w:tcBorders>
              <w:right w:val="single" w:color="auto" w:sz="2" w:space="0"/>
            </w:tcBorders>
            <w:vAlign w:val="center"/>
          </w:tcPr>
          <w:p>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项目所在区域</w:t>
            </w:r>
          </w:p>
        </w:tc>
        <w:tc>
          <w:tcPr>
            <w:tcW w:w="1422" w:type="pct"/>
            <w:tcBorders>
              <w:left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《声环境质量标准》（GB3096-2008）</w:t>
            </w:r>
          </w:p>
        </w:tc>
        <w:tc>
          <w:tcPr>
            <w:tcW w:w="973" w:type="pct"/>
            <w:tcBorders>
              <w:left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表1中2类</w:t>
            </w:r>
          </w:p>
        </w:tc>
        <w:tc>
          <w:tcPr>
            <w:tcW w:w="739" w:type="pct"/>
            <w:tcBorders>
              <w:left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740" w:type="pct"/>
            <w:tcBorders>
              <w:left w:val="single" w:color="auto" w:sz="2" w:space="0"/>
            </w:tcBorders>
            <w:vAlign w:val="center"/>
          </w:tcPr>
          <w:p>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r>
    </w:tbl>
    <w:p>
      <w:pPr>
        <w:spacing w:line="480" w:lineRule="exact"/>
        <w:ind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（4）底泥质量标准</w:t>
      </w:r>
    </w:p>
    <w:p>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rPr>
      </w:pPr>
      <w:bookmarkStart w:id="119" w:name="_Toc472524382"/>
      <w:bookmarkStart w:id="120" w:name="_Toc492644491"/>
      <w:bookmarkStart w:id="121" w:name="_Toc507334552"/>
      <w:bookmarkStart w:id="122" w:name="_Toc503461510"/>
      <w:r>
        <w:rPr>
          <w:rFonts w:hint="default" w:ascii="Times New Roman" w:hAnsi="Times New Roman" w:eastAsia="宋体" w:cs="Times New Roman"/>
          <w:color w:val="auto"/>
        </w:rPr>
        <w:t>本项目底泥参照《土壤环境质量 农用地土壤污染风险管控标准（试行）》（GB15619-2018）进行评价，具体标准值见表2.2</w:t>
      </w:r>
      <w:r>
        <w:rPr>
          <w:rFonts w:hint="eastAsia" w:cs="Times New Roman"/>
          <w:color w:val="auto"/>
          <w:lang w:val="en-US" w:eastAsia="zh-CN"/>
        </w:rPr>
        <w:t>-6</w:t>
      </w:r>
      <w:r>
        <w:rPr>
          <w:rFonts w:hint="default" w:ascii="Times New Roman" w:hAnsi="Times New Roman" w:eastAsia="宋体" w:cs="Times New Roman"/>
          <w:color w:val="auto"/>
        </w:rPr>
        <w:t>。</w:t>
      </w:r>
    </w:p>
    <w:p>
      <w:pPr>
        <w:spacing w:line="480" w:lineRule="exact"/>
        <w:jc w:val="center"/>
        <w:rPr>
          <w:rFonts w:hint="default" w:ascii="Times New Roman" w:hAnsi="Times New Roman" w:eastAsia="宋体" w:cs="Times New Roman"/>
          <w:b/>
          <w:color w:val="auto"/>
        </w:rPr>
      </w:pPr>
    </w:p>
    <w:p>
      <w:pPr>
        <w:spacing w:line="480" w:lineRule="exact"/>
        <w:jc w:val="center"/>
        <w:rPr>
          <w:rFonts w:hint="default" w:ascii="Times New Roman" w:hAnsi="Times New Roman" w:eastAsia="宋体" w:cs="Times New Roman"/>
          <w:b/>
          <w:color w:val="auto"/>
        </w:rPr>
      </w:pPr>
    </w:p>
    <w:p>
      <w:pPr>
        <w:spacing w:line="480" w:lineRule="exact"/>
        <w:jc w:val="center"/>
        <w:rPr>
          <w:rFonts w:hint="default" w:ascii="Times New Roman" w:hAnsi="Times New Roman" w:eastAsia="宋体" w:cs="Times New Roman"/>
          <w:b/>
          <w:color w:val="auto"/>
          <w:lang w:val="en-US" w:eastAsia="zh-CN"/>
        </w:rPr>
      </w:pPr>
      <w:r>
        <w:rPr>
          <w:rFonts w:hint="default" w:ascii="Times New Roman" w:hAnsi="Times New Roman" w:eastAsia="宋体" w:cs="Times New Roman"/>
          <w:b/>
          <w:color w:val="auto"/>
        </w:rPr>
        <w:t>表2.2</w:t>
      </w:r>
      <w:r>
        <w:rPr>
          <w:rFonts w:hint="eastAsia" w:cs="Times New Roman"/>
          <w:b/>
          <w:color w:val="auto"/>
          <w:lang w:val="en-US" w:eastAsia="zh-CN"/>
        </w:rPr>
        <w:t>-6</w:t>
      </w:r>
      <w:r>
        <w:rPr>
          <w:rFonts w:hint="default" w:ascii="Times New Roman" w:hAnsi="Times New Roman" w:eastAsia="宋体" w:cs="Times New Roman"/>
          <w:b/>
          <w:color w:val="auto"/>
        </w:rPr>
        <w:t xml:space="preserve">   底泥质量标准</w:t>
      </w:r>
      <w:r>
        <w:rPr>
          <w:rFonts w:hint="eastAsia" w:cs="Times New Roman"/>
          <w:b/>
          <w:color w:val="auto"/>
          <w:lang w:val="en-US" w:eastAsia="zh-CN"/>
        </w:rPr>
        <w:t xml:space="preserve">  </w:t>
      </w:r>
      <w:r>
        <w:rPr>
          <w:rFonts w:hint="eastAsia" w:ascii="Times New Roman" w:hAnsi="Times New Roman" w:cs="Times New Roman"/>
          <w:b/>
          <w:bCs/>
          <w:color w:val="auto"/>
          <w:lang w:val="en-US" w:eastAsia="zh-CN"/>
        </w:rPr>
        <w:t>mg/kg</w:t>
      </w:r>
    </w:p>
    <w:tbl>
      <w:tblPr>
        <w:tblStyle w:val="5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538"/>
        <w:gridCol w:w="809"/>
        <w:gridCol w:w="1582"/>
        <w:gridCol w:w="1771"/>
        <w:gridCol w:w="1771"/>
        <w:gridCol w:w="15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7" w:type="pct"/>
            <w:vMerge w:val="restart"/>
            <w:tcBorders>
              <w:tl2br w:val="nil"/>
              <w:tr2bl w:val="nil"/>
            </w:tcBorders>
            <w:vAlign w:val="center"/>
          </w:tcPr>
          <w:p>
            <w:pPr>
              <w:widowControl w:val="0"/>
              <w:spacing w:line="440" w:lineRule="exact"/>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序号</w:t>
            </w:r>
          </w:p>
        </w:tc>
        <w:tc>
          <w:tcPr>
            <w:tcW w:w="761" w:type="pct"/>
            <w:gridSpan w:val="2"/>
            <w:vMerge w:val="restart"/>
            <w:tcBorders>
              <w:tl2br w:val="nil"/>
              <w:tr2bl w:val="nil"/>
            </w:tcBorders>
            <w:vAlign w:val="center"/>
          </w:tcPr>
          <w:p>
            <w:pPr>
              <w:widowControl w:val="0"/>
              <w:spacing w:line="440" w:lineRule="exact"/>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污染物</w:t>
            </w:r>
          </w:p>
        </w:tc>
        <w:tc>
          <w:tcPr>
            <w:tcW w:w="3790" w:type="pct"/>
            <w:gridSpan w:val="4"/>
            <w:tcBorders>
              <w:tl2br w:val="nil"/>
              <w:tr2bl w:val="nil"/>
            </w:tcBorders>
            <w:vAlign w:val="center"/>
          </w:tcPr>
          <w:p>
            <w:pPr>
              <w:widowControl w:val="0"/>
              <w:spacing w:line="440" w:lineRule="exact"/>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风险筛选值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7" w:type="pct"/>
            <w:vMerge w:val="continue"/>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p>
        </w:tc>
        <w:tc>
          <w:tcPr>
            <w:tcW w:w="761" w:type="pct"/>
            <w:gridSpan w:val="2"/>
            <w:vMerge w:val="continue"/>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p>
        </w:tc>
        <w:tc>
          <w:tcPr>
            <w:tcW w:w="893" w:type="pct"/>
            <w:tcBorders>
              <w:tl2br w:val="nil"/>
              <w:tr2bl w:val="nil"/>
            </w:tcBorders>
            <w:vAlign w:val="center"/>
          </w:tcPr>
          <w:p>
            <w:pPr>
              <w:widowControl w:val="0"/>
              <w:spacing w:line="440" w:lineRule="exact"/>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pH≤5.5</w:t>
            </w:r>
          </w:p>
        </w:tc>
        <w:tc>
          <w:tcPr>
            <w:tcW w:w="1000" w:type="pct"/>
            <w:tcBorders>
              <w:tl2br w:val="nil"/>
              <w:tr2bl w:val="nil"/>
            </w:tcBorders>
            <w:vAlign w:val="center"/>
          </w:tcPr>
          <w:p>
            <w:pPr>
              <w:widowControl w:val="0"/>
              <w:spacing w:line="440" w:lineRule="exact"/>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5.5＜pH≤6.5</w:t>
            </w:r>
          </w:p>
        </w:tc>
        <w:tc>
          <w:tcPr>
            <w:tcW w:w="1000" w:type="pct"/>
            <w:tcBorders>
              <w:tl2br w:val="nil"/>
              <w:tr2bl w:val="nil"/>
            </w:tcBorders>
            <w:vAlign w:val="center"/>
          </w:tcPr>
          <w:p>
            <w:pPr>
              <w:widowControl w:val="0"/>
              <w:spacing w:line="440" w:lineRule="exact"/>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6.5＜pH≤7.5</w:t>
            </w:r>
          </w:p>
        </w:tc>
        <w:tc>
          <w:tcPr>
            <w:tcW w:w="895" w:type="pct"/>
            <w:tcBorders>
              <w:tl2br w:val="nil"/>
              <w:tr2bl w:val="nil"/>
            </w:tcBorders>
            <w:vAlign w:val="center"/>
          </w:tcPr>
          <w:p>
            <w:pPr>
              <w:widowControl w:val="0"/>
              <w:spacing w:line="440" w:lineRule="exact"/>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pH＞7.5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7" w:type="pct"/>
            <w:vMerge w:val="restar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w:t>
            </w:r>
          </w:p>
        </w:tc>
        <w:tc>
          <w:tcPr>
            <w:tcW w:w="304" w:type="pct"/>
            <w:vMerge w:val="restar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镉</w:t>
            </w:r>
          </w:p>
        </w:tc>
        <w:tc>
          <w:tcPr>
            <w:tcW w:w="457"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水田</w:t>
            </w:r>
          </w:p>
        </w:tc>
        <w:tc>
          <w:tcPr>
            <w:tcW w:w="893"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0.3</w:t>
            </w:r>
          </w:p>
        </w:tc>
        <w:tc>
          <w:tcPr>
            <w:tcW w:w="1000"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0.4</w:t>
            </w:r>
          </w:p>
        </w:tc>
        <w:tc>
          <w:tcPr>
            <w:tcW w:w="1000"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0.6</w:t>
            </w:r>
          </w:p>
        </w:tc>
        <w:tc>
          <w:tcPr>
            <w:tcW w:w="895"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7" w:type="pct"/>
            <w:vMerge w:val="continue"/>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p>
        </w:tc>
        <w:tc>
          <w:tcPr>
            <w:tcW w:w="304" w:type="pct"/>
            <w:vMerge w:val="continue"/>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p>
        </w:tc>
        <w:tc>
          <w:tcPr>
            <w:tcW w:w="457"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其他</w:t>
            </w:r>
          </w:p>
        </w:tc>
        <w:tc>
          <w:tcPr>
            <w:tcW w:w="893"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0.3</w:t>
            </w:r>
          </w:p>
        </w:tc>
        <w:tc>
          <w:tcPr>
            <w:tcW w:w="1000"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0.3</w:t>
            </w:r>
          </w:p>
        </w:tc>
        <w:tc>
          <w:tcPr>
            <w:tcW w:w="1000"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0.3</w:t>
            </w:r>
          </w:p>
        </w:tc>
        <w:tc>
          <w:tcPr>
            <w:tcW w:w="895"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7" w:type="pct"/>
            <w:vMerge w:val="restar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w:t>
            </w:r>
          </w:p>
        </w:tc>
        <w:tc>
          <w:tcPr>
            <w:tcW w:w="304" w:type="pct"/>
            <w:vMerge w:val="restar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汞</w:t>
            </w:r>
          </w:p>
        </w:tc>
        <w:tc>
          <w:tcPr>
            <w:tcW w:w="457"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水田</w:t>
            </w:r>
          </w:p>
        </w:tc>
        <w:tc>
          <w:tcPr>
            <w:tcW w:w="893"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0.5</w:t>
            </w:r>
          </w:p>
        </w:tc>
        <w:tc>
          <w:tcPr>
            <w:tcW w:w="1000"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0.5</w:t>
            </w:r>
          </w:p>
        </w:tc>
        <w:tc>
          <w:tcPr>
            <w:tcW w:w="1000"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0.6</w:t>
            </w:r>
          </w:p>
        </w:tc>
        <w:tc>
          <w:tcPr>
            <w:tcW w:w="895"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7" w:type="pct"/>
            <w:vMerge w:val="continue"/>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p>
        </w:tc>
        <w:tc>
          <w:tcPr>
            <w:tcW w:w="304" w:type="pct"/>
            <w:vMerge w:val="continue"/>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p>
        </w:tc>
        <w:tc>
          <w:tcPr>
            <w:tcW w:w="457"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其他</w:t>
            </w:r>
          </w:p>
        </w:tc>
        <w:tc>
          <w:tcPr>
            <w:tcW w:w="893"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1.3</w:t>
            </w:r>
          </w:p>
        </w:tc>
        <w:tc>
          <w:tcPr>
            <w:tcW w:w="1000"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1.8</w:t>
            </w:r>
          </w:p>
        </w:tc>
        <w:tc>
          <w:tcPr>
            <w:tcW w:w="1000"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2.4</w:t>
            </w:r>
          </w:p>
        </w:tc>
        <w:tc>
          <w:tcPr>
            <w:tcW w:w="895"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7" w:type="pct"/>
            <w:vMerge w:val="restar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3</w:t>
            </w:r>
          </w:p>
        </w:tc>
        <w:tc>
          <w:tcPr>
            <w:tcW w:w="304" w:type="pct"/>
            <w:vMerge w:val="restar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砷</w:t>
            </w:r>
          </w:p>
        </w:tc>
        <w:tc>
          <w:tcPr>
            <w:tcW w:w="457"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水田</w:t>
            </w:r>
          </w:p>
        </w:tc>
        <w:tc>
          <w:tcPr>
            <w:tcW w:w="893"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30</w:t>
            </w:r>
          </w:p>
        </w:tc>
        <w:tc>
          <w:tcPr>
            <w:tcW w:w="1000"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30</w:t>
            </w:r>
          </w:p>
        </w:tc>
        <w:tc>
          <w:tcPr>
            <w:tcW w:w="1000"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25</w:t>
            </w:r>
          </w:p>
        </w:tc>
        <w:tc>
          <w:tcPr>
            <w:tcW w:w="895"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7" w:type="pct"/>
            <w:vMerge w:val="continue"/>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p>
        </w:tc>
        <w:tc>
          <w:tcPr>
            <w:tcW w:w="304" w:type="pct"/>
            <w:vMerge w:val="continue"/>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p>
        </w:tc>
        <w:tc>
          <w:tcPr>
            <w:tcW w:w="457"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其他</w:t>
            </w:r>
          </w:p>
        </w:tc>
        <w:tc>
          <w:tcPr>
            <w:tcW w:w="893"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40</w:t>
            </w:r>
          </w:p>
        </w:tc>
        <w:tc>
          <w:tcPr>
            <w:tcW w:w="1000"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40</w:t>
            </w:r>
          </w:p>
        </w:tc>
        <w:tc>
          <w:tcPr>
            <w:tcW w:w="1000"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30</w:t>
            </w:r>
          </w:p>
        </w:tc>
        <w:tc>
          <w:tcPr>
            <w:tcW w:w="895"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7" w:type="pct"/>
            <w:vMerge w:val="restar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4</w:t>
            </w:r>
          </w:p>
        </w:tc>
        <w:tc>
          <w:tcPr>
            <w:tcW w:w="304" w:type="pct"/>
            <w:vMerge w:val="restar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铅</w:t>
            </w:r>
          </w:p>
        </w:tc>
        <w:tc>
          <w:tcPr>
            <w:tcW w:w="457"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水田</w:t>
            </w:r>
          </w:p>
        </w:tc>
        <w:tc>
          <w:tcPr>
            <w:tcW w:w="893"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80</w:t>
            </w:r>
          </w:p>
        </w:tc>
        <w:tc>
          <w:tcPr>
            <w:tcW w:w="1000"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100</w:t>
            </w:r>
          </w:p>
        </w:tc>
        <w:tc>
          <w:tcPr>
            <w:tcW w:w="1000"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140</w:t>
            </w:r>
          </w:p>
        </w:tc>
        <w:tc>
          <w:tcPr>
            <w:tcW w:w="895"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7" w:type="pct"/>
            <w:vMerge w:val="continue"/>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p>
        </w:tc>
        <w:tc>
          <w:tcPr>
            <w:tcW w:w="304" w:type="pct"/>
            <w:vMerge w:val="continue"/>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p>
        </w:tc>
        <w:tc>
          <w:tcPr>
            <w:tcW w:w="457"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其他</w:t>
            </w:r>
          </w:p>
        </w:tc>
        <w:tc>
          <w:tcPr>
            <w:tcW w:w="893"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70</w:t>
            </w:r>
          </w:p>
        </w:tc>
        <w:tc>
          <w:tcPr>
            <w:tcW w:w="1000"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90</w:t>
            </w:r>
          </w:p>
        </w:tc>
        <w:tc>
          <w:tcPr>
            <w:tcW w:w="1000"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120</w:t>
            </w:r>
          </w:p>
        </w:tc>
        <w:tc>
          <w:tcPr>
            <w:tcW w:w="895"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7" w:type="pct"/>
            <w:vMerge w:val="restar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5</w:t>
            </w:r>
          </w:p>
        </w:tc>
        <w:tc>
          <w:tcPr>
            <w:tcW w:w="304" w:type="pct"/>
            <w:vMerge w:val="restar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铬</w:t>
            </w:r>
          </w:p>
        </w:tc>
        <w:tc>
          <w:tcPr>
            <w:tcW w:w="457"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水田</w:t>
            </w:r>
          </w:p>
        </w:tc>
        <w:tc>
          <w:tcPr>
            <w:tcW w:w="893"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250</w:t>
            </w:r>
          </w:p>
        </w:tc>
        <w:tc>
          <w:tcPr>
            <w:tcW w:w="1000"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250</w:t>
            </w:r>
          </w:p>
        </w:tc>
        <w:tc>
          <w:tcPr>
            <w:tcW w:w="1000"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300</w:t>
            </w:r>
          </w:p>
        </w:tc>
        <w:tc>
          <w:tcPr>
            <w:tcW w:w="895"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350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7" w:type="pct"/>
            <w:vMerge w:val="continue"/>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p>
        </w:tc>
        <w:tc>
          <w:tcPr>
            <w:tcW w:w="304" w:type="pct"/>
            <w:vMerge w:val="continue"/>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p>
        </w:tc>
        <w:tc>
          <w:tcPr>
            <w:tcW w:w="457"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其他</w:t>
            </w:r>
          </w:p>
        </w:tc>
        <w:tc>
          <w:tcPr>
            <w:tcW w:w="893"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150</w:t>
            </w:r>
          </w:p>
        </w:tc>
        <w:tc>
          <w:tcPr>
            <w:tcW w:w="1000"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150</w:t>
            </w:r>
          </w:p>
        </w:tc>
        <w:tc>
          <w:tcPr>
            <w:tcW w:w="1000"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200</w:t>
            </w:r>
          </w:p>
        </w:tc>
        <w:tc>
          <w:tcPr>
            <w:tcW w:w="895"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7" w:type="pct"/>
            <w:vMerge w:val="restar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6</w:t>
            </w:r>
          </w:p>
        </w:tc>
        <w:tc>
          <w:tcPr>
            <w:tcW w:w="304" w:type="pct"/>
            <w:vMerge w:val="restar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铜</w:t>
            </w:r>
          </w:p>
        </w:tc>
        <w:tc>
          <w:tcPr>
            <w:tcW w:w="457"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果园</w:t>
            </w:r>
          </w:p>
        </w:tc>
        <w:tc>
          <w:tcPr>
            <w:tcW w:w="893"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150</w:t>
            </w:r>
          </w:p>
        </w:tc>
        <w:tc>
          <w:tcPr>
            <w:tcW w:w="1000"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150</w:t>
            </w:r>
          </w:p>
        </w:tc>
        <w:tc>
          <w:tcPr>
            <w:tcW w:w="1000"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200</w:t>
            </w:r>
          </w:p>
        </w:tc>
        <w:tc>
          <w:tcPr>
            <w:tcW w:w="895"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7" w:type="pct"/>
            <w:vMerge w:val="continue"/>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p>
        </w:tc>
        <w:tc>
          <w:tcPr>
            <w:tcW w:w="304" w:type="pct"/>
            <w:vMerge w:val="continue"/>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p>
        </w:tc>
        <w:tc>
          <w:tcPr>
            <w:tcW w:w="457"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其他</w:t>
            </w:r>
          </w:p>
        </w:tc>
        <w:tc>
          <w:tcPr>
            <w:tcW w:w="893"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50</w:t>
            </w:r>
          </w:p>
        </w:tc>
        <w:tc>
          <w:tcPr>
            <w:tcW w:w="1000"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50</w:t>
            </w:r>
          </w:p>
        </w:tc>
        <w:tc>
          <w:tcPr>
            <w:tcW w:w="1000"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100</w:t>
            </w:r>
          </w:p>
        </w:tc>
        <w:tc>
          <w:tcPr>
            <w:tcW w:w="895"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7"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7</w:t>
            </w:r>
          </w:p>
        </w:tc>
        <w:tc>
          <w:tcPr>
            <w:tcW w:w="761" w:type="pct"/>
            <w:gridSpan w:val="2"/>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镍</w:t>
            </w:r>
          </w:p>
        </w:tc>
        <w:tc>
          <w:tcPr>
            <w:tcW w:w="893"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60</w:t>
            </w:r>
          </w:p>
        </w:tc>
        <w:tc>
          <w:tcPr>
            <w:tcW w:w="1000"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70</w:t>
            </w:r>
          </w:p>
        </w:tc>
        <w:tc>
          <w:tcPr>
            <w:tcW w:w="1000"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100</w:t>
            </w:r>
          </w:p>
        </w:tc>
        <w:tc>
          <w:tcPr>
            <w:tcW w:w="895"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7"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8</w:t>
            </w:r>
          </w:p>
        </w:tc>
        <w:tc>
          <w:tcPr>
            <w:tcW w:w="761" w:type="pct"/>
            <w:gridSpan w:val="2"/>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锌</w:t>
            </w:r>
          </w:p>
        </w:tc>
        <w:tc>
          <w:tcPr>
            <w:tcW w:w="893"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200</w:t>
            </w:r>
          </w:p>
        </w:tc>
        <w:tc>
          <w:tcPr>
            <w:tcW w:w="1000"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200</w:t>
            </w:r>
          </w:p>
        </w:tc>
        <w:tc>
          <w:tcPr>
            <w:tcW w:w="1000"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250</w:t>
            </w:r>
          </w:p>
        </w:tc>
        <w:tc>
          <w:tcPr>
            <w:tcW w:w="895"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7"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9</w:t>
            </w:r>
          </w:p>
        </w:tc>
        <w:tc>
          <w:tcPr>
            <w:tcW w:w="761" w:type="pct"/>
            <w:gridSpan w:val="2"/>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六六六总量</w:t>
            </w:r>
          </w:p>
        </w:tc>
        <w:tc>
          <w:tcPr>
            <w:tcW w:w="3790" w:type="pct"/>
            <w:gridSpan w:val="4"/>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7"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10</w:t>
            </w:r>
          </w:p>
        </w:tc>
        <w:tc>
          <w:tcPr>
            <w:tcW w:w="761" w:type="pct"/>
            <w:gridSpan w:val="2"/>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滴滴涕总量</w:t>
            </w:r>
          </w:p>
        </w:tc>
        <w:tc>
          <w:tcPr>
            <w:tcW w:w="3790" w:type="pct"/>
            <w:gridSpan w:val="4"/>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7" w:type="pct"/>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11</w:t>
            </w:r>
          </w:p>
        </w:tc>
        <w:tc>
          <w:tcPr>
            <w:tcW w:w="761" w:type="pct"/>
            <w:gridSpan w:val="2"/>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苯并[a]芘</w:t>
            </w:r>
          </w:p>
        </w:tc>
        <w:tc>
          <w:tcPr>
            <w:tcW w:w="3790" w:type="pct"/>
            <w:gridSpan w:val="4"/>
            <w:tcBorders>
              <w:tl2br w:val="nil"/>
              <w:tr2bl w:val="nil"/>
            </w:tcBorders>
            <w:vAlign w:val="center"/>
          </w:tcPr>
          <w:p>
            <w:pPr>
              <w:widowControl w:val="0"/>
              <w:spacing w:line="4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0.55</w:t>
            </w:r>
          </w:p>
        </w:tc>
      </w:tr>
    </w:tbl>
    <w:p>
      <w:pPr>
        <w:pStyle w:val="5"/>
        <w:ind w:firstLine="281" w:firstLineChars="100"/>
        <w:jc w:val="both"/>
        <w:rPr>
          <w:rFonts w:hint="default" w:ascii="Times New Roman" w:hAnsi="Times New Roman" w:eastAsia="宋体" w:cs="Times New Roman"/>
          <w:color w:val="auto"/>
        </w:rPr>
      </w:pPr>
      <w:bookmarkStart w:id="123" w:name="_Toc3680"/>
      <w:r>
        <w:rPr>
          <w:rFonts w:hint="default" w:ascii="Times New Roman" w:hAnsi="Times New Roman" w:eastAsia="宋体" w:cs="Times New Roman"/>
          <w:color w:val="auto"/>
        </w:rPr>
        <w:t>2.2.4污染物排放标准</w:t>
      </w:r>
      <w:bookmarkEnd w:id="119"/>
      <w:bookmarkEnd w:id="120"/>
      <w:bookmarkEnd w:id="121"/>
      <w:bookmarkEnd w:id="122"/>
      <w:bookmarkEnd w:id="123"/>
    </w:p>
    <w:p>
      <w:pPr>
        <w:spacing w:line="480" w:lineRule="exact"/>
        <w:ind w:firstLine="482" w:firstLineChars="200"/>
        <w:jc w:val="both"/>
        <w:rPr>
          <w:rFonts w:hint="default" w:ascii="Times New Roman" w:hAnsi="Times New Roman" w:eastAsia="宋体" w:cs="Times New Roman"/>
          <w:b/>
          <w:color w:val="auto"/>
        </w:rPr>
      </w:pPr>
      <w:r>
        <w:rPr>
          <w:rFonts w:hint="default" w:ascii="Times New Roman" w:hAnsi="Times New Roman" w:eastAsia="宋体" w:cs="Times New Roman"/>
          <w:b/>
          <w:color w:val="auto"/>
        </w:rPr>
        <w:t>（1）废气排放标准</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bCs/>
          <w:color w:val="auto"/>
        </w:rPr>
        <w:t>控制本工程建设过程中空气污染物的排放，并对空气污染源进行一定的控制和治理，使本工程工区及周边环境空气质量不因为本工程建设而明显下降，满足所在环境功能区划对应《环境空气质量标准》（GB3095-2012）</w:t>
      </w:r>
      <w:r>
        <w:rPr>
          <w:rFonts w:hint="eastAsia" w:cs="Times New Roman"/>
          <w:bCs/>
          <w:color w:val="auto"/>
          <w:lang w:val="en-US" w:eastAsia="zh-CN"/>
        </w:rPr>
        <w:t>二</w:t>
      </w:r>
      <w:r>
        <w:rPr>
          <w:rFonts w:hint="default" w:ascii="Times New Roman" w:hAnsi="Times New Roman" w:eastAsia="宋体" w:cs="Times New Roman"/>
          <w:bCs/>
          <w:color w:val="auto"/>
        </w:rPr>
        <w:t>级标准的要求。本工程废气排放应达到《大气污染物综合排放标准》（GB16297-1996）</w:t>
      </w:r>
      <w:r>
        <w:rPr>
          <w:rFonts w:hint="eastAsia" w:cs="Times New Roman"/>
          <w:bCs/>
          <w:color w:val="auto"/>
          <w:lang w:val="en-US" w:eastAsia="zh-CN"/>
        </w:rPr>
        <w:t>二</w:t>
      </w:r>
      <w:r>
        <w:rPr>
          <w:rFonts w:hint="default" w:ascii="Times New Roman" w:hAnsi="Times New Roman" w:eastAsia="宋体" w:cs="Times New Roman"/>
          <w:bCs/>
          <w:color w:val="auto"/>
        </w:rPr>
        <w:t>级标准。</w:t>
      </w:r>
    </w:p>
    <w:p>
      <w:pPr>
        <w:widowControl w:val="0"/>
        <w:tabs>
          <w:tab w:val="left" w:pos="6697"/>
        </w:tabs>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施工期</w:t>
      </w:r>
      <w:r>
        <w:rPr>
          <w:rFonts w:hint="eastAsia" w:cs="Times New Roman"/>
          <w:color w:val="auto"/>
          <w:lang w:val="en-US" w:eastAsia="zh-CN"/>
        </w:rPr>
        <w:t>道路</w:t>
      </w:r>
      <w:r>
        <w:rPr>
          <w:rFonts w:hint="default" w:ascii="Times New Roman" w:hAnsi="Times New Roman" w:eastAsia="宋体" w:cs="Times New Roman"/>
          <w:color w:val="auto"/>
        </w:rPr>
        <w:t>扬尘执行《大气污染物综合排放标准》(GB16297-1996)表2二级标准，</w:t>
      </w:r>
      <w:r>
        <w:rPr>
          <w:rFonts w:hint="eastAsia" w:cs="Times New Roman"/>
          <w:color w:val="auto"/>
          <w:lang w:val="en-US" w:eastAsia="zh-CN"/>
        </w:rPr>
        <w:t>机械燃油废气</w:t>
      </w:r>
      <w:r>
        <w:rPr>
          <w:rFonts w:hint="default" w:ascii="Times New Roman" w:hAnsi="Times New Roman" w:eastAsia="宋体" w:cs="Times New Roman"/>
          <w:color w:val="auto"/>
        </w:rPr>
        <w:t>NOx、</w:t>
      </w:r>
      <w:r>
        <w:rPr>
          <w:rFonts w:hint="eastAsia" w:cs="Times New Roman"/>
          <w:color w:val="auto"/>
          <w:lang w:val="en-US" w:eastAsia="zh-CN"/>
        </w:rPr>
        <w:t>SO</w:t>
      </w:r>
      <w:r>
        <w:rPr>
          <w:rFonts w:hint="eastAsia" w:cs="Times New Roman"/>
          <w:color w:val="auto"/>
          <w:vertAlign w:val="subscript"/>
          <w:lang w:val="en-US" w:eastAsia="zh-CN"/>
        </w:rPr>
        <w:t>2</w:t>
      </w:r>
      <w:r>
        <w:rPr>
          <w:rFonts w:hint="default" w:ascii="Times New Roman" w:hAnsi="Times New Roman" w:eastAsia="宋体" w:cs="Times New Roman"/>
          <w:color w:val="auto"/>
        </w:rPr>
        <w:t>执行《大气污染物综合排放标准》(</w:t>
      </w:r>
      <w:r>
        <w:rPr>
          <w:rFonts w:hint="eastAsia" w:cs="Times New Roman"/>
          <w:color w:val="auto"/>
          <w:lang w:val="en-US" w:eastAsia="zh-CN"/>
        </w:rPr>
        <w:t>D</w:t>
      </w:r>
      <w:r>
        <w:rPr>
          <w:rFonts w:hint="default" w:ascii="Times New Roman" w:hAnsi="Times New Roman" w:eastAsia="宋体" w:cs="Times New Roman"/>
          <w:color w:val="auto"/>
        </w:rPr>
        <w:t>B</w:t>
      </w:r>
      <w:r>
        <w:rPr>
          <w:rFonts w:hint="eastAsia" w:cs="Times New Roman"/>
          <w:color w:val="auto"/>
          <w:lang w:val="en-US" w:eastAsia="zh-CN"/>
        </w:rPr>
        <w:t>32/4041</w:t>
      </w:r>
      <w:r>
        <w:rPr>
          <w:rFonts w:hint="default" w:ascii="Times New Roman" w:hAnsi="Times New Roman" w:eastAsia="宋体" w:cs="Times New Roman"/>
          <w:color w:val="auto"/>
        </w:rPr>
        <w:t>-</w:t>
      </w:r>
      <w:r>
        <w:rPr>
          <w:rFonts w:hint="eastAsia" w:cs="Times New Roman"/>
          <w:color w:val="auto"/>
          <w:lang w:val="en-US" w:eastAsia="zh-CN"/>
        </w:rPr>
        <w:t>2021</w:t>
      </w:r>
      <w:r>
        <w:rPr>
          <w:rFonts w:hint="default" w:ascii="Times New Roman" w:hAnsi="Times New Roman" w:eastAsia="宋体" w:cs="Times New Roman"/>
          <w:color w:val="auto"/>
        </w:rPr>
        <w:t>)表</w:t>
      </w:r>
      <w:r>
        <w:rPr>
          <w:rFonts w:hint="eastAsia" w:cs="Times New Roman"/>
          <w:color w:val="auto"/>
          <w:lang w:val="en-US" w:eastAsia="zh-CN"/>
        </w:rPr>
        <w:t>3</w:t>
      </w:r>
      <w:r>
        <w:rPr>
          <w:rFonts w:hint="default" w:ascii="Times New Roman" w:hAnsi="Times New Roman" w:eastAsia="宋体" w:cs="Times New Roman"/>
          <w:color w:val="auto"/>
        </w:rPr>
        <w:t>标准，CO执行《固定污染源一氧化碳排放标准》（DB13/478-2002），具体见表2.</w:t>
      </w:r>
      <w:r>
        <w:rPr>
          <w:rFonts w:hint="default" w:ascii="Times New Roman" w:hAnsi="Times New Roman" w:eastAsia="宋体" w:cs="Times New Roman"/>
          <w:color w:val="auto"/>
          <w:lang w:val="en-US" w:eastAsia="zh-CN"/>
        </w:rPr>
        <w:t>2</w:t>
      </w:r>
      <w:r>
        <w:rPr>
          <w:rFonts w:hint="eastAsia" w:cs="Times New Roman"/>
          <w:color w:val="auto"/>
          <w:lang w:val="en-US" w:eastAsia="zh-CN"/>
        </w:rPr>
        <w:t>-7</w:t>
      </w:r>
      <w:r>
        <w:rPr>
          <w:rFonts w:hint="default" w:ascii="Times New Roman" w:hAnsi="Times New Roman" w:eastAsia="宋体" w:cs="Times New Roman"/>
          <w:color w:val="auto"/>
        </w:rPr>
        <w:t>。</w:t>
      </w:r>
    </w:p>
    <w:p>
      <w:pPr>
        <w:spacing w:line="480" w:lineRule="exact"/>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表2.2</w:t>
      </w:r>
      <w:r>
        <w:rPr>
          <w:rFonts w:hint="eastAsia" w:cs="Times New Roman"/>
          <w:b/>
          <w:color w:val="auto"/>
          <w:lang w:val="en-US" w:eastAsia="zh-CN"/>
        </w:rPr>
        <w:t>-7</w:t>
      </w:r>
      <w:r>
        <w:rPr>
          <w:rFonts w:hint="default" w:ascii="Times New Roman" w:hAnsi="Times New Roman" w:eastAsia="宋体" w:cs="Times New Roman"/>
          <w:b/>
          <w:color w:val="auto"/>
        </w:rPr>
        <w:t xml:space="preserve">  大气污染物排放标准</w:t>
      </w:r>
    </w:p>
    <w:tbl>
      <w:tblPr>
        <w:tblStyle w:val="55"/>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84"/>
        <w:gridCol w:w="2877"/>
        <w:gridCol w:w="1137"/>
        <w:gridCol w:w="1048"/>
        <w:gridCol w:w="26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4" w:hRule="exact"/>
          <w:tblHeader/>
          <w:jc w:val="center"/>
        </w:trPr>
        <w:tc>
          <w:tcPr>
            <w:tcW w:w="669" w:type="pct"/>
            <w:tcBorders>
              <w:tl2br w:val="nil"/>
              <w:tr2bl w:val="nil"/>
            </w:tcBorders>
            <w:vAlign w:val="center"/>
          </w:tcPr>
          <w:p>
            <w:pPr>
              <w:pStyle w:val="417"/>
              <w:snapToGrid w:val="0"/>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种类</w:t>
            </w:r>
          </w:p>
        </w:tc>
        <w:tc>
          <w:tcPr>
            <w:tcW w:w="1625" w:type="pct"/>
            <w:tcBorders>
              <w:tl2br w:val="nil"/>
              <w:tr2bl w:val="nil"/>
            </w:tcBorders>
            <w:vAlign w:val="center"/>
          </w:tcPr>
          <w:p>
            <w:pPr>
              <w:pStyle w:val="417"/>
              <w:snapToGrid w:val="0"/>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执行标准</w:t>
            </w:r>
          </w:p>
        </w:tc>
        <w:tc>
          <w:tcPr>
            <w:tcW w:w="642" w:type="pct"/>
            <w:tcBorders>
              <w:tl2br w:val="nil"/>
              <w:tr2bl w:val="nil"/>
            </w:tcBorders>
            <w:vAlign w:val="center"/>
          </w:tcPr>
          <w:p>
            <w:pPr>
              <w:pStyle w:val="417"/>
              <w:snapToGrid w:val="0"/>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取值表号及级别</w:t>
            </w:r>
          </w:p>
        </w:tc>
        <w:tc>
          <w:tcPr>
            <w:tcW w:w="592" w:type="pct"/>
            <w:tcBorders>
              <w:tl2br w:val="nil"/>
              <w:tr2bl w:val="nil"/>
            </w:tcBorders>
            <w:vAlign w:val="center"/>
          </w:tcPr>
          <w:p>
            <w:pPr>
              <w:pStyle w:val="417"/>
              <w:snapToGrid w:val="0"/>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指标</w:t>
            </w:r>
          </w:p>
        </w:tc>
        <w:tc>
          <w:tcPr>
            <w:tcW w:w="1470" w:type="pct"/>
            <w:tcBorders>
              <w:tl2br w:val="nil"/>
              <w:tr2bl w:val="nil"/>
            </w:tcBorders>
            <w:vAlign w:val="center"/>
          </w:tcPr>
          <w:p>
            <w:pPr>
              <w:pStyle w:val="417"/>
              <w:snapToGrid w:val="0"/>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无组织排放监控浓度限值</w:t>
            </w:r>
            <w:r>
              <w:rPr>
                <w:rFonts w:hint="default" w:ascii="Times New Roman" w:hAnsi="Times New Roman" w:eastAsia="宋体" w:cs="Times New Roman"/>
                <w:b/>
                <w:bCs w:val="0"/>
                <w:color w:val="auto"/>
                <w:sz w:val="21"/>
                <w:szCs w:val="21"/>
                <w:lang w:eastAsia="zh-CN"/>
              </w:rPr>
              <w:t>（</w:t>
            </w:r>
            <w:r>
              <w:rPr>
                <w:rFonts w:hint="default" w:ascii="Times New Roman" w:hAnsi="Times New Roman" w:eastAsia="宋体" w:cs="Times New Roman"/>
                <w:b/>
                <w:bCs w:val="0"/>
                <w:color w:val="auto"/>
                <w:sz w:val="21"/>
                <w:szCs w:val="21"/>
              </w:rPr>
              <w:t>mg/m</w:t>
            </w:r>
            <w:r>
              <w:rPr>
                <w:rFonts w:hint="default" w:ascii="Times New Roman" w:hAnsi="Times New Roman" w:eastAsia="宋体" w:cs="Times New Roman"/>
                <w:b/>
                <w:bCs w:val="0"/>
                <w:color w:val="auto"/>
                <w:sz w:val="21"/>
                <w:szCs w:val="21"/>
                <w:vertAlign w:val="superscript"/>
              </w:rPr>
              <w:t>3</w:t>
            </w:r>
            <w:r>
              <w:rPr>
                <w:rFonts w:hint="default" w:ascii="Times New Roman" w:hAnsi="Times New Roman" w:eastAsia="宋体" w:cs="Times New Roman"/>
                <w:b/>
                <w:bCs w:val="0"/>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69" w:type="pct"/>
            <w:tcBorders>
              <w:tl2br w:val="nil"/>
              <w:tr2bl w:val="nil"/>
            </w:tcBorders>
            <w:vAlign w:val="center"/>
          </w:tcPr>
          <w:p>
            <w:pPr>
              <w:pStyle w:val="417"/>
              <w:snapToGrid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施工扬尘</w:t>
            </w:r>
          </w:p>
        </w:tc>
        <w:tc>
          <w:tcPr>
            <w:tcW w:w="1625" w:type="pct"/>
            <w:vMerge w:val="restart"/>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《大气污染物综合排放标准》（DB32/4041-2021）</w:t>
            </w:r>
          </w:p>
        </w:tc>
        <w:tc>
          <w:tcPr>
            <w:tcW w:w="642" w:type="pct"/>
            <w:vMerge w:val="restart"/>
            <w:tcBorders>
              <w:tl2br w:val="nil"/>
              <w:tr2bl w:val="nil"/>
            </w:tcBorders>
            <w:vAlign w:val="center"/>
          </w:tcPr>
          <w:p>
            <w:pPr>
              <w:spacing w:line="300" w:lineRule="exact"/>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表</w:t>
            </w:r>
            <w:r>
              <w:rPr>
                <w:rFonts w:hint="eastAsia" w:cs="Times New Roman"/>
                <w:color w:val="auto"/>
                <w:sz w:val="21"/>
                <w:szCs w:val="21"/>
                <w:lang w:val="en-US" w:eastAsia="zh-CN"/>
              </w:rPr>
              <w:t>3</w:t>
            </w:r>
          </w:p>
        </w:tc>
        <w:tc>
          <w:tcPr>
            <w:tcW w:w="592" w:type="pct"/>
            <w:tcBorders>
              <w:tl2br w:val="nil"/>
              <w:tr2bl w:val="nil"/>
            </w:tcBorders>
            <w:vAlign w:val="center"/>
          </w:tcPr>
          <w:p>
            <w:pPr>
              <w:pStyle w:val="417"/>
              <w:snapToGrid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1470" w:type="pct"/>
            <w:tcBorders>
              <w:tl2br w:val="nil"/>
              <w:tr2bl w:val="nil"/>
            </w:tcBorders>
            <w:vAlign w:val="center"/>
          </w:tcPr>
          <w:p>
            <w:pPr>
              <w:pStyle w:val="417"/>
              <w:snapToGrid w:val="0"/>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69" w:type="pct"/>
            <w:vMerge w:val="restart"/>
            <w:tcBorders>
              <w:tl2br w:val="nil"/>
              <w:tr2bl w:val="nil"/>
            </w:tcBorders>
            <w:vAlign w:val="center"/>
          </w:tcPr>
          <w:p>
            <w:pPr>
              <w:pStyle w:val="417"/>
              <w:snapToGrid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汽车尾气</w:t>
            </w:r>
          </w:p>
        </w:tc>
        <w:tc>
          <w:tcPr>
            <w:tcW w:w="1625" w:type="pct"/>
            <w:vMerge w:val="continue"/>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rPr>
            </w:pPr>
          </w:p>
        </w:tc>
        <w:tc>
          <w:tcPr>
            <w:tcW w:w="642" w:type="pct"/>
            <w:vMerge w:val="continue"/>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rPr>
            </w:pPr>
          </w:p>
        </w:tc>
        <w:tc>
          <w:tcPr>
            <w:tcW w:w="592" w:type="pct"/>
            <w:tcBorders>
              <w:tl2br w:val="nil"/>
              <w:tr2bl w:val="nil"/>
            </w:tcBorders>
            <w:vAlign w:val="center"/>
          </w:tcPr>
          <w:p>
            <w:pPr>
              <w:pStyle w:val="417"/>
              <w:snapToGrid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NOx</w:t>
            </w:r>
          </w:p>
        </w:tc>
        <w:tc>
          <w:tcPr>
            <w:tcW w:w="1470" w:type="pct"/>
            <w:tcBorders>
              <w:tl2br w:val="nil"/>
              <w:tr2bl w:val="nil"/>
            </w:tcBorders>
            <w:vAlign w:val="center"/>
          </w:tcPr>
          <w:p>
            <w:pPr>
              <w:pStyle w:val="417"/>
              <w:snapToGrid w:val="0"/>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69" w:type="pct"/>
            <w:vMerge w:val="continue"/>
            <w:tcBorders>
              <w:tl2br w:val="nil"/>
              <w:tr2bl w:val="nil"/>
            </w:tcBorders>
            <w:vAlign w:val="center"/>
          </w:tcPr>
          <w:p>
            <w:pPr>
              <w:pStyle w:val="417"/>
              <w:snapToGrid w:val="0"/>
              <w:rPr>
                <w:rFonts w:hint="default" w:ascii="Times New Roman" w:hAnsi="Times New Roman" w:eastAsia="宋体" w:cs="Times New Roman"/>
                <w:color w:val="auto"/>
                <w:sz w:val="21"/>
                <w:szCs w:val="21"/>
                <w:lang w:val="en-US" w:eastAsia="zh-CN"/>
              </w:rPr>
            </w:pPr>
          </w:p>
        </w:tc>
        <w:tc>
          <w:tcPr>
            <w:tcW w:w="1625" w:type="pct"/>
            <w:vMerge w:val="continue"/>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rPr>
            </w:pPr>
          </w:p>
        </w:tc>
        <w:tc>
          <w:tcPr>
            <w:tcW w:w="642" w:type="pct"/>
            <w:vMerge w:val="continue"/>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rPr>
            </w:pPr>
          </w:p>
        </w:tc>
        <w:tc>
          <w:tcPr>
            <w:tcW w:w="592" w:type="pct"/>
            <w:tcBorders>
              <w:tl2br w:val="nil"/>
              <w:tr2bl w:val="nil"/>
            </w:tcBorders>
            <w:vAlign w:val="center"/>
          </w:tcPr>
          <w:p>
            <w:pPr>
              <w:pStyle w:val="417"/>
              <w:snapToGrid w:val="0"/>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SO</w:t>
            </w:r>
            <w:r>
              <w:rPr>
                <w:rFonts w:hint="eastAsia" w:ascii="Times New Roman" w:eastAsia="宋体" w:cs="Times New Roman"/>
                <w:color w:val="auto"/>
                <w:sz w:val="21"/>
                <w:szCs w:val="21"/>
                <w:vertAlign w:val="subscript"/>
                <w:lang w:val="en-US" w:eastAsia="zh-CN"/>
              </w:rPr>
              <w:t>2</w:t>
            </w:r>
          </w:p>
        </w:tc>
        <w:tc>
          <w:tcPr>
            <w:tcW w:w="1470" w:type="pct"/>
            <w:tcBorders>
              <w:tl2br w:val="nil"/>
              <w:tr2bl w:val="nil"/>
            </w:tcBorders>
            <w:vAlign w:val="center"/>
          </w:tcPr>
          <w:p>
            <w:pPr>
              <w:pStyle w:val="417"/>
              <w:snapToGrid w:val="0"/>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69" w:type="pct"/>
            <w:vMerge w:val="continue"/>
            <w:tcBorders>
              <w:tl2br w:val="nil"/>
              <w:tr2bl w:val="nil"/>
            </w:tcBorders>
            <w:vAlign w:val="center"/>
          </w:tcPr>
          <w:p>
            <w:pPr>
              <w:pStyle w:val="417"/>
              <w:snapToGrid w:val="0"/>
              <w:rPr>
                <w:rFonts w:hint="default" w:ascii="Times New Roman" w:hAnsi="Times New Roman" w:eastAsia="宋体" w:cs="Times New Roman"/>
                <w:color w:val="auto"/>
                <w:sz w:val="21"/>
                <w:szCs w:val="21"/>
                <w:lang w:val="en-US" w:eastAsia="zh-CN"/>
              </w:rPr>
            </w:pPr>
          </w:p>
        </w:tc>
        <w:tc>
          <w:tcPr>
            <w:tcW w:w="1625" w:type="pct"/>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《固定污染源一氧化碳排放标准》（DB13/478-2002）</w:t>
            </w:r>
          </w:p>
        </w:tc>
        <w:tc>
          <w:tcPr>
            <w:tcW w:w="642" w:type="pct"/>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92" w:type="pct"/>
            <w:tcBorders>
              <w:tl2br w:val="nil"/>
              <w:tr2bl w:val="nil"/>
            </w:tcBorders>
            <w:vAlign w:val="center"/>
          </w:tcPr>
          <w:p>
            <w:pPr>
              <w:pStyle w:val="417"/>
              <w:snapToGrid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w:t>
            </w:r>
          </w:p>
        </w:tc>
        <w:tc>
          <w:tcPr>
            <w:tcW w:w="1470" w:type="pct"/>
            <w:tcBorders>
              <w:tl2br w:val="nil"/>
              <w:tr2bl w:val="nil"/>
            </w:tcBorders>
            <w:vAlign w:val="center"/>
          </w:tcPr>
          <w:p>
            <w:pPr>
              <w:pStyle w:val="417"/>
              <w:snapToGrid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r>
    </w:tbl>
    <w:p>
      <w:pPr>
        <w:spacing w:line="470" w:lineRule="exact"/>
        <w:ind w:firstLine="472" w:firstLineChars="196"/>
        <w:jc w:val="both"/>
        <w:rPr>
          <w:rFonts w:hint="default" w:ascii="Times New Roman" w:hAnsi="Times New Roman" w:eastAsia="宋体" w:cs="Times New Roman"/>
          <w:b/>
          <w:color w:val="auto"/>
        </w:rPr>
      </w:pPr>
      <w:r>
        <w:rPr>
          <w:rFonts w:hint="default" w:ascii="Times New Roman" w:hAnsi="Times New Roman" w:eastAsia="宋体" w:cs="Times New Roman"/>
          <w:b/>
          <w:color w:val="auto"/>
        </w:rPr>
        <w:t>（2）废水排放标准</w:t>
      </w:r>
    </w:p>
    <w:p>
      <w:pPr>
        <w:widowControl w:val="0"/>
        <w:tabs>
          <w:tab w:val="left" w:pos="6697"/>
        </w:tabs>
        <w:spacing w:line="480" w:lineRule="exact"/>
        <w:ind w:firstLine="480" w:firstLineChars="200"/>
        <w:jc w:val="both"/>
        <w:rPr>
          <w:rFonts w:hint="eastAsia" w:cs="Times New Roman"/>
          <w:color w:val="auto"/>
          <w:highlight w:val="none"/>
          <w:lang w:val="en-US" w:eastAsia="zh-CN"/>
        </w:rPr>
      </w:pPr>
      <w:bookmarkStart w:id="124" w:name="OLE_LINK19"/>
      <w:bookmarkStart w:id="125" w:name="OLE_LINK20"/>
      <w:r>
        <w:rPr>
          <w:rFonts w:hint="default" w:ascii="Times New Roman" w:hAnsi="Times New Roman" w:eastAsia="宋体" w:cs="Times New Roman"/>
          <w:color w:val="auto"/>
          <w:highlight w:val="none"/>
        </w:rPr>
        <w:t>本项目</w:t>
      </w:r>
      <w:r>
        <w:rPr>
          <w:rFonts w:hint="eastAsia" w:cs="Times New Roman"/>
          <w:color w:val="auto"/>
          <w:highlight w:val="none"/>
          <w:lang w:val="en-US" w:eastAsia="zh-CN"/>
        </w:rPr>
        <w:t>施工期废水主要为施工生活污水。</w:t>
      </w:r>
    </w:p>
    <w:p>
      <w:pPr>
        <w:widowControl w:val="0"/>
        <w:tabs>
          <w:tab w:val="left" w:pos="6697"/>
        </w:tabs>
        <w:spacing w:line="480" w:lineRule="exact"/>
        <w:ind w:firstLine="480" w:firstLineChars="200"/>
        <w:jc w:val="both"/>
        <w:rPr>
          <w:rFonts w:hint="eastAsia" w:cs="Times New Roman"/>
          <w:color w:val="auto"/>
          <w:highlight w:val="none"/>
          <w:lang w:val="en-US" w:eastAsia="zh-CN"/>
        </w:rPr>
      </w:pPr>
      <w:r>
        <w:rPr>
          <w:rFonts w:hint="eastAsia" w:cs="Times New Roman"/>
          <w:color w:val="auto"/>
          <w:highlight w:val="none"/>
          <w:lang w:val="en-US" w:eastAsia="zh-CN"/>
        </w:rPr>
        <w:t>项目部生活污水经市政管网接入</w:t>
      </w:r>
      <w:r>
        <w:rPr>
          <w:rFonts w:hint="eastAsia" w:cs="Times New Roman"/>
          <w:color w:val="auto"/>
          <w:lang w:val="en-US" w:eastAsia="zh-CN"/>
        </w:rPr>
        <w:t>金庭</w:t>
      </w:r>
      <w:r>
        <w:rPr>
          <w:rFonts w:hint="default" w:ascii="Times New Roman" w:hAnsi="Times New Roman" w:eastAsia="宋体" w:cs="Times New Roman"/>
          <w:color w:val="auto"/>
        </w:rPr>
        <w:t>污水处理厂集中处理，尾水执行《苏州特别排放限值标准》，</w:t>
      </w:r>
      <w:r>
        <w:rPr>
          <w:rFonts w:hint="eastAsia" w:cs="Times New Roman"/>
          <w:color w:val="auto"/>
          <w:lang w:val="en-US" w:eastAsia="zh-CN"/>
        </w:rPr>
        <w:t>排放至后堡江。</w:t>
      </w:r>
    </w:p>
    <w:p>
      <w:pPr>
        <w:widowControl w:val="0"/>
        <w:tabs>
          <w:tab w:val="left" w:pos="6697"/>
        </w:tabs>
        <w:spacing w:line="480" w:lineRule="exact"/>
        <w:ind w:firstLine="480" w:firstLineChars="200"/>
        <w:jc w:val="both"/>
        <w:rPr>
          <w:rFonts w:hint="default" w:ascii="Times New Roman" w:hAnsi="Times New Roman" w:eastAsia="宋体" w:cs="Times New Roman"/>
          <w:color w:val="auto"/>
        </w:rPr>
      </w:pPr>
      <w:r>
        <w:rPr>
          <w:rFonts w:hint="eastAsia" w:cs="Times New Roman"/>
          <w:color w:val="auto"/>
          <w:highlight w:val="none"/>
          <w:lang w:val="en-US" w:eastAsia="zh-CN"/>
        </w:rPr>
        <w:t>施工区域生活污水经市政管网接入</w:t>
      </w:r>
      <w:r>
        <w:rPr>
          <w:rFonts w:hint="eastAsia" w:cs="Times New Roman"/>
          <w:color w:val="auto"/>
          <w:lang w:val="en-US" w:eastAsia="zh-CN"/>
        </w:rPr>
        <w:t>科福</w:t>
      </w:r>
      <w:r>
        <w:rPr>
          <w:rFonts w:hint="default" w:ascii="Times New Roman" w:hAnsi="Times New Roman" w:eastAsia="宋体" w:cs="Times New Roman"/>
          <w:color w:val="auto"/>
        </w:rPr>
        <w:t>污水处理厂集中处理，尾水执行《苏州特别排放限值标准》，</w:t>
      </w:r>
      <w:r>
        <w:rPr>
          <w:rFonts w:hint="eastAsia" w:cs="Times New Roman"/>
          <w:color w:val="auto"/>
          <w:lang w:val="en-US" w:eastAsia="zh-CN"/>
        </w:rPr>
        <w:t>排放至浒光运河</w:t>
      </w:r>
      <w:r>
        <w:rPr>
          <w:rFonts w:hint="default" w:ascii="Times New Roman" w:hAnsi="Times New Roman" w:eastAsia="宋体" w:cs="Times New Roman"/>
          <w:color w:val="auto"/>
        </w:rPr>
        <w:t>。</w:t>
      </w:r>
    </w:p>
    <w:bookmarkEnd w:id="124"/>
    <w:bookmarkEnd w:id="125"/>
    <w:p>
      <w:pPr>
        <w:spacing w:line="480" w:lineRule="exact"/>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表2.2</w:t>
      </w:r>
      <w:r>
        <w:rPr>
          <w:rFonts w:hint="eastAsia" w:cs="Times New Roman"/>
          <w:b/>
          <w:color w:val="auto"/>
          <w:lang w:val="en-US" w:eastAsia="zh-CN"/>
        </w:rPr>
        <w:t>-8</w:t>
      </w:r>
      <w:r>
        <w:rPr>
          <w:rFonts w:hint="default" w:ascii="Times New Roman" w:hAnsi="Times New Roman" w:eastAsia="宋体" w:cs="Times New Roman"/>
          <w:b/>
          <w:color w:val="auto"/>
        </w:rPr>
        <w:t xml:space="preserve">  废污水排放标准限值表</w:t>
      </w:r>
    </w:p>
    <w:tbl>
      <w:tblPr>
        <w:tblStyle w:val="5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7"/>
        <w:gridCol w:w="2491"/>
        <w:gridCol w:w="1118"/>
        <w:gridCol w:w="1206"/>
        <w:gridCol w:w="960"/>
        <w:gridCol w:w="18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Align w:val="center"/>
          </w:tcPr>
          <w:p>
            <w:pPr>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排放口名</w:t>
            </w:r>
          </w:p>
        </w:tc>
        <w:tc>
          <w:tcPr>
            <w:tcW w:w="1406" w:type="pct"/>
            <w:vAlign w:val="center"/>
          </w:tcPr>
          <w:p>
            <w:pPr>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执行标准</w:t>
            </w:r>
          </w:p>
        </w:tc>
        <w:tc>
          <w:tcPr>
            <w:tcW w:w="631" w:type="pct"/>
            <w:vAlign w:val="center"/>
          </w:tcPr>
          <w:p>
            <w:pPr>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取值表号及级别</w:t>
            </w:r>
          </w:p>
        </w:tc>
        <w:tc>
          <w:tcPr>
            <w:tcW w:w="681" w:type="pct"/>
            <w:vAlign w:val="center"/>
          </w:tcPr>
          <w:p>
            <w:pPr>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污染物指标</w:t>
            </w:r>
          </w:p>
        </w:tc>
        <w:tc>
          <w:tcPr>
            <w:tcW w:w="542" w:type="pct"/>
            <w:tcBorders>
              <w:right w:val="single" w:color="auto" w:sz="2" w:space="0"/>
            </w:tcBorders>
            <w:vAlign w:val="center"/>
          </w:tcPr>
          <w:p>
            <w:pPr>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c>
          <w:tcPr>
            <w:tcW w:w="1033" w:type="pct"/>
            <w:tcBorders>
              <w:left w:val="single" w:color="auto" w:sz="2" w:space="0"/>
            </w:tcBorders>
            <w:vAlign w:val="center"/>
          </w:tcPr>
          <w:p>
            <w:pPr>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restart"/>
            <w:vAlign w:val="center"/>
          </w:tcPr>
          <w:p>
            <w:pPr>
              <w:spacing w:line="300" w:lineRule="exact"/>
              <w:jc w:val="center"/>
              <w:rPr>
                <w:rFonts w:hint="eastAsia" w:cs="Times New Roman"/>
                <w:color w:val="auto"/>
                <w:sz w:val="21"/>
                <w:szCs w:val="21"/>
                <w:lang w:val="en-US" w:eastAsia="zh-CN"/>
              </w:rPr>
            </w:pPr>
            <w:r>
              <w:rPr>
                <w:rFonts w:hint="eastAsia" w:cs="Times New Roman"/>
                <w:color w:val="auto"/>
                <w:sz w:val="21"/>
                <w:szCs w:val="21"/>
                <w:lang w:val="en-US" w:eastAsia="zh-CN"/>
              </w:rPr>
              <w:t>项目营地污水排口</w:t>
            </w:r>
          </w:p>
        </w:tc>
        <w:tc>
          <w:tcPr>
            <w:tcW w:w="1406" w:type="pct"/>
            <w:vMerge w:val="restart"/>
            <w:vAlign w:val="center"/>
          </w:tcPr>
          <w:p>
            <w:pPr>
              <w:spacing w:line="300" w:lineRule="exact"/>
              <w:jc w:val="center"/>
              <w:rPr>
                <w:rFonts w:hint="eastAsia" w:cs="Times New Roman"/>
                <w:color w:val="auto"/>
                <w:sz w:val="21"/>
                <w:szCs w:val="21"/>
                <w:lang w:val="en-US" w:eastAsia="zh-CN"/>
              </w:rPr>
            </w:pPr>
            <w:r>
              <w:rPr>
                <w:rFonts w:hint="eastAsia" w:cs="Times New Roman"/>
                <w:color w:val="auto"/>
                <w:sz w:val="21"/>
                <w:szCs w:val="21"/>
                <w:lang w:val="en-US" w:eastAsia="zh-CN"/>
              </w:rPr>
              <w:t>金庭</w:t>
            </w:r>
            <w:r>
              <w:rPr>
                <w:rFonts w:hint="default" w:ascii="Times New Roman" w:hAnsi="Times New Roman" w:eastAsia="宋体" w:cs="Times New Roman"/>
                <w:color w:val="auto"/>
                <w:sz w:val="21"/>
                <w:szCs w:val="21"/>
              </w:rPr>
              <w:t>污水处理厂污水接管标准</w:t>
            </w:r>
          </w:p>
        </w:tc>
        <w:tc>
          <w:tcPr>
            <w:tcW w:w="631" w:type="pct"/>
            <w:vMerge w:val="restart"/>
            <w:vAlign w:val="center"/>
          </w:tcPr>
          <w:p>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81" w:type="pct"/>
            <w:vAlign w:val="center"/>
          </w:tcPr>
          <w:p>
            <w:pPr>
              <w:spacing w:line="30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pH</w:t>
            </w:r>
          </w:p>
        </w:tc>
        <w:tc>
          <w:tcPr>
            <w:tcW w:w="542" w:type="pct"/>
            <w:tcBorders>
              <w:right w:val="single" w:color="auto" w:sz="2" w:space="0"/>
            </w:tcBorders>
            <w:vAlign w:val="center"/>
          </w:tcPr>
          <w:p>
            <w:pPr>
              <w:spacing w:line="30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w:t>
            </w:r>
          </w:p>
        </w:tc>
        <w:tc>
          <w:tcPr>
            <w:tcW w:w="1033" w:type="pct"/>
            <w:tcBorders>
              <w:left w:val="single" w:color="auto" w:sz="2" w:space="0"/>
            </w:tcBorders>
            <w:vAlign w:val="center"/>
          </w:tcPr>
          <w:p>
            <w:pPr>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pPr>
              <w:spacing w:line="300" w:lineRule="exact"/>
              <w:jc w:val="center"/>
              <w:rPr>
                <w:rFonts w:hint="eastAsia" w:cs="Times New Roman"/>
                <w:color w:val="auto"/>
                <w:sz w:val="21"/>
                <w:szCs w:val="21"/>
                <w:lang w:val="en-US" w:eastAsia="zh-CN"/>
              </w:rPr>
            </w:pPr>
          </w:p>
        </w:tc>
        <w:tc>
          <w:tcPr>
            <w:tcW w:w="1406" w:type="pct"/>
            <w:vMerge w:val="continue"/>
            <w:vAlign w:val="center"/>
          </w:tcPr>
          <w:p>
            <w:pPr>
              <w:spacing w:line="300" w:lineRule="exact"/>
              <w:jc w:val="center"/>
              <w:rPr>
                <w:rFonts w:hint="eastAsia" w:cs="Times New Roman"/>
                <w:color w:val="auto"/>
                <w:sz w:val="21"/>
                <w:szCs w:val="21"/>
                <w:lang w:val="en-US" w:eastAsia="zh-CN"/>
              </w:rPr>
            </w:pPr>
          </w:p>
        </w:tc>
        <w:tc>
          <w:tcPr>
            <w:tcW w:w="631" w:type="pct"/>
            <w:vMerge w:val="continue"/>
            <w:vAlign w:val="top"/>
          </w:tcPr>
          <w:p>
            <w:pPr>
              <w:spacing w:line="300" w:lineRule="exact"/>
              <w:jc w:val="left"/>
              <w:rPr>
                <w:rFonts w:hint="default" w:ascii="Times New Roman" w:hAnsi="Times New Roman" w:eastAsia="宋体" w:cs="Times New Roman"/>
                <w:color w:val="auto"/>
                <w:sz w:val="21"/>
                <w:szCs w:val="21"/>
              </w:rPr>
            </w:pPr>
          </w:p>
        </w:tc>
        <w:tc>
          <w:tcPr>
            <w:tcW w:w="681" w:type="pct"/>
            <w:vAlign w:val="center"/>
          </w:tcPr>
          <w:p>
            <w:pPr>
              <w:spacing w:line="30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COD</w:t>
            </w:r>
          </w:p>
        </w:tc>
        <w:tc>
          <w:tcPr>
            <w:tcW w:w="542" w:type="pct"/>
            <w:vMerge w:val="restart"/>
            <w:tcBorders>
              <w:right w:val="single" w:color="auto" w:sz="2" w:space="0"/>
            </w:tcBorders>
            <w:vAlign w:val="center"/>
          </w:tcPr>
          <w:p>
            <w:pPr>
              <w:spacing w:line="30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mg/L</w:t>
            </w:r>
          </w:p>
        </w:tc>
        <w:tc>
          <w:tcPr>
            <w:tcW w:w="1033" w:type="pct"/>
            <w:tcBorders>
              <w:left w:val="single" w:color="auto" w:sz="2" w:space="0"/>
            </w:tcBorders>
            <w:vAlign w:val="center"/>
          </w:tcPr>
          <w:p>
            <w:pPr>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pPr>
              <w:spacing w:line="300" w:lineRule="exact"/>
              <w:jc w:val="center"/>
              <w:rPr>
                <w:rFonts w:hint="eastAsia" w:cs="Times New Roman"/>
                <w:color w:val="auto"/>
                <w:sz w:val="21"/>
                <w:szCs w:val="21"/>
                <w:lang w:val="en-US" w:eastAsia="zh-CN"/>
              </w:rPr>
            </w:pPr>
          </w:p>
        </w:tc>
        <w:tc>
          <w:tcPr>
            <w:tcW w:w="1406" w:type="pct"/>
            <w:vMerge w:val="continue"/>
            <w:vAlign w:val="center"/>
          </w:tcPr>
          <w:p>
            <w:pPr>
              <w:spacing w:line="300" w:lineRule="exact"/>
              <w:jc w:val="center"/>
              <w:rPr>
                <w:rFonts w:hint="eastAsia" w:cs="Times New Roman"/>
                <w:color w:val="auto"/>
                <w:sz w:val="21"/>
                <w:szCs w:val="21"/>
                <w:lang w:val="en-US" w:eastAsia="zh-CN"/>
              </w:rPr>
            </w:pPr>
          </w:p>
        </w:tc>
        <w:tc>
          <w:tcPr>
            <w:tcW w:w="631" w:type="pct"/>
            <w:vMerge w:val="continue"/>
            <w:vAlign w:val="top"/>
          </w:tcPr>
          <w:p>
            <w:pPr>
              <w:spacing w:line="300" w:lineRule="exact"/>
              <w:jc w:val="left"/>
              <w:rPr>
                <w:rFonts w:hint="default" w:ascii="Times New Roman" w:hAnsi="Times New Roman" w:eastAsia="宋体" w:cs="Times New Roman"/>
                <w:color w:val="auto"/>
                <w:sz w:val="21"/>
                <w:szCs w:val="21"/>
              </w:rPr>
            </w:pPr>
          </w:p>
        </w:tc>
        <w:tc>
          <w:tcPr>
            <w:tcW w:w="681" w:type="pct"/>
            <w:vAlign w:val="center"/>
          </w:tcPr>
          <w:p>
            <w:pPr>
              <w:spacing w:line="30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SS</w:t>
            </w:r>
          </w:p>
        </w:tc>
        <w:tc>
          <w:tcPr>
            <w:tcW w:w="542" w:type="pct"/>
            <w:vMerge w:val="continue"/>
            <w:tcBorders>
              <w:right w:val="single" w:color="auto" w:sz="2" w:space="0"/>
            </w:tcBorders>
            <w:vAlign w:val="center"/>
          </w:tcPr>
          <w:p>
            <w:pPr>
              <w:spacing w:line="300" w:lineRule="exact"/>
              <w:jc w:val="center"/>
              <w:rPr>
                <w:rFonts w:hint="default" w:ascii="Times New Roman" w:hAnsi="Times New Roman" w:eastAsia="宋体" w:cs="Times New Roman"/>
                <w:color w:val="auto"/>
                <w:sz w:val="21"/>
                <w:szCs w:val="21"/>
              </w:rPr>
            </w:pPr>
          </w:p>
        </w:tc>
        <w:tc>
          <w:tcPr>
            <w:tcW w:w="1033" w:type="pct"/>
            <w:tcBorders>
              <w:left w:val="single" w:color="auto" w:sz="2" w:space="0"/>
            </w:tcBorders>
            <w:vAlign w:val="center"/>
          </w:tcPr>
          <w:p>
            <w:pPr>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pPr>
              <w:spacing w:line="300" w:lineRule="exact"/>
              <w:jc w:val="center"/>
              <w:rPr>
                <w:rFonts w:hint="eastAsia" w:cs="Times New Roman"/>
                <w:color w:val="auto"/>
                <w:sz w:val="21"/>
                <w:szCs w:val="21"/>
                <w:lang w:val="en-US" w:eastAsia="zh-CN"/>
              </w:rPr>
            </w:pPr>
          </w:p>
        </w:tc>
        <w:tc>
          <w:tcPr>
            <w:tcW w:w="1406" w:type="pct"/>
            <w:vMerge w:val="continue"/>
            <w:vAlign w:val="center"/>
          </w:tcPr>
          <w:p>
            <w:pPr>
              <w:spacing w:line="300" w:lineRule="exact"/>
              <w:jc w:val="center"/>
              <w:rPr>
                <w:rFonts w:hint="eastAsia" w:cs="Times New Roman"/>
                <w:color w:val="auto"/>
                <w:sz w:val="21"/>
                <w:szCs w:val="21"/>
                <w:lang w:val="en-US" w:eastAsia="zh-CN"/>
              </w:rPr>
            </w:pPr>
          </w:p>
        </w:tc>
        <w:tc>
          <w:tcPr>
            <w:tcW w:w="631" w:type="pct"/>
            <w:vMerge w:val="continue"/>
            <w:vAlign w:val="top"/>
          </w:tcPr>
          <w:p>
            <w:pPr>
              <w:spacing w:line="300" w:lineRule="exact"/>
              <w:jc w:val="left"/>
              <w:rPr>
                <w:rFonts w:hint="default" w:ascii="Times New Roman" w:hAnsi="Times New Roman" w:eastAsia="宋体" w:cs="Times New Roman"/>
                <w:color w:val="auto"/>
                <w:sz w:val="21"/>
                <w:szCs w:val="21"/>
              </w:rPr>
            </w:pPr>
          </w:p>
        </w:tc>
        <w:tc>
          <w:tcPr>
            <w:tcW w:w="681" w:type="pct"/>
            <w:vAlign w:val="center"/>
          </w:tcPr>
          <w:p>
            <w:pPr>
              <w:spacing w:line="30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氨氮</w:t>
            </w:r>
          </w:p>
        </w:tc>
        <w:tc>
          <w:tcPr>
            <w:tcW w:w="542" w:type="pct"/>
            <w:vMerge w:val="continue"/>
            <w:tcBorders>
              <w:right w:val="single" w:color="auto" w:sz="2" w:space="0"/>
            </w:tcBorders>
            <w:vAlign w:val="center"/>
          </w:tcPr>
          <w:p>
            <w:pPr>
              <w:spacing w:line="300" w:lineRule="exact"/>
              <w:jc w:val="center"/>
              <w:rPr>
                <w:rFonts w:hint="default" w:ascii="Times New Roman" w:hAnsi="Times New Roman" w:eastAsia="宋体" w:cs="Times New Roman"/>
                <w:color w:val="auto"/>
                <w:sz w:val="21"/>
                <w:szCs w:val="21"/>
              </w:rPr>
            </w:pPr>
          </w:p>
        </w:tc>
        <w:tc>
          <w:tcPr>
            <w:tcW w:w="1033" w:type="pct"/>
            <w:tcBorders>
              <w:left w:val="single" w:color="auto" w:sz="2" w:space="0"/>
            </w:tcBorders>
            <w:vAlign w:val="center"/>
          </w:tcPr>
          <w:p>
            <w:pPr>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pPr>
              <w:spacing w:line="300" w:lineRule="exact"/>
              <w:jc w:val="center"/>
              <w:rPr>
                <w:rFonts w:hint="eastAsia" w:cs="Times New Roman"/>
                <w:color w:val="auto"/>
                <w:sz w:val="21"/>
                <w:szCs w:val="21"/>
                <w:lang w:val="en-US" w:eastAsia="zh-CN"/>
              </w:rPr>
            </w:pPr>
          </w:p>
        </w:tc>
        <w:tc>
          <w:tcPr>
            <w:tcW w:w="1406" w:type="pct"/>
            <w:vMerge w:val="continue"/>
            <w:vAlign w:val="center"/>
          </w:tcPr>
          <w:p>
            <w:pPr>
              <w:spacing w:line="300" w:lineRule="exact"/>
              <w:jc w:val="center"/>
              <w:rPr>
                <w:rFonts w:hint="eastAsia" w:cs="Times New Roman"/>
                <w:color w:val="auto"/>
                <w:sz w:val="21"/>
                <w:szCs w:val="21"/>
                <w:lang w:val="en-US" w:eastAsia="zh-CN"/>
              </w:rPr>
            </w:pPr>
          </w:p>
        </w:tc>
        <w:tc>
          <w:tcPr>
            <w:tcW w:w="631" w:type="pct"/>
            <w:vMerge w:val="continue"/>
            <w:vAlign w:val="top"/>
          </w:tcPr>
          <w:p>
            <w:pPr>
              <w:spacing w:line="300" w:lineRule="exact"/>
              <w:jc w:val="left"/>
              <w:rPr>
                <w:rFonts w:hint="default" w:ascii="Times New Roman" w:hAnsi="Times New Roman" w:eastAsia="宋体" w:cs="Times New Roman"/>
                <w:color w:val="auto"/>
                <w:sz w:val="21"/>
                <w:szCs w:val="21"/>
              </w:rPr>
            </w:pPr>
          </w:p>
        </w:tc>
        <w:tc>
          <w:tcPr>
            <w:tcW w:w="681" w:type="pct"/>
            <w:vAlign w:val="center"/>
          </w:tcPr>
          <w:p>
            <w:pPr>
              <w:spacing w:line="32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TN</w:t>
            </w:r>
          </w:p>
        </w:tc>
        <w:tc>
          <w:tcPr>
            <w:tcW w:w="542" w:type="pct"/>
            <w:vMerge w:val="continue"/>
            <w:tcBorders>
              <w:right w:val="single" w:color="auto" w:sz="2" w:space="0"/>
            </w:tcBorders>
            <w:vAlign w:val="center"/>
          </w:tcPr>
          <w:p>
            <w:pPr>
              <w:spacing w:line="300" w:lineRule="exact"/>
              <w:jc w:val="center"/>
              <w:rPr>
                <w:rFonts w:hint="default" w:ascii="Times New Roman" w:hAnsi="Times New Roman" w:eastAsia="宋体" w:cs="Times New Roman"/>
                <w:color w:val="auto"/>
                <w:sz w:val="21"/>
                <w:szCs w:val="21"/>
              </w:rPr>
            </w:pPr>
          </w:p>
        </w:tc>
        <w:tc>
          <w:tcPr>
            <w:tcW w:w="1033" w:type="pct"/>
            <w:tcBorders>
              <w:left w:val="single" w:color="auto" w:sz="2" w:space="0"/>
            </w:tcBorders>
            <w:vAlign w:val="center"/>
          </w:tcPr>
          <w:p>
            <w:pPr>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pPr>
              <w:spacing w:line="300" w:lineRule="exact"/>
              <w:jc w:val="center"/>
              <w:rPr>
                <w:rFonts w:hint="eastAsia" w:cs="Times New Roman"/>
                <w:color w:val="auto"/>
                <w:sz w:val="21"/>
                <w:szCs w:val="21"/>
                <w:lang w:val="en-US" w:eastAsia="zh-CN"/>
              </w:rPr>
            </w:pPr>
          </w:p>
        </w:tc>
        <w:tc>
          <w:tcPr>
            <w:tcW w:w="1406" w:type="pct"/>
            <w:vMerge w:val="continue"/>
            <w:vAlign w:val="center"/>
          </w:tcPr>
          <w:p>
            <w:pPr>
              <w:spacing w:line="300" w:lineRule="exact"/>
              <w:jc w:val="center"/>
              <w:rPr>
                <w:rFonts w:hint="eastAsia" w:cs="Times New Roman"/>
                <w:color w:val="auto"/>
                <w:sz w:val="21"/>
                <w:szCs w:val="21"/>
                <w:lang w:val="en-US" w:eastAsia="zh-CN"/>
              </w:rPr>
            </w:pPr>
          </w:p>
        </w:tc>
        <w:tc>
          <w:tcPr>
            <w:tcW w:w="631" w:type="pct"/>
            <w:vMerge w:val="continue"/>
            <w:vAlign w:val="top"/>
          </w:tcPr>
          <w:p>
            <w:pPr>
              <w:spacing w:line="300" w:lineRule="exact"/>
              <w:jc w:val="left"/>
              <w:rPr>
                <w:rFonts w:hint="default" w:ascii="Times New Roman" w:hAnsi="Times New Roman" w:eastAsia="宋体" w:cs="Times New Roman"/>
                <w:color w:val="auto"/>
                <w:sz w:val="21"/>
                <w:szCs w:val="21"/>
              </w:rPr>
            </w:pPr>
          </w:p>
        </w:tc>
        <w:tc>
          <w:tcPr>
            <w:tcW w:w="681" w:type="pct"/>
            <w:vAlign w:val="center"/>
          </w:tcPr>
          <w:p>
            <w:pPr>
              <w:spacing w:line="32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TP</w:t>
            </w:r>
          </w:p>
        </w:tc>
        <w:tc>
          <w:tcPr>
            <w:tcW w:w="542" w:type="pct"/>
            <w:vMerge w:val="continue"/>
            <w:tcBorders>
              <w:right w:val="single" w:color="auto" w:sz="2" w:space="0"/>
            </w:tcBorders>
            <w:vAlign w:val="center"/>
          </w:tcPr>
          <w:p>
            <w:pPr>
              <w:spacing w:line="300" w:lineRule="exact"/>
              <w:jc w:val="center"/>
              <w:rPr>
                <w:rFonts w:hint="default" w:ascii="Times New Roman" w:hAnsi="Times New Roman" w:eastAsia="宋体" w:cs="Times New Roman"/>
                <w:color w:val="auto"/>
                <w:sz w:val="21"/>
                <w:szCs w:val="21"/>
              </w:rPr>
            </w:pPr>
          </w:p>
        </w:tc>
        <w:tc>
          <w:tcPr>
            <w:tcW w:w="1033" w:type="pct"/>
            <w:tcBorders>
              <w:left w:val="single" w:color="auto" w:sz="2" w:space="0"/>
            </w:tcBorders>
            <w:vAlign w:val="center"/>
          </w:tcPr>
          <w:p>
            <w:pPr>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restart"/>
            <w:vAlign w:val="center"/>
          </w:tcPr>
          <w:p>
            <w:pPr>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施工区域污水排口</w:t>
            </w:r>
          </w:p>
        </w:tc>
        <w:tc>
          <w:tcPr>
            <w:tcW w:w="1406" w:type="pct"/>
            <w:vMerge w:val="restart"/>
            <w:vAlign w:val="center"/>
          </w:tcPr>
          <w:p>
            <w:pPr>
              <w:spacing w:line="300" w:lineRule="exact"/>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科福</w:t>
            </w:r>
            <w:r>
              <w:rPr>
                <w:rFonts w:hint="default" w:ascii="Times New Roman" w:hAnsi="Times New Roman" w:eastAsia="宋体" w:cs="Times New Roman"/>
                <w:color w:val="auto"/>
                <w:sz w:val="21"/>
                <w:szCs w:val="21"/>
              </w:rPr>
              <w:t>污水处理厂污水接管标准</w:t>
            </w:r>
          </w:p>
        </w:tc>
        <w:tc>
          <w:tcPr>
            <w:tcW w:w="631" w:type="pct"/>
            <w:vMerge w:val="restart"/>
            <w:vAlign w:val="center"/>
          </w:tcPr>
          <w:p>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81" w:type="pct"/>
            <w:vAlign w:val="center"/>
          </w:tcPr>
          <w:p>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542" w:type="pct"/>
            <w:tcBorders>
              <w:right w:val="single" w:color="auto" w:sz="2" w:space="0"/>
            </w:tcBorders>
            <w:vAlign w:val="center"/>
          </w:tcPr>
          <w:p>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33" w:type="pct"/>
            <w:tcBorders>
              <w:left w:val="single" w:color="auto" w:sz="2" w:space="0"/>
            </w:tcBorders>
            <w:vAlign w:val="center"/>
          </w:tcPr>
          <w:p>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pPr>
              <w:spacing w:line="300" w:lineRule="exact"/>
              <w:jc w:val="center"/>
              <w:rPr>
                <w:rFonts w:hint="default" w:ascii="Times New Roman" w:hAnsi="Times New Roman" w:eastAsia="宋体" w:cs="Times New Roman"/>
                <w:color w:val="auto"/>
                <w:sz w:val="21"/>
                <w:szCs w:val="21"/>
              </w:rPr>
            </w:pPr>
          </w:p>
        </w:tc>
        <w:tc>
          <w:tcPr>
            <w:tcW w:w="1406" w:type="pct"/>
            <w:vMerge w:val="continue"/>
            <w:vAlign w:val="center"/>
          </w:tcPr>
          <w:p>
            <w:pPr>
              <w:spacing w:line="300" w:lineRule="exact"/>
              <w:jc w:val="center"/>
              <w:rPr>
                <w:rFonts w:hint="default" w:ascii="Times New Roman" w:hAnsi="Times New Roman" w:eastAsia="宋体" w:cs="Times New Roman"/>
                <w:color w:val="auto"/>
                <w:sz w:val="21"/>
                <w:szCs w:val="21"/>
              </w:rPr>
            </w:pPr>
          </w:p>
        </w:tc>
        <w:tc>
          <w:tcPr>
            <w:tcW w:w="631" w:type="pct"/>
            <w:vMerge w:val="continue"/>
            <w:vAlign w:val="center"/>
          </w:tcPr>
          <w:p>
            <w:pPr>
              <w:spacing w:line="300" w:lineRule="exact"/>
              <w:jc w:val="center"/>
              <w:rPr>
                <w:rFonts w:hint="default" w:ascii="Times New Roman" w:hAnsi="Times New Roman" w:eastAsia="宋体" w:cs="Times New Roman"/>
                <w:color w:val="auto"/>
                <w:sz w:val="21"/>
                <w:szCs w:val="21"/>
              </w:rPr>
            </w:pPr>
          </w:p>
        </w:tc>
        <w:tc>
          <w:tcPr>
            <w:tcW w:w="681" w:type="pct"/>
            <w:vAlign w:val="center"/>
          </w:tcPr>
          <w:p>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542" w:type="pct"/>
            <w:vMerge w:val="restart"/>
            <w:tcBorders>
              <w:right w:val="single" w:color="auto" w:sz="2" w:space="0"/>
            </w:tcBorders>
            <w:vAlign w:val="center"/>
          </w:tcPr>
          <w:p>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033" w:type="pct"/>
            <w:tcBorders>
              <w:left w:val="single" w:color="auto" w:sz="2" w:space="0"/>
            </w:tcBorders>
            <w:vAlign w:val="center"/>
          </w:tcPr>
          <w:p>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pPr>
              <w:spacing w:line="300" w:lineRule="exact"/>
              <w:jc w:val="center"/>
              <w:rPr>
                <w:rFonts w:hint="default" w:ascii="Times New Roman" w:hAnsi="Times New Roman" w:eastAsia="宋体" w:cs="Times New Roman"/>
                <w:color w:val="auto"/>
                <w:sz w:val="21"/>
                <w:szCs w:val="21"/>
              </w:rPr>
            </w:pPr>
          </w:p>
        </w:tc>
        <w:tc>
          <w:tcPr>
            <w:tcW w:w="1406" w:type="pct"/>
            <w:vMerge w:val="continue"/>
            <w:vAlign w:val="center"/>
          </w:tcPr>
          <w:p>
            <w:pPr>
              <w:spacing w:line="300" w:lineRule="exact"/>
              <w:jc w:val="center"/>
              <w:rPr>
                <w:rFonts w:hint="default" w:ascii="Times New Roman" w:hAnsi="Times New Roman" w:eastAsia="宋体" w:cs="Times New Roman"/>
                <w:color w:val="auto"/>
                <w:sz w:val="21"/>
                <w:szCs w:val="21"/>
              </w:rPr>
            </w:pPr>
          </w:p>
        </w:tc>
        <w:tc>
          <w:tcPr>
            <w:tcW w:w="631" w:type="pct"/>
            <w:vMerge w:val="continue"/>
            <w:vAlign w:val="center"/>
          </w:tcPr>
          <w:p>
            <w:pPr>
              <w:spacing w:line="300" w:lineRule="exact"/>
              <w:jc w:val="center"/>
              <w:rPr>
                <w:rFonts w:hint="default" w:ascii="Times New Roman" w:hAnsi="Times New Roman" w:eastAsia="宋体" w:cs="Times New Roman"/>
                <w:color w:val="auto"/>
                <w:sz w:val="21"/>
                <w:szCs w:val="21"/>
              </w:rPr>
            </w:pPr>
          </w:p>
        </w:tc>
        <w:tc>
          <w:tcPr>
            <w:tcW w:w="681" w:type="pct"/>
            <w:vAlign w:val="center"/>
          </w:tcPr>
          <w:p>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542" w:type="pct"/>
            <w:vMerge w:val="continue"/>
            <w:tcBorders>
              <w:right w:val="single" w:color="auto" w:sz="2" w:space="0"/>
            </w:tcBorders>
            <w:vAlign w:val="center"/>
          </w:tcPr>
          <w:p>
            <w:pPr>
              <w:spacing w:line="300" w:lineRule="exact"/>
              <w:jc w:val="center"/>
              <w:rPr>
                <w:rFonts w:hint="default" w:ascii="Times New Roman" w:hAnsi="Times New Roman" w:eastAsia="宋体" w:cs="Times New Roman"/>
                <w:color w:val="auto"/>
                <w:sz w:val="21"/>
                <w:szCs w:val="21"/>
              </w:rPr>
            </w:pPr>
          </w:p>
        </w:tc>
        <w:tc>
          <w:tcPr>
            <w:tcW w:w="1033" w:type="pct"/>
            <w:tcBorders>
              <w:left w:val="single" w:color="auto" w:sz="2" w:space="0"/>
            </w:tcBorders>
            <w:vAlign w:val="center"/>
          </w:tcPr>
          <w:p>
            <w:pPr>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pPr>
              <w:spacing w:line="300" w:lineRule="exact"/>
              <w:jc w:val="center"/>
              <w:rPr>
                <w:rFonts w:hint="default" w:ascii="Times New Roman" w:hAnsi="Times New Roman" w:eastAsia="宋体" w:cs="Times New Roman"/>
                <w:color w:val="auto"/>
                <w:sz w:val="21"/>
                <w:szCs w:val="21"/>
              </w:rPr>
            </w:pPr>
          </w:p>
        </w:tc>
        <w:tc>
          <w:tcPr>
            <w:tcW w:w="1406" w:type="pct"/>
            <w:vMerge w:val="continue"/>
            <w:vAlign w:val="center"/>
          </w:tcPr>
          <w:p>
            <w:pPr>
              <w:spacing w:line="300" w:lineRule="exact"/>
              <w:jc w:val="center"/>
              <w:rPr>
                <w:rFonts w:hint="default" w:ascii="Times New Roman" w:hAnsi="Times New Roman" w:eastAsia="宋体" w:cs="Times New Roman"/>
                <w:color w:val="auto"/>
                <w:sz w:val="21"/>
                <w:szCs w:val="21"/>
              </w:rPr>
            </w:pPr>
          </w:p>
        </w:tc>
        <w:tc>
          <w:tcPr>
            <w:tcW w:w="631" w:type="pct"/>
            <w:vMerge w:val="continue"/>
            <w:vAlign w:val="center"/>
          </w:tcPr>
          <w:p>
            <w:pPr>
              <w:spacing w:line="300" w:lineRule="exact"/>
              <w:jc w:val="center"/>
              <w:rPr>
                <w:rFonts w:hint="default" w:ascii="Times New Roman" w:hAnsi="Times New Roman" w:eastAsia="宋体" w:cs="Times New Roman"/>
                <w:color w:val="auto"/>
                <w:sz w:val="21"/>
                <w:szCs w:val="21"/>
              </w:rPr>
            </w:pPr>
          </w:p>
        </w:tc>
        <w:tc>
          <w:tcPr>
            <w:tcW w:w="681" w:type="pct"/>
            <w:vAlign w:val="center"/>
          </w:tcPr>
          <w:p>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542" w:type="pct"/>
            <w:vMerge w:val="continue"/>
            <w:tcBorders>
              <w:right w:val="single" w:color="auto" w:sz="2" w:space="0"/>
            </w:tcBorders>
            <w:vAlign w:val="center"/>
          </w:tcPr>
          <w:p>
            <w:pPr>
              <w:spacing w:line="300" w:lineRule="exact"/>
              <w:jc w:val="center"/>
              <w:rPr>
                <w:rFonts w:hint="default" w:ascii="Times New Roman" w:hAnsi="Times New Roman" w:eastAsia="宋体" w:cs="Times New Roman"/>
                <w:color w:val="auto"/>
                <w:sz w:val="21"/>
                <w:szCs w:val="21"/>
              </w:rPr>
            </w:pPr>
          </w:p>
        </w:tc>
        <w:tc>
          <w:tcPr>
            <w:tcW w:w="1033" w:type="pct"/>
            <w:tcBorders>
              <w:left w:val="single" w:color="auto" w:sz="2" w:space="0"/>
            </w:tcBorders>
            <w:vAlign w:val="center"/>
          </w:tcPr>
          <w:p>
            <w:pPr>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pPr>
              <w:spacing w:line="300" w:lineRule="exact"/>
              <w:jc w:val="center"/>
              <w:rPr>
                <w:rFonts w:hint="default" w:ascii="Times New Roman" w:hAnsi="Times New Roman" w:eastAsia="宋体" w:cs="Times New Roman"/>
                <w:color w:val="auto"/>
                <w:sz w:val="21"/>
                <w:szCs w:val="21"/>
              </w:rPr>
            </w:pPr>
          </w:p>
        </w:tc>
        <w:tc>
          <w:tcPr>
            <w:tcW w:w="1406" w:type="pct"/>
            <w:vMerge w:val="continue"/>
            <w:vAlign w:val="center"/>
          </w:tcPr>
          <w:p>
            <w:pPr>
              <w:spacing w:line="300" w:lineRule="exact"/>
              <w:jc w:val="center"/>
              <w:rPr>
                <w:rFonts w:hint="default" w:ascii="Times New Roman" w:hAnsi="Times New Roman" w:eastAsia="宋体" w:cs="Times New Roman"/>
                <w:color w:val="auto"/>
                <w:sz w:val="21"/>
                <w:szCs w:val="21"/>
              </w:rPr>
            </w:pPr>
          </w:p>
        </w:tc>
        <w:tc>
          <w:tcPr>
            <w:tcW w:w="631" w:type="pct"/>
            <w:vMerge w:val="continue"/>
            <w:vAlign w:val="center"/>
          </w:tcPr>
          <w:p>
            <w:pPr>
              <w:spacing w:line="300" w:lineRule="exact"/>
              <w:jc w:val="center"/>
              <w:rPr>
                <w:rFonts w:hint="default" w:ascii="Times New Roman" w:hAnsi="Times New Roman" w:eastAsia="宋体" w:cs="Times New Roman"/>
                <w:color w:val="auto"/>
                <w:sz w:val="21"/>
                <w:szCs w:val="21"/>
              </w:rPr>
            </w:pPr>
          </w:p>
        </w:tc>
        <w:tc>
          <w:tcPr>
            <w:tcW w:w="681" w:type="pct"/>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TN</w:t>
            </w:r>
          </w:p>
        </w:tc>
        <w:tc>
          <w:tcPr>
            <w:tcW w:w="542" w:type="pct"/>
            <w:vMerge w:val="continue"/>
            <w:tcBorders>
              <w:right w:val="single" w:color="auto" w:sz="2" w:space="0"/>
            </w:tcBorders>
            <w:vAlign w:val="center"/>
          </w:tcPr>
          <w:p>
            <w:pPr>
              <w:spacing w:line="300" w:lineRule="exact"/>
              <w:jc w:val="center"/>
              <w:rPr>
                <w:rFonts w:hint="default" w:ascii="Times New Roman" w:hAnsi="Times New Roman" w:eastAsia="宋体" w:cs="Times New Roman"/>
                <w:color w:val="auto"/>
                <w:sz w:val="21"/>
                <w:szCs w:val="21"/>
              </w:rPr>
            </w:pPr>
          </w:p>
        </w:tc>
        <w:tc>
          <w:tcPr>
            <w:tcW w:w="1033" w:type="pct"/>
            <w:tcBorders>
              <w:left w:val="single" w:color="auto" w:sz="2" w:space="0"/>
            </w:tcBorders>
            <w:vAlign w:val="center"/>
          </w:tcPr>
          <w:p>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pPr>
              <w:spacing w:line="300" w:lineRule="exact"/>
              <w:jc w:val="center"/>
              <w:rPr>
                <w:rFonts w:hint="default" w:ascii="Times New Roman" w:hAnsi="Times New Roman" w:eastAsia="宋体" w:cs="Times New Roman"/>
                <w:color w:val="auto"/>
                <w:sz w:val="21"/>
                <w:szCs w:val="21"/>
              </w:rPr>
            </w:pPr>
          </w:p>
        </w:tc>
        <w:tc>
          <w:tcPr>
            <w:tcW w:w="1406" w:type="pct"/>
            <w:vMerge w:val="continue"/>
            <w:vAlign w:val="center"/>
          </w:tcPr>
          <w:p>
            <w:pPr>
              <w:spacing w:line="300" w:lineRule="exact"/>
              <w:jc w:val="center"/>
              <w:rPr>
                <w:rFonts w:hint="default" w:ascii="Times New Roman" w:hAnsi="Times New Roman" w:eastAsia="宋体" w:cs="Times New Roman"/>
                <w:color w:val="auto"/>
                <w:sz w:val="21"/>
                <w:szCs w:val="21"/>
              </w:rPr>
            </w:pPr>
          </w:p>
        </w:tc>
        <w:tc>
          <w:tcPr>
            <w:tcW w:w="631" w:type="pct"/>
            <w:vMerge w:val="continue"/>
            <w:vAlign w:val="center"/>
          </w:tcPr>
          <w:p>
            <w:pPr>
              <w:spacing w:line="300" w:lineRule="exact"/>
              <w:jc w:val="center"/>
              <w:rPr>
                <w:rFonts w:hint="default" w:ascii="Times New Roman" w:hAnsi="Times New Roman" w:eastAsia="宋体" w:cs="Times New Roman"/>
                <w:color w:val="auto"/>
                <w:sz w:val="21"/>
                <w:szCs w:val="21"/>
              </w:rPr>
            </w:pPr>
          </w:p>
        </w:tc>
        <w:tc>
          <w:tcPr>
            <w:tcW w:w="681" w:type="pct"/>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w:t>
            </w:r>
          </w:p>
        </w:tc>
        <w:tc>
          <w:tcPr>
            <w:tcW w:w="542" w:type="pct"/>
            <w:vMerge w:val="continue"/>
            <w:tcBorders>
              <w:right w:val="single" w:color="auto" w:sz="2" w:space="0"/>
            </w:tcBorders>
            <w:vAlign w:val="center"/>
          </w:tcPr>
          <w:p>
            <w:pPr>
              <w:spacing w:line="300" w:lineRule="exact"/>
              <w:jc w:val="center"/>
              <w:rPr>
                <w:rFonts w:hint="default" w:ascii="Times New Roman" w:hAnsi="Times New Roman" w:eastAsia="宋体" w:cs="Times New Roman"/>
                <w:color w:val="auto"/>
                <w:sz w:val="21"/>
                <w:szCs w:val="21"/>
              </w:rPr>
            </w:pPr>
          </w:p>
        </w:tc>
        <w:tc>
          <w:tcPr>
            <w:tcW w:w="1033" w:type="pct"/>
            <w:tcBorders>
              <w:left w:val="single" w:color="auto" w:sz="2" w:space="0"/>
            </w:tcBorders>
            <w:vAlign w:val="center"/>
          </w:tcPr>
          <w:p>
            <w:pPr>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restart"/>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污水处理厂排口</w:t>
            </w:r>
          </w:p>
        </w:tc>
        <w:tc>
          <w:tcPr>
            <w:tcW w:w="1406" w:type="pct"/>
            <w:vMerge w:val="restart"/>
            <w:vAlign w:val="center"/>
          </w:tcPr>
          <w:p>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《苏州特别排放限值标准》</w:t>
            </w:r>
          </w:p>
        </w:tc>
        <w:tc>
          <w:tcPr>
            <w:tcW w:w="631" w:type="pct"/>
            <w:vMerge w:val="restart"/>
            <w:vAlign w:val="center"/>
          </w:tcPr>
          <w:p>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表1B级</w:t>
            </w:r>
          </w:p>
        </w:tc>
        <w:tc>
          <w:tcPr>
            <w:tcW w:w="681" w:type="pct"/>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542" w:type="pct"/>
            <w:vMerge w:val="restart"/>
            <w:tcBorders>
              <w:right w:val="single" w:color="auto" w:sz="2" w:space="0"/>
            </w:tcBorders>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033" w:type="pct"/>
            <w:tcBorders>
              <w:left w:val="single" w:color="auto" w:sz="2" w:space="0"/>
            </w:tcBorders>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pPr>
              <w:spacing w:line="320" w:lineRule="exact"/>
              <w:jc w:val="center"/>
              <w:rPr>
                <w:rFonts w:hint="default" w:ascii="Times New Roman" w:hAnsi="Times New Roman" w:eastAsia="宋体" w:cs="Times New Roman"/>
                <w:color w:val="auto"/>
                <w:sz w:val="21"/>
                <w:szCs w:val="21"/>
              </w:rPr>
            </w:pPr>
          </w:p>
        </w:tc>
        <w:tc>
          <w:tcPr>
            <w:tcW w:w="1406" w:type="pct"/>
            <w:vMerge w:val="continue"/>
            <w:vAlign w:val="center"/>
          </w:tcPr>
          <w:p>
            <w:pPr>
              <w:spacing w:line="320" w:lineRule="exact"/>
              <w:jc w:val="center"/>
              <w:rPr>
                <w:rFonts w:hint="default" w:ascii="Times New Roman" w:hAnsi="Times New Roman" w:eastAsia="宋体" w:cs="Times New Roman"/>
                <w:color w:val="auto"/>
                <w:sz w:val="21"/>
                <w:szCs w:val="21"/>
              </w:rPr>
            </w:pPr>
          </w:p>
        </w:tc>
        <w:tc>
          <w:tcPr>
            <w:tcW w:w="631" w:type="pct"/>
            <w:vMerge w:val="continue"/>
            <w:vAlign w:val="center"/>
          </w:tcPr>
          <w:p>
            <w:pPr>
              <w:spacing w:line="320" w:lineRule="exact"/>
              <w:jc w:val="center"/>
              <w:rPr>
                <w:rFonts w:hint="default" w:ascii="Times New Roman" w:hAnsi="Times New Roman" w:eastAsia="宋体" w:cs="Times New Roman"/>
                <w:color w:val="auto"/>
                <w:sz w:val="21"/>
                <w:szCs w:val="21"/>
              </w:rPr>
            </w:pPr>
          </w:p>
        </w:tc>
        <w:tc>
          <w:tcPr>
            <w:tcW w:w="681" w:type="pct"/>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542" w:type="pct"/>
            <w:vMerge w:val="continue"/>
            <w:tcBorders>
              <w:right w:val="single" w:color="auto" w:sz="2" w:space="0"/>
            </w:tcBorders>
            <w:vAlign w:val="center"/>
          </w:tcPr>
          <w:p>
            <w:pPr>
              <w:spacing w:line="320" w:lineRule="exact"/>
              <w:jc w:val="center"/>
              <w:rPr>
                <w:rFonts w:hint="default" w:ascii="Times New Roman" w:hAnsi="Times New Roman" w:eastAsia="宋体" w:cs="Times New Roman"/>
                <w:color w:val="auto"/>
                <w:sz w:val="21"/>
                <w:szCs w:val="21"/>
              </w:rPr>
            </w:pPr>
          </w:p>
        </w:tc>
        <w:tc>
          <w:tcPr>
            <w:tcW w:w="1033" w:type="pct"/>
            <w:tcBorders>
              <w:left w:val="single" w:color="auto" w:sz="2" w:space="0"/>
            </w:tcBorders>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pPr>
              <w:spacing w:line="320" w:lineRule="exact"/>
              <w:jc w:val="center"/>
              <w:rPr>
                <w:rFonts w:hint="default" w:ascii="Times New Roman" w:hAnsi="Times New Roman" w:eastAsia="宋体" w:cs="Times New Roman"/>
                <w:color w:val="auto"/>
                <w:sz w:val="21"/>
                <w:szCs w:val="21"/>
              </w:rPr>
            </w:pPr>
          </w:p>
        </w:tc>
        <w:tc>
          <w:tcPr>
            <w:tcW w:w="1406" w:type="pct"/>
            <w:vMerge w:val="continue"/>
            <w:vAlign w:val="center"/>
          </w:tcPr>
          <w:p>
            <w:pPr>
              <w:spacing w:line="320" w:lineRule="exact"/>
              <w:jc w:val="center"/>
              <w:rPr>
                <w:rFonts w:hint="default" w:ascii="Times New Roman" w:hAnsi="Times New Roman" w:eastAsia="宋体" w:cs="Times New Roman"/>
                <w:color w:val="auto"/>
                <w:sz w:val="21"/>
                <w:szCs w:val="21"/>
              </w:rPr>
            </w:pPr>
          </w:p>
        </w:tc>
        <w:tc>
          <w:tcPr>
            <w:tcW w:w="631" w:type="pct"/>
            <w:vMerge w:val="continue"/>
            <w:vAlign w:val="center"/>
          </w:tcPr>
          <w:p>
            <w:pPr>
              <w:spacing w:line="320" w:lineRule="exact"/>
              <w:jc w:val="center"/>
              <w:rPr>
                <w:rFonts w:hint="default" w:ascii="Times New Roman" w:hAnsi="Times New Roman" w:eastAsia="宋体" w:cs="Times New Roman"/>
                <w:color w:val="auto"/>
                <w:sz w:val="21"/>
                <w:szCs w:val="21"/>
              </w:rPr>
            </w:pPr>
          </w:p>
        </w:tc>
        <w:tc>
          <w:tcPr>
            <w:tcW w:w="681" w:type="pct"/>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TN</w:t>
            </w:r>
          </w:p>
        </w:tc>
        <w:tc>
          <w:tcPr>
            <w:tcW w:w="542" w:type="pct"/>
            <w:vMerge w:val="continue"/>
            <w:tcBorders>
              <w:right w:val="single" w:color="auto" w:sz="2" w:space="0"/>
            </w:tcBorders>
            <w:vAlign w:val="center"/>
          </w:tcPr>
          <w:p>
            <w:pPr>
              <w:spacing w:line="320" w:lineRule="exact"/>
              <w:jc w:val="center"/>
              <w:rPr>
                <w:rFonts w:hint="default" w:ascii="Times New Roman" w:hAnsi="Times New Roman" w:eastAsia="宋体" w:cs="Times New Roman"/>
                <w:color w:val="auto"/>
                <w:sz w:val="21"/>
                <w:szCs w:val="21"/>
              </w:rPr>
            </w:pPr>
          </w:p>
        </w:tc>
        <w:tc>
          <w:tcPr>
            <w:tcW w:w="1033" w:type="pct"/>
            <w:tcBorders>
              <w:left w:val="single" w:color="auto" w:sz="2" w:space="0"/>
            </w:tcBorders>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pPr>
              <w:spacing w:line="320" w:lineRule="exact"/>
              <w:jc w:val="center"/>
              <w:rPr>
                <w:rFonts w:hint="default" w:ascii="Times New Roman" w:hAnsi="Times New Roman" w:eastAsia="宋体" w:cs="Times New Roman"/>
                <w:color w:val="auto"/>
                <w:sz w:val="21"/>
                <w:szCs w:val="21"/>
              </w:rPr>
            </w:pPr>
          </w:p>
        </w:tc>
        <w:tc>
          <w:tcPr>
            <w:tcW w:w="1406" w:type="pct"/>
            <w:vMerge w:val="continue"/>
            <w:vAlign w:val="center"/>
          </w:tcPr>
          <w:p>
            <w:pPr>
              <w:spacing w:line="320" w:lineRule="exact"/>
              <w:jc w:val="center"/>
              <w:rPr>
                <w:rFonts w:hint="default" w:ascii="Times New Roman" w:hAnsi="Times New Roman" w:eastAsia="宋体" w:cs="Times New Roman"/>
                <w:color w:val="auto"/>
                <w:sz w:val="21"/>
                <w:szCs w:val="21"/>
              </w:rPr>
            </w:pPr>
          </w:p>
        </w:tc>
        <w:tc>
          <w:tcPr>
            <w:tcW w:w="631" w:type="pct"/>
            <w:vMerge w:val="continue"/>
            <w:vAlign w:val="center"/>
          </w:tcPr>
          <w:p>
            <w:pPr>
              <w:spacing w:line="320" w:lineRule="exact"/>
              <w:jc w:val="center"/>
              <w:rPr>
                <w:rFonts w:hint="default" w:ascii="Times New Roman" w:hAnsi="Times New Roman" w:eastAsia="宋体" w:cs="Times New Roman"/>
                <w:color w:val="auto"/>
                <w:sz w:val="21"/>
                <w:szCs w:val="21"/>
              </w:rPr>
            </w:pPr>
          </w:p>
        </w:tc>
        <w:tc>
          <w:tcPr>
            <w:tcW w:w="681" w:type="pct"/>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w:t>
            </w:r>
          </w:p>
        </w:tc>
        <w:tc>
          <w:tcPr>
            <w:tcW w:w="542" w:type="pct"/>
            <w:vMerge w:val="continue"/>
            <w:tcBorders>
              <w:right w:val="single" w:color="auto" w:sz="2" w:space="0"/>
            </w:tcBorders>
            <w:vAlign w:val="center"/>
          </w:tcPr>
          <w:p>
            <w:pPr>
              <w:spacing w:line="320" w:lineRule="exact"/>
              <w:jc w:val="center"/>
              <w:rPr>
                <w:rFonts w:hint="default" w:ascii="Times New Roman" w:hAnsi="Times New Roman" w:eastAsia="宋体" w:cs="Times New Roman"/>
                <w:color w:val="auto"/>
                <w:sz w:val="21"/>
                <w:szCs w:val="21"/>
              </w:rPr>
            </w:pPr>
          </w:p>
        </w:tc>
        <w:tc>
          <w:tcPr>
            <w:tcW w:w="1033" w:type="pct"/>
            <w:tcBorders>
              <w:left w:val="single" w:color="auto" w:sz="2" w:space="0"/>
            </w:tcBorders>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704" w:type="pct"/>
            <w:vMerge w:val="continue"/>
            <w:vAlign w:val="center"/>
          </w:tcPr>
          <w:p>
            <w:pPr>
              <w:spacing w:line="320" w:lineRule="exact"/>
              <w:jc w:val="center"/>
              <w:rPr>
                <w:rFonts w:hint="default" w:ascii="Times New Roman" w:hAnsi="Times New Roman" w:eastAsia="宋体" w:cs="Times New Roman"/>
                <w:color w:val="auto"/>
                <w:sz w:val="21"/>
                <w:szCs w:val="21"/>
              </w:rPr>
            </w:pPr>
          </w:p>
        </w:tc>
        <w:tc>
          <w:tcPr>
            <w:tcW w:w="1406" w:type="pct"/>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《城镇污水处理厂污染物排放标准》（GB18918-2002）</w:t>
            </w:r>
          </w:p>
        </w:tc>
        <w:tc>
          <w:tcPr>
            <w:tcW w:w="631" w:type="pct"/>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表1一级A标准</w:t>
            </w:r>
          </w:p>
        </w:tc>
        <w:tc>
          <w:tcPr>
            <w:tcW w:w="681" w:type="pct"/>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542" w:type="pct"/>
            <w:vMerge w:val="continue"/>
            <w:tcBorders>
              <w:right w:val="single" w:color="auto" w:sz="2" w:space="0"/>
            </w:tcBorders>
            <w:vAlign w:val="center"/>
          </w:tcPr>
          <w:p>
            <w:pPr>
              <w:spacing w:line="320" w:lineRule="exact"/>
              <w:jc w:val="center"/>
              <w:rPr>
                <w:rFonts w:hint="default" w:ascii="Times New Roman" w:hAnsi="Times New Roman" w:eastAsia="宋体" w:cs="Times New Roman"/>
                <w:color w:val="auto"/>
                <w:sz w:val="21"/>
                <w:szCs w:val="21"/>
              </w:rPr>
            </w:pPr>
          </w:p>
        </w:tc>
        <w:tc>
          <w:tcPr>
            <w:tcW w:w="1033" w:type="pct"/>
            <w:tcBorders>
              <w:left w:val="single" w:color="auto" w:sz="2" w:space="0"/>
            </w:tcBorders>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bl>
    <w:p>
      <w:pPr>
        <w:tabs>
          <w:tab w:val="left" w:pos="6697"/>
        </w:tabs>
        <w:jc w:val="both"/>
        <w:rPr>
          <w:rFonts w:hint="default" w:ascii="Times New Roman" w:hAnsi="Times New Roman" w:eastAsia="宋体" w:cs="Times New Roman"/>
          <w:b/>
          <w:color w:val="auto"/>
        </w:rPr>
      </w:pPr>
      <w:r>
        <w:rPr>
          <w:rFonts w:hint="default" w:ascii="Times New Roman" w:hAnsi="Times New Roman" w:eastAsia="宋体" w:cs="Times New Roman"/>
          <w:b/>
          <w:color w:val="auto"/>
          <w:sz w:val="21"/>
          <w:szCs w:val="21"/>
        </w:rPr>
        <w:t>注：氨氮、总氮：括号外数值为水温大于&gt;12℃时的控制指标，括号内数值为水温≤12℃时的控制指标。</w:t>
      </w:r>
    </w:p>
    <w:p>
      <w:pPr>
        <w:widowControl w:val="0"/>
        <w:spacing w:line="480" w:lineRule="exact"/>
        <w:ind w:firstLine="482" w:firstLineChars="200"/>
        <w:jc w:val="both"/>
        <w:rPr>
          <w:rFonts w:hint="default" w:ascii="Times New Roman" w:hAnsi="Times New Roman" w:eastAsia="宋体" w:cs="Times New Roman"/>
          <w:b/>
          <w:color w:val="auto"/>
        </w:rPr>
      </w:pPr>
      <w:r>
        <w:rPr>
          <w:rFonts w:hint="default" w:ascii="Times New Roman" w:hAnsi="Times New Roman" w:eastAsia="宋体" w:cs="Times New Roman"/>
          <w:b/>
          <w:color w:val="auto"/>
        </w:rPr>
        <w:t>（3）噪声排放标准</w:t>
      </w:r>
    </w:p>
    <w:p>
      <w:pPr>
        <w:widowControl w:val="0"/>
        <w:spacing w:line="470" w:lineRule="exact"/>
        <w:ind w:firstLine="470" w:firstLineChars="196"/>
        <w:jc w:val="both"/>
        <w:rPr>
          <w:rFonts w:hint="default" w:ascii="Times New Roman" w:hAnsi="Times New Roman" w:eastAsia="宋体" w:cs="Times New Roman"/>
          <w:color w:val="auto"/>
        </w:rPr>
      </w:pPr>
      <w:r>
        <w:rPr>
          <w:rFonts w:hint="default" w:ascii="Times New Roman" w:hAnsi="Times New Roman" w:eastAsia="宋体" w:cs="Times New Roman"/>
          <w:color w:val="auto"/>
        </w:rPr>
        <w:t>施工期施工作业噪声执行《建筑施工场界环境噪声排放标准》(GB12523-2011)，具体标准值见下表。</w:t>
      </w:r>
    </w:p>
    <w:p>
      <w:pPr>
        <w:spacing w:line="480" w:lineRule="exact"/>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表2.2-</w:t>
      </w:r>
      <w:r>
        <w:rPr>
          <w:rFonts w:hint="eastAsia" w:cs="Times New Roman"/>
          <w:b/>
          <w:color w:val="auto"/>
          <w:lang w:val="en-US" w:eastAsia="zh-CN"/>
        </w:rPr>
        <w:t>9</w:t>
      </w:r>
      <w:r>
        <w:rPr>
          <w:rFonts w:hint="default" w:ascii="Times New Roman" w:hAnsi="Times New Roman" w:eastAsia="宋体" w:cs="Times New Roman"/>
          <w:b/>
          <w:color w:val="auto"/>
        </w:rPr>
        <w:t xml:space="preserve">  建筑施工场界环境噪声排放标准限值</w:t>
      </w:r>
    </w:p>
    <w:tbl>
      <w:tblPr>
        <w:tblStyle w:val="5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52"/>
        <w:gridCol w:w="2952"/>
        <w:gridCol w:w="29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52" w:type="dxa"/>
            <w:tcBorders>
              <w:tl2br w:val="nil"/>
              <w:tr2bl w:val="nil"/>
            </w:tcBorders>
            <w:vAlign w:val="center"/>
          </w:tcPr>
          <w:p>
            <w:pPr>
              <w:widowControl w:val="0"/>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rPr>
              <w:t>时段</w:t>
            </w:r>
          </w:p>
        </w:tc>
        <w:tc>
          <w:tcPr>
            <w:tcW w:w="2952" w:type="dxa"/>
            <w:tcBorders>
              <w:tl2br w:val="nil"/>
              <w:tr2bl w:val="nil"/>
            </w:tcBorders>
            <w:vAlign w:val="center"/>
          </w:tcPr>
          <w:p>
            <w:pPr>
              <w:widowControl w:val="0"/>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rPr>
              <w:t>昼间</w:t>
            </w:r>
          </w:p>
        </w:tc>
        <w:tc>
          <w:tcPr>
            <w:tcW w:w="2952" w:type="dxa"/>
            <w:tcBorders>
              <w:tl2br w:val="nil"/>
              <w:tr2bl w:val="nil"/>
            </w:tcBorders>
            <w:vAlign w:val="center"/>
          </w:tcPr>
          <w:p>
            <w:pPr>
              <w:widowControl w:val="0"/>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52"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噪声限值</w:t>
            </w:r>
          </w:p>
        </w:tc>
        <w:tc>
          <w:tcPr>
            <w:tcW w:w="2952"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70</w:t>
            </w:r>
            <w:r>
              <w:rPr>
                <w:rFonts w:hint="default" w:ascii="Times New Roman" w:hAnsi="Times New Roman" w:eastAsia="宋体" w:cs="Times New Roman"/>
                <w:color w:val="auto"/>
                <w:sz w:val="21"/>
                <w:szCs w:val="21"/>
              </w:rPr>
              <w:t>dB（A）</w:t>
            </w:r>
          </w:p>
        </w:tc>
        <w:tc>
          <w:tcPr>
            <w:tcW w:w="2952" w:type="dxa"/>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55</w:t>
            </w:r>
            <w:r>
              <w:rPr>
                <w:rFonts w:hint="default" w:ascii="Times New Roman" w:hAnsi="Times New Roman" w:eastAsia="宋体" w:cs="Times New Roman"/>
                <w:color w:val="auto"/>
                <w:sz w:val="21"/>
                <w:szCs w:val="21"/>
              </w:rPr>
              <w:t>dB（A）</w:t>
            </w:r>
          </w:p>
        </w:tc>
      </w:tr>
      <w:bookmarkEnd w:id="101"/>
      <w:bookmarkEnd w:id="102"/>
      <w:bookmarkEnd w:id="103"/>
    </w:tbl>
    <w:p>
      <w:pPr>
        <w:pStyle w:val="4"/>
        <w:spacing w:before="117" w:after="117"/>
        <w:jc w:val="both"/>
        <w:rPr>
          <w:rFonts w:hint="default" w:ascii="Times New Roman" w:hAnsi="Times New Roman" w:eastAsia="宋体" w:cs="Times New Roman"/>
          <w:color w:val="auto"/>
        </w:rPr>
      </w:pPr>
      <w:bookmarkStart w:id="126" w:name="_Toc312155926"/>
      <w:bookmarkStart w:id="127" w:name="_Toc302113154"/>
      <w:bookmarkStart w:id="128" w:name="_Toc305841920"/>
      <w:bookmarkStart w:id="129" w:name="_Toc310243972"/>
      <w:bookmarkStart w:id="130" w:name="_Toc492644422"/>
      <w:bookmarkStart w:id="131" w:name="_Toc29229"/>
      <w:r>
        <w:rPr>
          <w:rFonts w:hint="default" w:ascii="Times New Roman" w:hAnsi="Times New Roman" w:eastAsia="宋体" w:cs="Times New Roman"/>
          <w:color w:val="auto"/>
        </w:rPr>
        <w:t>2.3评价</w:t>
      </w:r>
      <w:bookmarkStart w:id="132" w:name="_Hlt48444082"/>
      <w:bookmarkEnd w:id="132"/>
      <w:r>
        <w:rPr>
          <w:rFonts w:hint="default" w:ascii="Times New Roman" w:hAnsi="Times New Roman" w:eastAsia="宋体" w:cs="Times New Roman"/>
          <w:color w:val="auto"/>
        </w:rPr>
        <w:t>工作等级</w:t>
      </w:r>
      <w:bookmarkEnd w:id="126"/>
      <w:bookmarkEnd w:id="127"/>
      <w:bookmarkEnd w:id="128"/>
      <w:bookmarkEnd w:id="129"/>
      <w:r>
        <w:rPr>
          <w:rFonts w:hint="default" w:ascii="Times New Roman" w:hAnsi="Times New Roman" w:eastAsia="宋体" w:cs="Times New Roman"/>
          <w:color w:val="auto"/>
        </w:rPr>
        <w:t>及评价范围</w:t>
      </w:r>
      <w:bookmarkEnd w:id="130"/>
      <w:bookmarkEnd w:id="131"/>
    </w:p>
    <w:p>
      <w:pPr>
        <w:pStyle w:val="5"/>
        <w:spacing w:line="500" w:lineRule="exact"/>
        <w:jc w:val="both"/>
        <w:rPr>
          <w:rFonts w:hint="default" w:ascii="Times New Roman" w:hAnsi="Times New Roman" w:eastAsia="宋体" w:cs="Times New Roman"/>
          <w:color w:val="auto"/>
        </w:rPr>
      </w:pPr>
      <w:bookmarkStart w:id="133" w:name="_Toc507334554"/>
      <w:bookmarkStart w:id="134" w:name="_Toc503461512"/>
      <w:bookmarkStart w:id="135" w:name="_Toc492644493"/>
      <w:bookmarkStart w:id="136" w:name="_Toc31017"/>
      <w:r>
        <w:rPr>
          <w:rFonts w:hint="default" w:ascii="Times New Roman" w:hAnsi="Times New Roman" w:eastAsia="宋体" w:cs="Times New Roman"/>
          <w:color w:val="auto"/>
        </w:rPr>
        <w:t>2.3.1评价工作等级</w:t>
      </w:r>
      <w:bookmarkEnd w:id="133"/>
      <w:bookmarkEnd w:id="134"/>
      <w:bookmarkEnd w:id="135"/>
      <w:bookmarkEnd w:id="136"/>
    </w:p>
    <w:p>
      <w:pPr>
        <w:widowControl w:val="0"/>
        <w:spacing w:line="480" w:lineRule="exact"/>
        <w:ind w:firstLine="480" w:firstLineChars="200"/>
        <w:jc w:val="both"/>
        <w:rPr>
          <w:rFonts w:hint="default" w:ascii="Times New Roman" w:hAnsi="Times New Roman" w:eastAsia="宋体" w:cs="Times New Roman"/>
          <w:bCs/>
          <w:color w:val="auto"/>
          <w:lang w:val="en-US" w:eastAsia="zh-CN"/>
        </w:rPr>
      </w:pPr>
      <w:bookmarkStart w:id="137" w:name="_Toc310243974"/>
      <w:bookmarkStart w:id="138" w:name="_Toc312155928"/>
      <w:r>
        <w:rPr>
          <w:rFonts w:hint="eastAsia" w:cs="Times New Roman"/>
          <w:bCs/>
          <w:color w:val="auto"/>
          <w:lang w:eastAsia="zh-CN"/>
        </w:rPr>
        <w:t>（</w:t>
      </w:r>
      <w:r>
        <w:rPr>
          <w:rFonts w:hint="eastAsia" w:cs="Times New Roman"/>
          <w:bCs/>
          <w:color w:val="auto"/>
          <w:lang w:val="en-US" w:eastAsia="zh-CN"/>
        </w:rPr>
        <w:t>1</w:t>
      </w:r>
      <w:r>
        <w:rPr>
          <w:rFonts w:hint="eastAsia" w:cs="Times New Roman"/>
          <w:bCs/>
          <w:color w:val="auto"/>
          <w:lang w:eastAsia="zh-CN"/>
        </w:rPr>
        <w:t>）</w:t>
      </w:r>
      <w:r>
        <w:rPr>
          <w:rFonts w:hint="eastAsia" w:cs="Times New Roman"/>
          <w:bCs/>
          <w:color w:val="auto"/>
          <w:lang w:val="en-US" w:eastAsia="zh-CN"/>
        </w:rPr>
        <w:t>大气评价等级</w:t>
      </w:r>
    </w:p>
    <w:p>
      <w:pPr>
        <w:widowControl w:val="0"/>
        <w:spacing w:line="480" w:lineRule="exact"/>
        <w:ind w:firstLine="480" w:firstLineChars="200"/>
        <w:jc w:val="both"/>
        <w:rPr>
          <w:rFonts w:hint="default" w:ascii="Times New Roman" w:hAnsi="Times New Roman" w:eastAsia="宋体" w:cs="Times New Roman"/>
          <w:bCs/>
          <w:color w:val="auto"/>
        </w:rPr>
      </w:pPr>
      <w:r>
        <w:rPr>
          <w:rFonts w:hint="default" w:ascii="Times New Roman" w:hAnsi="Times New Roman" w:eastAsia="宋体" w:cs="Times New Roman"/>
          <w:bCs/>
          <w:color w:val="auto"/>
        </w:rPr>
        <w:t>本工程</w:t>
      </w:r>
      <w:r>
        <w:rPr>
          <w:rFonts w:hint="eastAsia" w:cs="Times New Roman"/>
          <w:bCs/>
          <w:color w:val="auto"/>
          <w:lang w:val="en-US" w:eastAsia="zh-CN"/>
        </w:rPr>
        <w:t>运营期</w:t>
      </w:r>
      <w:r>
        <w:rPr>
          <w:rFonts w:hint="default" w:ascii="Times New Roman" w:hAnsi="Times New Roman" w:eastAsia="宋体" w:cs="Times New Roman"/>
          <w:bCs/>
          <w:color w:val="auto"/>
        </w:rPr>
        <w:t>本身不排放任何污染物，对大气环境的影响主要是</w:t>
      </w:r>
      <w:r>
        <w:rPr>
          <w:rFonts w:hint="eastAsia" w:cs="Times New Roman"/>
          <w:bCs/>
          <w:color w:val="auto"/>
          <w:lang w:val="en-US" w:eastAsia="zh-CN"/>
        </w:rPr>
        <w:t>施工期产生的道路</w:t>
      </w:r>
      <w:r>
        <w:rPr>
          <w:rFonts w:hint="default" w:ascii="Times New Roman" w:hAnsi="Times New Roman" w:eastAsia="宋体" w:cs="Times New Roman"/>
          <w:bCs/>
          <w:color w:val="auto"/>
        </w:rPr>
        <w:t>扬尘，施工机械、运输车辆、船舶的尾气，污染物排放量均较小，且项目所在地周边地形不复杂，根据《环境影响评价技术导则大气环境》（HJ2.2-2018），环境空气影响评价等级定为三级。</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（2）地表水评价等级</w:t>
      </w:r>
    </w:p>
    <w:p>
      <w:pPr>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本项目为生态工程，建设项目对地表水的影响为水污染影响型和水文要素影响型两者兼有的复合影响型。根据《环境影响评价技术导则响型两者兼有的复合影响型。根据《环境影响评价技术导则 地面水环境》(HJ/T2.3-2018)，复合影响型建设项目的评价工作，应按类别分别确定评价等级并开展评价工作。工程建设对水环境水污染的影响集中在施工期，工程施工期污废水包括施工生活污水等。项目施工</w:t>
      </w:r>
      <w:r>
        <w:rPr>
          <w:rFonts w:hint="eastAsia" w:cs="Times New Roman"/>
          <w:color w:val="auto"/>
          <w:lang w:val="en-US" w:eastAsia="zh-CN"/>
        </w:rPr>
        <w:t>营地</w:t>
      </w:r>
      <w:r>
        <w:rPr>
          <w:rFonts w:hint="default" w:ascii="Times New Roman" w:hAnsi="Times New Roman" w:eastAsia="宋体" w:cs="Times New Roman"/>
          <w:color w:val="auto"/>
        </w:rPr>
        <w:t>租用周边民</w:t>
      </w:r>
      <w:r>
        <w:rPr>
          <w:rFonts w:hint="eastAsia" w:cs="Times New Roman"/>
          <w:color w:val="auto"/>
          <w:lang w:val="en-US" w:eastAsia="zh-CN"/>
        </w:rPr>
        <w:t>房</w:t>
      </w:r>
      <w:r>
        <w:rPr>
          <w:rFonts w:hint="default" w:ascii="Times New Roman" w:hAnsi="Times New Roman" w:eastAsia="宋体" w:cs="Times New Roman"/>
          <w:color w:val="auto"/>
        </w:rPr>
        <w:t>，生活污水依托当地污水管网排入污水处理厂。运行期没有污染物排放，不产生水污染影响。根据《环境影响评价技术导则地面水环境》(HJ/T2.3-2018)中评价等级判定原则，确定水污染影响型地表水环境评价等级定为三级B。</w:t>
      </w:r>
    </w:p>
    <w:p>
      <w:pPr>
        <w:snapToGrid w:val="0"/>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水污染影响型建设项目评价等级判定</w:t>
      </w:r>
      <w:r>
        <w:rPr>
          <w:rFonts w:hint="eastAsia" w:cs="Times New Roman"/>
          <w:color w:val="auto"/>
          <w:lang w:val="en-US" w:eastAsia="zh-CN"/>
        </w:rPr>
        <w:t>：</w:t>
      </w:r>
    </w:p>
    <w:p>
      <w:pPr>
        <w:spacing w:line="480" w:lineRule="exact"/>
        <w:jc w:val="center"/>
        <w:rPr>
          <w:rFonts w:hint="default" w:ascii="Times New Roman" w:hAnsi="Times New Roman" w:eastAsia="宋体" w:cs="Times New Roman"/>
          <w:b/>
          <w:color w:val="auto"/>
          <w:lang w:val="en-US" w:eastAsia="zh-CN"/>
        </w:rPr>
      </w:pPr>
      <w:r>
        <w:rPr>
          <w:rFonts w:hint="default" w:ascii="Times New Roman" w:hAnsi="Times New Roman" w:eastAsia="宋体" w:cs="Times New Roman"/>
          <w:b/>
          <w:color w:val="auto"/>
          <w:lang w:val="en-US" w:eastAsia="zh-CN"/>
        </w:rPr>
        <w:t>表2.3-</w:t>
      </w:r>
      <w:r>
        <w:rPr>
          <w:rFonts w:hint="eastAsia" w:cs="Times New Roman"/>
          <w:b/>
          <w:color w:val="auto"/>
          <w:lang w:val="en-US" w:eastAsia="zh-CN"/>
        </w:rPr>
        <w:t>1</w:t>
      </w:r>
      <w:r>
        <w:rPr>
          <w:rFonts w:hint="default" w:ascii="Times New Roman" w:hAnsi="Times New Roman" w:eastAsia="宋体" w:cs="Times New Roman"/>
          <w:b/>
          <w:color w:val="auto"/>
          <w:lang w:val="en-US" w:eastAsia="zh-CN"/>
        </w:rPr>
        <w:t xml:space="preserve"> 水污染影响型建设项目评价等级判定</w:t>
      </w:r>
    </w:p>
    <w:tbl>
      <w:tblPr>
        <w:tblStyle w:val="55"/>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90"/>
        <w:gridCol w:w="1914"/>
        <w:gridCol w:w="51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96" w:type="dxa"/>
            <w:vMerge w:val="restart"/>
            <w:noWrap w:val="0"/>
            <w:vAlign w:val="center"/>
          </w:tcPr>
          <w:p>
            <w:pPr>
              <w:spacing w:line="32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评价等级</w:t>
            </w:r>
          </w:p>
        </w:tc>
        <w:tc>
          <w:tcPr>
            <w:tcW w:w="7482" w:type="dxa"/>
            <w:gridSpan w:val="2"/>
            <w:noWrap w:val="0"/>
            <w:vAlign w:val="center"/>
          </w:tcPr>
          <w:p>
            <w:pPr>
              <w:spacing w:line="32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判定依据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96" w:type="dxa"/>
            <w:vMerge w:val="continue"/>
            <w:noWrap w:val="0"/>
            <w:vAlign w:val="center"/>
          </w:tcPr>
          <w:p>
            <w:pPr>
              <w:spacing w:line="320" w:lineRule="exact"/>
              <w:jc w:val="center"/>
              <w:rPr>
                <w:rFonts w:hint="default" w:ascii="Times New Roman" w:hAnsi="Times New Roman" w:eastAsia="宋体" w:cs="Times New Roman"/>
                <w:b/>
                <w:bCs/>
                <w:sz w:val="21"/>
                <w:szCs w:val="21"/>
              </w:rPr>
            </w:pPr>
          </w:p>
        </w:tc>
        <w:tc>
          <w:tcPr>
            <w:tcW w:w="2029" w:type="dxa"/>
            <w:noWrap w:val="0"/>
            <w:vAlign w:val="center"/>
          </w:tcPr>
          <w:p>
            <w:pPr>
              <w:spacing w:line="32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排放方式</w:t>
            </w:r>
          </w:p>
        </w:tc>
        <w:tc>
          <w:tcPr>
            <w:tcW w:w="5453" w:type="dxa"/>
            <w:noWrap w:val="0"/>
            <w:vAlign w:val="center"/>
          </w:tcPr>
          <w:p>
            <w:pPr>
              <w:spacing w:line="32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废水排放量Q/（m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rPr>
              <w:t>/d）；水污染物当量数W/（无量纲）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96"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一级</w:t>
            </w:r>
          </w:p>
        </w:tc>
        <w:tc>
          <w:tcPr>
            <w:tcW w:w="2029"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直接排放</w:t>
            </w:r>
          </w:p>
        </w:tc>
        <w:tc>
          <w:tcPr>
            <w:tcW w:w="5453"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Q≥20000或W≥600000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96"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w:t>
            </w:r>
          </w:p>
        </w:tc>
        <w:tc>
          <w:tcPr>
            <w:tcW w:w="2029"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直接排放</w:t>
            </w:r>
          </w:p>
        </w:tc>
        <w:tc>
          <w:tcPr>
            <w:tcW w:w="5453"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96"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三级A</w:t>
            </w:r>
          </w:p>
        </w:tc>
        <w:tc>
          <w:tcPr>
            <w:tcW w:w="2029"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直接排放</w:t>
            </w:r>
          </w:p>
        </w:tc>
        <w:tc>
          <w:tcPr>
            <w:tcW w:w="5453"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Q&lt;200且W&lt;6000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96"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三级B</w:t>
            </w:r>
          </w:p>
        </w:tc>
        <w:tc>
          <w:tcPr>
            <w:tcW w:w="2029"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间接排放</w:t>
            </w:r>
          </w:p>
        </w:tc>
        <w:tc>
          <w:tcPr>
            <w:tcW w:w="5453"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bl>
    <w:p>
      <w:pPr>
        <w:snapToGrid w:val="0"/>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根据《环境影响评价技术导则 地面水环境》(HJ/T2.3-2018)中评价等级判定原则，水文要素影响型项目评价等级划分根据水温、径流于受影响地表水域等三类水文要素的影响程度进行判定，本项目影响范围涉及饮用水水源保护区、太湖重要保护区，评价等级应不低于二级。本项目受影响水域工程垂直投影面积及外扩面积（A1）0.12k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，0.05＜A1＜0.3km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，水文要素影响型项目评价等级应判定为二级。</w:t>
      </w:r>
    </w:p>
    <w:p>
      <w:pPr>
        <w:spacing w:line="480" w:lineRule="exact"/>
        <w:jc w:val="center"/>
        <w:rPr>
          <w:rFonts w:hint="default" w:ascii="Times New Roman" w:hAnsi="Times New Roman" w:eastAsia="宋体" w:cs="Times New Roman"/>
          <w:b/>
          <w:color w:val="auto"/>
          <w:lang w:val="en-US" w:eastAsia="zh-CN"/>
        </w:rPr>
      </w:pPr>
      <w:r>
        <w:rPr>
          <w:rFonts w:hint="default" w:ascii="Times New Roman" w:hAnsi="Times New Roman" w:eastAsia="宋体" w:cs="Times New Roman"/>
          <w:b/>
          <w:color w:val="auto"/>
          <w:lang w:val="en-US" w:eastAsia="zh-CN"/>
        </w:rPr>
        <w:t>表2.3-</w:t>
      </w:r>
      <w:r>
        <w:rPr>
          <w:rFonts w:hint="eastAsia" w:cs="Times New Roman"/>
          <w:b/>
          <w:color w:val="auto"/>
          <w:lang w:val="en-US" w:eastAsia="zh-CN"/>
        </w:rPr>
        <w:t>2</w:t>
      </w:r>
      <w:r>
        <w:rPr>
          <w:rFonts w:hint="default" w:ascii="Times New Roman" w:hAnsi="Times New Roman" w:eastAsia="宋体" w:cs="Times New Roman"/>
          <w:b/>
          <w:color w:val="auto"/>
          <w:lang w:val="en-US" w:eastAsia="zh-CN"/>
        </w:rPr>
        <w:t xml:space="preserve"> 水污染影响型建设项目评价等级判定</w:t>
      </w:r>
    </w:p>
    <w:tbl>
      <w:tblPr>
        <w:tblStyle w:val="5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1150"/>
        <w:gridCol w:w="1138"/>
        <w:gridCol w:w="1187"/>
        <w:gridCol w:w="1488"/>
        <w:gridCol w:w="1425"/>
        <w:gridCol w:w="17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2" w:type="dxa"/>
            <w:vMerge w:val="restart"/>
            <w:tcBorders>
              <w:tl2br w:val="nil"/>
              <w:tr2bl w:val="nil"/>
            </w:tcBorders>
            <w:vAlign w:val="center"/>
          </w:tcPr>
          <w:p>
            <w:pPr>
              <w:widowControl w:val="0"/>
              <w:spacing w:line="33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评价等级</w:t>
            </w:r>
          </w:p>
        </w:tc>
        <w:tc>
          <w:tcPr>
            <w:tcW w:w="1150" w:type="dxa"/>
            <w:tcBorders>
              <w:tl2br w:val="nil"/>
              <w:tr2bl w:val="nil"/>
            </w:tcBorders>
            <w:vAlign w:val="center"/>
          </w:tcPr>
          <w:p>
            <w:pPr>
              <w:widowControl w:val="0"/>
              <w:spacing w:line="33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水温</w:t>
            </w:r>
          </w:p>
        </w:tc>
        <w:tc>
          <w:tcPr>
            <w:tcW w:w="2325" w:type="dxa"/>
            <w:gridSpan w:val="2"/>
            <w:tcBorders>
              <w:tl2br w:val="nil"/>
              <w:tr2bl w:val="nil"/>
            </w:tcBorders>
            <w:vAlign w:val="center"/>
          </w:tcPr>
          <w:p>
            <w:pPr>
              <w:widowControl w:val="0"/>
              <w:spacing w:line="33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径流</w:t>
            </w:r>
          </w:p>
        </w:tc>
        <w:tc>
          <w:tcPr>
            <w:tcW w:w="4619" w:type="dxa"/>
            <w:gridSpan w:val="3"/>
            <w:tcBorders>
              <w:tl2br w:val="nil"/>
              <w:tr2bl w:val="nil"/>
            </w:tcBorders>
            <w:vAlign w:val="center"/>
          </w:tcPr>
          <w:p>
            <w:pPr>
              <w:widowControl w:val="0"/>
              <w:spacing w:line="33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受影响地表水域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2" w:type="dxa"/>
            <w:vMerge w:val="continue"/>
            <w:tcBorders>
              <w:tl2br w:val="nil"/>
              <w:tr2bl w:val="nil"/>
            </w:tcBorders>
            <w:vAlign w:val="center"/>
          </w:tcPr>
          <w:p>
            <w:pPr>
              <w:widowControl w:val="0"/>
              <w:spacing w:line="330" w:lineRule="exact"/>
              <w:jc w:val="center"/>
              <w:rPr>
                <w:rFonts w:hint="default" w:ascii="Times New Roman" w:hAnsi="Times New Roman" w:eastAsia="宋体" w:cs="Times New Roman"/>
                <w:b/>
                <w:bCs/>
                <w:color w:val="auto"/>
                <w:sz w:val="21"/>
                <w:szCs w:val="21"/>
              </w:rPr>
            </w:pPr>
          </w:p>
        </w:tc>
        <w:tc>
          <w:tcPr>
            <w:tcW w:w="1150" w:type="dxa"/>
            <w:vMerge w:val="restart"/>
            <w:tcBorders>
              <w:tl2br w:val="nil"/>
              <w:tr2bl w:val="nil"/>
            </w:tcBorders>
            <w:vAlign w:val="center"/>
          </w:tcPr>
          <w:p>
            <w:pPr>
              <w:widowControl w:val="0"/>
              <w:spacing w:line="33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年径流量与总库容百分比α/ %</w:t>
            </w:r>
          </w:p>
        </w:tc>
        <w:tc>
          <w:tcPr>
            <w:tcW w:w="1138" w:type="dxa"/>
            <w:vMerge w:val="restart"/>
            <w:tcBorders>
              <w:tl2br w:val="nil"/>
              <w:tr2bl w:val="nil"/>
            </w:tcBorders>
            <w:vAlign w:val="center"/>
          </w:tcPr>
          <w:p>
            <w:pPr>
              <w:widowControl w:val="0"/>
              <w:spacing w:line="33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兴利库容与年径流量百分比β/ %</w:t>
            </w:r>
          </w:p>
        </w:tc>
        <w:tc>
          <w:tcPr>
            <w:tcW w:w="1187" w:type="dxa"/>
            <w:vMerge w:val="restart"/>
            <w:tcBorders>
              <w:tl2br w:val="nil"/>
              <w:tr2bl w:val="nil"/>
            </w:tcBorders>
            <w:vAlign w:val="center"/>
          </w:tcPr>
          <w:p>
            <w:pPr>
              <w:widowControl w:val="0"/>
              <w:spacing w:line="33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取水量占多年平均径流量百分比γ/ %</w:t>
            </w:r>
          </w:p>
        </w:tc>
        <w:tc>
          <w:tcPr>
            <w:tcW w:w="2913" w:type="dxa"/>
            <w:gridSpan w:val="2"/>
            <w:tcBorders>
              <w:tl2br w:val="nil"/>
              <w:tr2bl w:val="nil"/>
            </w:tcBorders>
            <w:vAlign w:val="center"/>
          </w:tcPr>
          <w:p>
            <w:pPr>
              <w:widowControl w:val="0"/>
              <w:spacing w:line="33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工程垂直投影面积及外扩范围A1 / km</w:t>
            </w:r>
            <w:r>
              <w:rPr>
                <w:rFonts w:hint="default" w:ascii="Times New Roman" w:hAnsi="Times New Roman" w:eastAsia="宋体" w:cs="Times New Roman"/>
                <w:b/>
                <w:bCs/>
                <w:color w:val="auto"/>
                <w:sz w:val="21"/>
                <w:szCs w:val="21"/>
                <w:vertAlign w:val="superscript"/>
              </w:rPr>
              <w:t>2</w:t>
            </w:r>
            <w:r>
              <w:rPr>
                <w:rFonts w:hint="default" w:ascii="Times New Roman" w:hAnsi="Times New Roman" w:eastAsia="宋体" w:cs="Times New Roman"/>
                <w:b/>
                <w:bCs/>
                <w:color w:val="auto"/>
                <w:sz w:val="21"/>
                <w:szCs w:val="21"/>
              </w:rPr>
              <w:t>；</w:t>
            </w:r>
          </w:p>
          <w:p>
            <w:pPr>
              <w:widowControl w:val="0"/>
              <w:spacing w:line="33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工程扰动水底面积A2 / km</w:t>
            </w:r>
            <w:r>
              <w:rPr>
                <w:rFonts w:hint="default" w:ascii="Times New Roman" w:hAnsi="Times New Roman" w:eastAsia="宋体" w:cs="Times New Roman"/>
                <w:b/>
                <w:bCs/>
                <w:color w:val="auto"/>
                <w:sz w:val="21"/>
                <w:szCs w:val="21"/>
                <w:vertAlign w:val="superscript"/>
              </w:rPr>
              <w:t>2</w:t>
            </w:r>
            <w:r>
              <w:rPr>
                <w:rFonts w:hint="default" w:ascii="Times New Roman" w:hAnsi="Times New Roman" w:eastAsia="宋体" w:cs="Times New Roman"/>
                <w:b/>
                <w:bCs/>
                <w:color w:val="auto"/>
                <w:sz w:val="21"/>
                <w:szCs w:val="21"/>
              </w:rPr>
              <w:t>；</w:t>
            </w:r>
          </w:p>
          <w:p>
            <w:pPr>
              <w:widowControl w:val="0"/>
              <w:spacing w:line="33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过水断面宽度占用比例或占用水域面积比例R / %</w:t>
            </w:r>
          </w:p>
        </w:tc>
        <w:tc>
          <w:tcPr>
            <w:tcW w:w="1706" w:type="dxa"/>
            <w:tcBorders>
              <w:tl2br w:val="nil"/>
              <w:tr2bl w:val="nil"/>
            </w:tcBorders>
            <w:vAlign w:val="center"/>
          </w:tcPr>
          <w:p>
            <w:pPr>
              <w:widowControl w:val="0"/>
              <w:spacing w:line="33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工程垂直投影面积及外扩范围A1 / km</w:t>
            </w:r>
            <w:r>
              <w:rPr>
                <w:rFonts w:hint="default" w:ascii="Times New Roman" w:hAnsi="Times New Roman" w:eastAsia="宋体" w:cs="Times New Roman"/>
                <w:b/>
                <w:bCs/>
                <w:color w:val="auto"/>
                <w:sz w:val="21"/>
                <w:szCs w:val="21"/>
                <w:vertAlign w:val="superscript"/>
              </w:rPr>
              <w:t>2</w:t>
            </w:r>
            <w:r>
              <w:rPr>
                <w:rFonts w:hint="default" w:ascii="Times New Roman" w:hAnsi="Times New Roman" w:eastAsia="宋体" w:cs="Times New Roman"/>
                <w:b/>
                <w:bCs/>
                <w:color w:val="auto"/>
                <w:sz w:val="21"/>
                <w:szCs w:val="21"/>
              </w:rPr>
              <w:t>；工程扰动水底面积A2 / km</w:t>
            </w:r>
            <w:r>
              <w:rPr>
                <w:rFonts w:hint="default" w:ascii="Times New Roman" w:hAnsi="Times New Roman" w:eastAsia="宋体" w:cs="Times New Roman"/>
                <w:b/>
                <w:bCs/>
                <w:color w:val="auto"/>
                <w:sz w:val="21"/>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2" w:type="dxa"/>
            <w:vMerge w:val="continue"/>
            <w:tcBorders>
              <w:tl2br w:val="nil"/>
              <w:tr2bl w:val="nil"/>
            </w:tcBorders>
            <w:vAlign w:val="center"/>
          </w:tcPr>
          <w:p>
            <w:pPr>
              <w:widowControl w:val="0"/>
              <w:spacing w:line="330" w:lineRule="exact"/>
              <w:jc w:val="center"/>
              <w:rPr>
                <w:rFonts w:hint="default" w:ascii="Times New Roman" w:hAnsi="Times New Roman" w:eastAsia="宋体" w:cs="Times New Roman"/>
                <w:b/>
                <w:bCs/>
                <w:color w:val="auto"/>
                <w:sz w:val="21"/>
                <w:szCs w:val="21"/>
              </w:rPr>
            </w:pPr>
          </w:p>
        </w:tc>
        <w:tc>
          <w:tcPr>
            <w:tcW w:w="1150" w:type="dxa"/>
            <w:vMerge w:val="continue"/>
            <w:tcBorders>
              <w:tl2br w:val="nil"/>
              <w:tr2bl w:val="nil"/>
            </w:tcBorders>
            <w:vAlign w:val="center"/>
          </w:tcPr>
          <w:p>
            <w:pPr>
              <w:widowControl w:val="0"/>
              <w:spacing w:line="330" w:lineRule="exact"/>
              <w:jc w:val="center"/>
              <w:rPr>
                <w:rFonts w:hint="default" w:ascii="Times New Roman" w:hAnsi="Times New Roman" w:eastAsia="宋体" w:cs="Times New Roman"/>
                <w:b/>
                <w:bCs/>
                <w:color w:val="auto"/>
                <w:sz w:val="21"/>
                <w:szCs w:val="21"/>
              </w:rPr>
            </w:pPr>
          </w:p>
        </w:tc>
        <w:tc>
          <w:tcPr>
            <w:tcW w:w="1138" w:type="dxa"/>
            <w:vMerge w:val="continue"/>
            <w:tcBorders>
              <w:tl2br w:val="nil"/>
              <w:tr2bl w:val="nil"/>
            </w:tcBorders>
            <w:vAlign w:val="center"/>
          </w:tcPr>
          <w:p>
            <w:pPr>
              <w:widowControl w:val="0"/>
              <w:spacing w:line="330" w:lineRule="exact"/>
              <w:jc w:val="center"/>
              <w:rPr>
                <w:rFonts w:hint="default" w:ascii="Times New Roman" w:hAnsi="Times New Roman" w:eastAsia="宋体" w:cs="Times New Roman"/>
                <w:b/>
                <w:bCs/>
                <w:color w:val="auto"/>
                <w:sz w:val="21"/>
                <w:szCs w:val="21"/>
              </w:rPr>
            </w:pPr>
          </w:p>
        </w:tc>
        <w:tc>
          <w:tcPr>
            <w:tcW w:w="1187" w:type="dxa"/>
            <w:vMerge w:val="continue"/>
            <w:tcBorders>
              <w:tl2br w:val="nil"/>
              <w:tr2bl w:val="nil"/>
            </w:tcBorders>
            <w:vAlign w:val="center"/>
          </w:tcPr>
          <w:p>
            <w:pPr>
              <w:widowControl w:val="0"/>
              <w:spacing w:line="330" w:lineRule="exact"/>
              <w:jc w:val="center"/>
              <w:rPr>
                <w:rFonts w:hint="default" w:ascii="Times New Roman" w:hAnsi="Times New Roman" w:eastAsia="宋体" w:cs="Times New Roman"/>
                <w:b/>
                <w:bCs/>
                <w:color w:val="auto"/>
                <w:sz w:val="21"/>
                <w:szCs w:val="21"/>
              </w:rPr>
            </w:pPr>
          </w:p>
        </w:tc>
        <w:tc>
          <w:tcPr>
            <w:tcW w:w="1488" w:type="dxa"/>
            <w:tcBorders>
              <w:tl2br w:val="nil"/>
              <w:tr2bl w:val="nil"/>
            </w:tcBorders>
            <w:vAlign w:val="center"/>
          </w:tcPr>
          <w:p>
            <w:pPr>
              <w:widowControl w:val="0"/>
              <w:spacing w:line="33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河流</w:t>
            </w:r>
          </w:p>
        </w:tc>
        <w:tc>
          <w:tcPr>
            <w:tcW w:w="1425" w:type="dxa"/>
            <w:tcBorders>
              <w:tl2br w:val="nil"/>
              <w:tr2bl w:val="nil"/>
            </w:tcBorders>
            <w:vAlign w:val="center"/>
          </w:tcPr>
          <w:p>
            <w:pPr>
              <w:widowControl w:val="0"/>
              <w:spacing w:line="33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湖库</w:t>
            </w:r>
          </w:p>
        </w:tc>
        <w:tc>
          <w:tcPr>
            <w:tcW w:w="1706" w:type="dxa"/>
            <w:tcBorders>
              <w:tl2br w:val="nil"/>
              <w:tr2bl w:val="nil"/>
            </w:tcBorders>
            <w:vAlign w:val="center"/>
          </w:tcPr>
          <w:p>
            <w:pPr>
              <w:widowControl w:val="0"/>
              <w:spacing w:line="33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入海河口、近岸海域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2" w:type="dxa"/>
            <w:tcBorders>
              <w:tl2br w:val="nil"/>
              <w:tr2bl w:val="nil"/>
            </w:tcBorders>
            <w:vAlign w:val="center"/>
          </w:tcPr>
          <w:p>
            <w:pPr>
              <w:widowControl w:val="0"/>
              <w:spacing w:line="33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一级</w:t>
            </w:r>
          </w:p>
        </w:tc>
        <w:tc>
          <w:tcPr>
            <w:tcW w:w="1150" w:type="dxa"/>
            <w:tcBorders>
              <w:tl2br w:val="nil"/>
              <w:tr2bl w:val="nil"/>
            </w:tcBorders>
            <w:vAlign w:val="center"/>
          </w:tcPr>
          <w:p>
            <w:pPr>
              <w:widowControl w:val="0"/>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α≤10；或稳定分层</w:t>
            </w:r>
          </w:p>
        </w:tc>
        <w:tc>
          <w:tcPr>
            <w:tcW w:w="1138" w:type="dxa"/>
            <w:tcBorders>
              <w:tl2br w:val="nil"/>
              <w:tr2bl w:val="nil"/>
            </w:tcBorders>
            <w:vAlign w:val="center"/>
          </w:tcPr>
          <w:p>
            <w:pPr>
              <w:widowControl w:val="0"/>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β≥20；或完全年调节与多年调节</w:t>
            </w:r>
          </w:p>
        </w:tc>
        <w:tc>
          <w:tcPr>
            <w:tcW w:w="1187" w:type="dxa"/>
            <w:tcBorders>
              <w:tl2br w:val="nil"/>
              <w:tr2bl w:val="nil"/>
            </w:tcBorders>
            <w:vAlign w:val="center"/>
          </w:tcPr>
          <w:p>
            <w:pPr>
              <w:widowControl w:val="0"/>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γ≥30</w:t>
            </w:r>
          </w:p>
        </w:tc>
        <w:tc>
          <w:tcPr>
            <w:tcW w:w="1488" w:type="dxa"/>
            <w:tcBorders>
              <w:tl2br w:val="nil"/>
              <w:tr2bl w:val="nil"/>
            </w:tcBorders>
            <w:vAlign w:val="center"/>
          </w:tcPr>
          <w:p>
            <w:pPr>
              <w:widowControl w:val="0"/>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A1≥0.3；或</w:t>
            </w:r>
          </w:p>
          <w:p>
            <w:pPr>
              <w:widowControl w:val="0"/>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A2≥1.5；或R≥10</w:t>
            </w:r>
          </w:p>
        </w:tc>
        <w:tc>
          <w:tcPr>
            <w:tcW w:w="1425" w:type="dxa"/>
            <w:tcBorders>
              <w:tl2br w:val="nil"/>
              <w:tr2bl w:val="nil"/>
            </w:tcBorders>
            <w:vAlign w:val="center"/>
          </w:tcPr>
          <w:p>
            <w:pPr>
              <w:widowControl w:val="0"/>
              <w:spacing w:line="33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val="0"/>
                <w:bCs w:val="0"/>
                <w:color w:val="auto"/>
                <w:sz w:val="21"/>
                <w:szCs w:val="21"/>
              </w:rPr>
              <w:t>A1≥0.3；或A2≥1.5；或R≥20</w:t>
            </w:r>
          </w:p>
        </w:tc>
        <w:tc>
          <w:tcPr>
            <w:tcW w:w="1706" w:type="dxa"/>
            <w:tcBorders>
              <w:tl2br w:val="nil"/>
              <w:tr2bl w:val="nil"/>
            </w:tcBorders>
            <w:vAlign w:val="center"/>
          </w:tcPr>
          <w:p>
            <w:pPr>
              <w:widowControl w:val="0"/>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A1≥0.5；或</w:t>
            </w:r>
          </w:p>
          <w:p>
            <w:pPr>
              <w:widowControl w:val="0"/>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2" w:type="dxa"/>
            <w:tcBorders>
              <w:tl2br w:val="nil"/>
              <w:tr2bl w:val="nil"/>
            </w:tcBorders>
            <w:vAlign w:val="center"/>
          </w:tcPr>
          <w:p>
            <w:pPr>
              <w:widowControl w:val="0"/>
              <w:spacing w:line="33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二级</w:t>
            </w:r>
          </w:p>
        </w:tc>
        <w:tc>
          <w:tcPr>
            <w:tcW w:w="1150" w:type="dxa"/>
            <w:tcBorders>
              <w:tl2br w:val="nil"/>
              <w:tr2bl w:val="nil"/>
            </w:tcBorders>
            <w:vAlign w:val="center"/>
          </w:tcPr>
          <w:p>
            <w:pPr>
              <w:widowControl w:val="0"/>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20＞α＞10；或不稳定分层</w:t>
            </w:r>
          </w:p>
        </w:tc>
        <w:tc>
          <w:tcPr>
            <w:tcW w:w="1138" w:type="dxa"/>
            <w:tcBorders>
              <w:tl2br w:val="nil"/>
              <w:tr2bl w:val="nil"/>
            </w:tcBorders>
            <w:vAlign w:val="center"/>
          </w:tcPr>
          <w:p>
            <w:pPr>
              <w:widowControl w:val="0"/>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20＞β＞2；或季调节与不完全年调节</w:t>
            </w:r>
          </w:p>
        </w:tc>
        <w:tc>
          <w:tcPr>
            <w:tcW w:w="1187" w:type="dxa"/>
            <w:tcBorders>
              <w:tl2br w:val="nil"/>
              <w:tr2bl w:val="nil"/>
            </w:tcBorders>
            <w:vAlign w:val="center"/>
          </w:tcPr>
          <w:p>
            <w:pPr>
              <w:widowControl w:val="0"/>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30＞γ＞10</w:t>
            </w:r>
          </w:p>
        </w:tc>
        <w:tc>
          <w:tcPr>
            <w:tcW w:w="1488" w:type="dxa"/>
            <w:tcBorders>
              <w:tl2br w:val="nil"/>
              <w:tr2bl w:val="nil"/>
            </w:tcBorders>
            <w:vAlign w:val="center"/>
          </w:tcPr>
          <w:p>
            <w:pPr>
              <w:widowControl w:val="0"/>
              <w:spacing w:line="33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0.3＞A1＞0.05；或1.5＞A2＞0.2；或10＞R＞</w:t>
            </w:r>
            <w:r>
              <w:rPr>
                <w:rFonts w:hint="default" w:ascii="Times New Roman" w:hAnsi="Times New Roman" w:eastAsia="宋体" w:cs="Times New Roman"/>
                <w:color w:val="auto"/>
                <w:sz w:val="21"/>
                <w:szCs w:val="21"/>
                <w:lang w:val="en-US" w:eastAsia="zh-CN"/>
              </w:rPr>
              <w:t>5</w:t>
            </w:r>
          </w:p>
        </w:tc>
        <w:tc>
          <w:tcPr>
            <w:tcW w:w="1425" w:type="dxa"/>
            <w:tcBorders>
              <w:tl2br w:val="nil"/>
              <w:tr2bl w:val="nil"/>
            </w:tcBorders>
            <w:vAlign w:val="center"/>
          </w:tcPr>
          <w:p>
            <w:pPr>
              <w:widowControl w:val="0"/>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0.3＞A1＞0.05；或1.5＞A2＞0.2；或20＞R＞5</w:t>
            </w:r>
          </w:p>
        </w:tc>
        <w:tc>
          <w:tcPr>
            <w:tcW w:w="1706" w:type="dxa"/>
            <w:tcBorders>
              <w:tl2br w:val="nil"/>
              <w:tr2bl w:val="nil"/>
            </w:tcBorders>
            <w:vAlign w:val="center"/>
          </w:tcPr>
          <w:p>
            <w:pPr>
              <w:widowControl w:val="0"/>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0.5＞A1＞0.15；或3＞A2＞0.5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2" w:type="dxa"/>
            <w:tcBorders>
              <w:tl2br w:val="nil"/>
              <w:tr2bl w:val="nil"/>
            </w:tcBorders>
            <w:vAlign w:val="center"/>
          </w:tcPr>
          <w:p>
            <w:pPr>
              <w:widowControl w:val="0"/>
              <w:spacing w:line="33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三级</w:t>
            </w:r>
          </w:p>
        </w:tc>
        <w:tc>
          <w:tcPr>
            <w:tcW w:w="1150" w:type="dxa"/>
            <w:tcBorders>
              <w:tl2br w:val="nil"/>
              <w:tr2bl w:val="nil"/>
            </w:tcBorders>
            <w:vAlign w:val="center"/>
          </w:tcPr>
          <w:p>
            <w:pPr>
              <w:widowControl w:val="0"/>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α≥20；或混合型</w:t>
            </w:r>
          </w:p>
        </w:tc>
        <w:tc>
          <w:tcPr>
            <w:tcW w:w="1138" w:type="dxa"/>
            <w:tcBorders>
              <w:tl2br w:val="nil"/>
              <w:tr2bl w:val="nil"/>
            </w:tcBorders>
            <w:vAlign w:val="center"/>
          </w:tcPr>
          <w:p>
            <w:pPr>
              <w:widowControl w:val="0"/>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β≤2；或无调节</w:t>
            </w:r>
          </w:p>
        </w:tc>
        <w:tc>
          <w:tcPr>
            <w:tcW w:w="1187" w:type="dxa"/>
            <w:tcBorders>
              <w:tl2br w:val="nil"/>
              <w:tr2bl w:val="nil"/>
            </w:tcBorders>
            <w:vAlign w:val="center"/>
          </w:tcPr>
          <w:p>
            <w:pPr>
              <w:widowControl w:val="0"/>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γ≤10</w:t>
            </w:r>
          </w:p>
        </w:tc>
        <w:tc>
          <w:tcPr>
            <w:tcW w:w="1488" w:type="dxa"/>
            <w:tcBorders>
              <w:tl2br w:val="nil"/>
              <w:tr2bl w:val="nil"/>
            </w:tcBorders>
            <w:vAlign w:val="center"/>
          </w:tcPr>
          <w:p>
            <w:pPr>
              <w:widowControl w:val="0"/>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A1≤0.05；或A2≤0.2；或R≤5</w:t>
            </w:r>
          </w:p>
        </w:tc>
        <w:tc>
          <w:tcPr>
            <w:tcW w:w="1425" w:type="dxa"/>
            <w:tcBorders>
              <w:tl2br w:val="nil"/>
              <w:tr2bl w:val="nil"/>
            </w:tcBorders>
            <w:vAlign w:val="center"/>
          </w:tcPr>
          <w:p>
            <w:pPr>
              <w:widowControl w:val="0"/>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A1≤0.05；或A2≤0.2；或R≤5</w:t>
            </w:r>
          </w:p>
        </w:tc>
        <w:tc>
          <w:tcPr>
            <w:tcW w:w="1706" w:type="dxa"/>
            <w:tcBorders>
              <w:tl2br w:val="nil"/>
              <w:tr2bl w:val="nil"/>
            </w:tcBorders>
            <w:vAlign w:val="center"/>
          </w:tcPr>
          <w:p>
            <w:pPr>
              <w:widowControl w:val="0"/>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A1≤0.15；或A2≤0.5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56" w:type="dxa"/>
            <w:gridSpan w:val="7"/>
            <w:tcBorders>
              <w:tl2br w:val="nil"/>
              <w:tr2bl w:val="nil"/>
            </w:tcBorders>
            <w:vAlign w:val="center"/>
          </w:tcPr>
          <w:p>
            <w:pPr>
              <w:widowControl w:val="0"/>
              <w:spacing w:line="330" w:lineRule="exact"/>
              <w:ind w:left="630" w:hanging="630" w:hangingChars="300"/>
              <w:jc w:val="both"/>
              <w:rPr>
                <w:rFonts w:hint="default" w:ascii="Times New Roman" w:hAnsi="Times New Roman" w:eastAsia="宋体" w:cs="Times New Roman"/>
                <w:color w:val="auto"/>
                <w:sz w:val="21"/>
                <w:szCs w:val="21"/>
              </w:rPr>
            </w:pPr>
            <w:bookmarkStart w:id="139" w:name="_Toc15986"/>
            <w:bookmarkStart w:id="140" w:name="_Toc4565583"/>
            <w:r>
              <w:rPr>
                <w:rFonts w:hint="default" w:ascii="Times New Roman" w:hAnsi="Times New Roman" w:eastAsia="宋体" w:cs="Times New Roman"/>
                <w:color w:val="auto"/>
                <w:sz w:val="21"/>
                <w:szCs w:val="21"/>
              </w:rPr>
              <w:t>注1：影响范围涉及饮用水水源保护区、重点保护与珍稀水生生物的栖息地、重要水生生物的自然产卵场、自然保护区等保护目标，评价等级应不低于二级。</w:t>
            </w:r>
          </w:p>
          <w:p>
            <w:pPr>
              <w:widowControl w:val="0"/>
              <w:spacing w:line="330" w:lineRule="exact"/>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注2：跨流域调水、引水式电站、可能受到河流感潮河段影响，评价等级不低于二级。</w:t>
            </w:r>
          </w:p>
          <w:p>
            <w:pPr>
              <w:widowControl w:val="0"/>
              <w:spacing w:line="330" w:lineRule="exact"/>
              <w:ind w:left="630" w:hanging="630" w:hangingChars="30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注3：造成入海河口（湾口）宽度束窄（束窄尺度达到原宽度的5%以上），评价等级应不低于二级。</w:t>
            </w:r>
          </w:p>
          <w:p>
            <w:pPr>
              <w:widowControl w:val="0"/>
              <w:spacing w:line="330" w:lineRule="exact"/>
              <w:ind w:left="630" w:hanging="630" w:hangingChars="30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注4：对不透水的单方向建筑尺度较长的水工建筑物（如防波堤、导流堤等），其与潮流或水流主流向切线垂直方向投影长度大于2km 时，评价等级应不低于二级。</w:t>
            </w:r>
          </w:p>
          <w:p>
            <w:pPr>
              <w:widowControl w:val="0"/>
              <w:spacing w:line="330" w:lineRule="exact"/>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注5：允许在一类海域建设的项目，评价等级为一级。</w:t>
            </w:r>
          </w:p>
          <w:p>
            <w:pPr>
              <w:widowControl w:val="0"/>
              <w:spacing w:line="330" w:lineRule="exact"/>
              <w:ind w:left="630" w:hanging="630" w:hangingChars="30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注6：同时存在多个水文要素影响的建设项目，分别判定各水文要素影响评价等级，并取其中最高等级作为水文要素影响型建设项目评价等级。</w:t>
            </w:r>
          </w:p>
        </w:tc>
      </w:tr>
    </w:tbl>
    <w:p>
      <w:pPr>
        <w:spacing w:line="47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（3）噪声环境影响分析等级</w:t>
      </w:r>
      <w:bookmarkEnd w:id="139"/>
      <w:bookmarkEnd w:id="140"/>
    </w:p>
    <w:p>
      <w:pPr>
        <w:pStyle w:val="8"/>
        <w:snapToGrid w:val="0"/>
        <w:spacing w:line="48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根据《环境影响评价技术导则 声环境》（HJ2.4-2009）：建设项目所处的声环境功能区为GB3096-2008规定的2类地区，对周边环境敏感目标噪声级增高量在3dB(A)以下，根据导则判定为二级评价。</w:t>
      </w:r>
    </w:p>
    <w:p>
      <w:pPr>
        <w:pStyle w:val="8"/>
        <w:numPr>
          <w:ilvl w:val="0"/>
          <w:numId w:val="10"/>
        </w:numPr>
        <w:snapToGrid w:val="0"/>
        <w:spacing w:line="470" w:lineRule="exact"/>
        <w:ind w:firstLine="480" w:firstLineChars="200"/>
        <w:jc w:val="both"/>
        <w:rPr>
          <w:rFonts w:hint="default" w:ascii="Times New Roman" w:hAnsi="Times New Roman" w:eastAsia="宋体" w:cs="Times New Roman"/>
          <w:color w:val="auto"/>
          <w:sz w:val="24"/>
          <w:szCs w:val="24"/>
        </w:rPr>
      </w:pPr>
      <w:bookmarkStart w:id="141" w:name="_Toc23960"/>
      <w:bookmarkStart w:id="142" w:name="_Toc4565584"/>
      <w:r>
        <w:rPr>
          <w:rFonts w:hint="default" w:ascii="Times New Roman" w:hAnsi="Times New Roman" w:eastAsia="宋体" w:cs="Times New Roman"/>
          <w:color w:val="auto"/>
          <w:sz w:val="24"/>
          <w:szCs w:val="24"/>
        </w:rPr>
        <w:t>生态环境影响分析等级</w:t>
      </w:r>
    </w:p>
    <w:bookmarkEnd w:id="141"/>
    <w:bookmarkEnd w:id="142"/>
    <w:p>
      <w:pPr>
        <w:pStyle w:val="8"/>
        <w:snapToGrid w:val="0"/>
        <w:spacing w:line="48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rPr>
        <w:t>根据《环境影响评价技术导则—生态影响》（HJ19-2011），区域生态敏感性可以分为三种区域，即</w:t>
      </w:r>
      <w:r>
        <w:rPr>
          <w:rFonts w:hint="eastAsia" w:cs="Times New Roman"/>
          <w:color w:val="auto"/>
          <w:sz w:val="24"/>
          <w:lang w:eastAsia="zh-CN"/>
        </w:rPr>
        <w:t>“</w:t>
      </w:r>
      <w:r>
        <w:rPr>
          <w:rFonts w:hint="default" w:ascii="Times New Roman" w:hAnsi="Times New Roman" w:eastAsia="宋体" w:cs="Times New Roman"/>
          <w:color w:val="auto"/>
          <w:sz w:val="24"/>
        </w:rPr>
        <w:t>特殊生态敏感区</w:t>
      </w:r>
      <w:r>
        <w:rPr>
          <w:rFonts w:hint="eastAsia" w:cs="Times New Roman"/>
          <w:color w:val="auto"/>
          <w:sz w:val="24"/>
          <w:lang w:eastAsia="zh-CN"/>
        </w:rPr>
        <w:t>”</w:t>
      </w:r>
      <w:r>
        <w:rPr>
          <w:rFonts w:hint="default" w:ascii="Times New Roman" w:hAnsi="Times New Roman" w:eastAsia="宋体" w:cs="Times New Roman"/>
          <w:color w:val="auto"/>
          <w:sz w:val="24"/>
        </w:rPr>
        <w:t>、</w:t>
      </w:r>
      <w:r>
        <w:rPr>
          <w:rFonts w:hint="eastAsia" w:cs="Times New Roman"/>
          <w:color w:val="auto"/>
          <w:sz w:val="24"/>
          <w:lang w:eastAsia="zh-CN"/>
        </w:rPr>
        <w:t>“</w:t>
      </w:r>
      <w:r>
        <w:rPr>
          <w:rFonts w:hint="default" w:ascii="Times New Roman" w:hAnsi="Times New Roman" w:eastAsia="宋体" w:cs="Times New Roman"/>
          <w:color w:val="auto"/>
          <w:sz w:val="24"/>
        </w:rPr>
        <w:t>重要生态敏感区</w:t>
      </w:r>
      <w:r>
        <w:rPr>
          <w:rFonts w:hint="eastAsia" w:cs="Times New Roman"/>
          <w:color w:val="auto"/>
          <w:sz w:val="24"/>
          <w:lang w:eastAsia="zh-CN"/>
        </w:rPr>
        <w:t>”</w:t>
      </w:r>
      <w:r>
        <w:rPr>
          <w:rFonts w:hint="default" w:ascii="Times New Roman" w:hAnsi="Times New Roman" w:eastAsia="宋体" w:cs="Times New Roman"/>
          <w:color w:val="auto"/>
          <w:sz w:val="24"/>
        </w:rPr>
        <w:t>和</w:t>
      </w:r>
      <w:r>
        <w:rPr>
          <w:rFonts w:hint="eastAsia" w:cs="Times New Roman"/>
          <w:color w:val="auto"/>
          <w:sz w:val="24"/>
          <w:lang w:eastAsia="zh-CN"/>
        </w:rPr>
        <w:t>“</w:t>
      </w:r>
      <w:r>
        <w:rPr>
          <w:rFonts w:hint="default" w:ascii="Times New Roman" w:hAnsi="Times New Roman" w:eastAsia="宋体" w:cs="Times New Roman"/>
          <w:color w:val="auto"/>
          <w:sz w:val="24"/>
        </w:rPr>
        <w:t>一般区域</w:t>
      </w:r>
      <w:r>
        <w:rPr>
          <w:rFonts w:hint="eastAsia" w:cs="Times New Roman"/>
          <w:color w:val="auto"/>
          <w:sz w:val="24"/>
          <w:lang w:eastAsia="zh-CN"/>
        </w:rPr>
        <w:t>”</w:t>
      </w:r>
      <w:r>
        <w:rPr>
          <w:rFonts w:hint="default" w:ascii="Times New Roman" w:hAnsi="Times New Roman" w:eastAsia="宋体" w:cs="Times New Roman"/>
          <w:color w:val="auto"/>
          <w:sz w:val="24"/>
        </w:rPr>
        <w:t>，其中，特殊生态敏感区的定义为：</w:t>
      </w:r>
      <w:r>
        <w:rPr>
          <w:rFonts w:hint="eastAsia" w:cs="Times New Roman"/>
          <w:color w:val="auto"/>
          <w:sz w:val="24"/>
          <w:lang w:eastAsia="zh-CN"/>
        </w:rPr>
        <w:t>“</w:t>
      </w:r>
      <w:r>
        <w:rPr>
          <w:rFonts w:hint="default" w:ascii="Times New Roman" w:hAnsi="Times New Roman" w:eastAsia="宋体" w:cs="Times New Roman"/>
          <w:color w:val="auto"/>
          <w:sz w:val="24"/>
        </w:rPr>
        <w:t>指具有极重要的生态服务功能，生态系统极为脆弱或已有较为严重的生态问题，如遭到占用、损失或破坏后所造成的生态影响后果严重且难以预防、生态功能难以恢复和替代的区域，包括自然保护区、世界文化和自然遗产地等</w:t>
      </w:r>
      <w:r>
        <w:rPr>
          <w:rFonts w:hint="eastAsia" w:cs="Times New Roman"/>
          <w:color w:val="auto"/>
          <w:sz w:val="24"/>
          <w:lang w:eastAsia="zh-CN"/>
        </w:rPr>
        <w:t>”</w:t>
      </w:r>
      <w:r>
        <w:rPr>
          <w:rFonts w:hint="default" w:ascii="Times New Roman" w:hAnsi="Times New Roman" w:eastAsia="宋体" w:cs="Times New Roman"/>
          <w:color w:val="auto"/>
          <w:sz w:val="24"/>
        </w:rPr>
        <w:t>；重要生态敏感区定义为：</w:t>
      </w:r>
      <w:r>
        <w:rPr>
          <w:rFonts w:hint="eastAsia" w:cs="Times New Roman"/>
          <w:color w:val="auto"/>
          <w:sz w:val="24"/>
          <w:lang w:eastAsia="zh-CN"/>
        </w:rPr>
        <w:t>“</w:t>
      </w:r>
      <w:r>
        <w:rPr>
          <w:rFonts w:hint="default" w:ascii="Times New Roman" w:hAnsi="Times New Roman" w:eastAsia="宋体" w:cs="Times New Roman"/>
          <w:color w:val="auto"/>
          <w:sz w:val="24"/>
        </w:rPr>
        <w:t>具有相对重要的生态服务功能或生态系统较为脆弱，如遭到占用、损失或破坏后所造成的生态影响后果较严重，但可以通过一定措施加以预防、恢复和替代的区域，包括风景名胜区、森林公园、地质公园、重要湿地、原始天然林、珍稀濒危野生动植物天然集中分布区、重要水生生物的自然产卵场及索饵场、越冬场和洄游通道、天然渔场等</w:t>
      </w:r>
      <w:r>
        <w:rPr>
          <w:rFonts w:hint="eastAsia" w:cs="Times New Roman"/>
          <w:color w:val="auto"/>
          <w:sz w:val="24"/>
          <w:lang w:eastAsia="zh-CN"/>
        </w:rPr>
        <w:t>”</w:t>
      </w:r>
      <w:r>
        <w:rPr>
          <w:rFonts w:hint="default" w:ascii="Times New Roman" w:hAnsi="Times New Roman" w:eastAsia="宋体" w:cs="Times New Roman"/>
          <w:color w:val="auto"/>
          <w:sz w:val="24"/>
        </w:rPr>
        <w:t>；一般区域定义为：</w:t>
      </w:r>
      <w:r>
        <w:rPr>
          <w:rFonts w:hint="eastAsia" w:cs="Times New Roman"/>
          <w:color w:val="auto"/>
          <w:sz w:val="24"/>
          <w:lang w:eastAsia="zh-CN"/>
        </w:rPr>
        <w:t>“</w:t>
      </w:r>
      <w:r>
        <w:rPr>
          <w:rFonts w:hint="default" w:ascii="Times New Roman" w:hAnsi="Times New Roman" w:eastAsia="宋体" w:cs="Times New Roman"/>
          <w:color w:val="auto"/>
          <w:sz w:val="24"/>
        </w:rPr>
        <w:t>除特殊生态敏感区和重要生态敏感区以外的其他区域</w:t>
      </w:r>
      <w:r>
        <w:rPr>
          <w:rFonts w:hint="eastAsia" w:cs="Times New Roman"/>
          <w:color w:val="auto"/>
          <w:sz w:val="24"/>
          <w:lang w:eastAsia="zh-CN"/>
        </w:rPr>
        <w:t>”</w:t>
      </w:r>
      <w:r>
        <w:rPr>
          <w:rFonts w:hint="default" w:ascii="Times New Roman" w:hAnsi="Times New Roman" w:eastAsia="宋体" w:cs="Times New Roman"/>
          <w:color w:val="auto"/>
          <w:sz w:val="24"/>
        </w:rPr>
        <w:t>。本项目涉及的</w:t>
      </w:r>
      <w:r>
        <w:rPr>
          <w:rFonts w:hint="eastAsia" w:cs="Times New Roman"/>
          <w:color w:val="auto"/>
          <w:sz w:val="24"/>
          <w:lang w:eastAsia="zh-CN"/>
        </w:rPr>
        <w:t>“</w:t>
      </w:r>
      <w:r>
        <w:rPr>
          <w:rFonts w:hint="default" w:ascii="Times New Roman" w:hAnsi="Times New Roman" w:eastAsia="宋体" w:cs="Times New Roman"/>
          <w:color w:val="auto"/>
          <w:sz w:val="24"/>
          <w:lang w:val="en-US" w:eastAsia="zh-CN"/>
        </w:rPr>
        <w:t>渔洋山饮</w:t>
      </w:r>
      <w:r>
        <w:rPr>
          <w:rFonts w:hint="default" w:ascii="Times New Roman" w:hAnsi="Times New Roman" w:eastAsia="宋体" w:cs="Times New Roman"/>
          <w:color w:val="auto"/>
          <w:sz w:val="24"/>
        </w:rPr>
        <w:t>用水水源保护区</w:t>
      </w:r>
      <w:r>
        <w:rPr>
          <w:rFonts w:hint="eastAsia" w:cs="Times New Roman"/>
          <w:color w:val="auto"/>
          <w:sz w:val="24"/>
          <w:lang w:eastAsia="zh-CN"/>
        </w:rPr>
        <w:t>”</w:t>
      </w:r>
      <w:r>
        <w:rPr>
          <w:rFonts w:hint="default" w:ascii="Times New Roman" w:hAnsi="Times New Roman" w:eastAsia="宋体" w:cs="Times New Roman"/>
          <w:color w:val="auto"/>
          <w:sz w:val="24"/>
        </w:rPr>
        <w:t>和</w:t>
      </w:r>
      <w:r>
        <w:rPr>
          <w:rFonts w:hint="eastAsia" w:cs="Times New Roman"/>
          <w:color w:val="auto"/>
          <w:sz w:val="24"/>
          <w:lang w:eastAsia="zh-CN"/>
        </w:rPr>
        <w:t>“</w:t>
      </w:r>
      <w:r>
        <w:rPr>
          <w:rFonts w:hint="default" w:ascii="Times New Roman" w:hAnsi="Times New Roman" w:eastAsia="宋体" w:cs="Times New Roman"/>
          <w:color w:val="auto"/>
          <w:sz w:val="24"/>
        </w:rPr>
        <w:t>太湖重要保护区</w:t>
      </w:r>
      <w:r>
        <w:rPr>
          <w:rFonts w:hint="eastAsia" w:cs="Times New Roman"/>
          <w:color w:val="auto"/>
          <w:sz w:val="24"/>
          <w:lang w:eastAsia="zh-CN"/>
        </w:rPr>
        <w:t>”</w:t>
      </w:r>
      <w:r>
        <w:rPr>
          <w:rFonts w:hint="default" w:ascii="Times New Roman" w:hAnsi="Times New Roman" w:eastAsia="宋体" w:cs="Times New Roman"/>
          <w:color w:val="auto"/>
          <w:sz w:val="24"/>
        </w:rPr>
        <w:t>不属于特殊上台敏感区中规定的自然保护区、世界文化和自然遗产地，故本项目区域敏感性不属于</w:t>
      </w:r>
      <w:r>
        <w:rPr>
          <w:rFonts w:hint="eastAsia" w:cs="Times New Roman"/>
          <w:color w:val="auto"/>
          <w:sz w:val="24"/>
          <w:lang w:eastAsia="zh-CN"/>
        </w:rPr>
        <w:t>“</w:t>
      </w:r>
      <w:r>
        <w:rPr>
          <w:rFonts w:hint="default" w:ascii="Times New Roman" w:hAnsi="Times New Roman" w:eastAsia="宋体" w:cs="Times New Roman"/>
          <w:color w:val="auto"/>
          <w:sz w:val="24"/>
        </w:rPr>
        <w:t>特殊生态敏感区</w:t>
      </w:r>
      <w:r>
        <w:rPr>
          <w:rFonts w:hint="eastAsia" w:cs="Times New Roman"/>
          <w:color w:val="auto"/>
          <w:sz w:val="24"/>
          <w:lang w:eastAsia="zh-CN"/>
        </w:rPr>
        <w:t>”</w:t>
      </w:r>
      <w:r>
        <w:rPr>
          <w:rFonts w:hint="default" w:ascii="Times New Roman" w:hAnsi="Times New Roman" w:eastAsia="宋体" w:cs="Times New Roman"/>
          <w:color w:val="auto"/>
          <w:sz w:val="24"/>
        </w:rPr>
        <w:t>，根据《省政府关于印发江苏省生态空间管控区域规划的通知》苏政发〔2020〕1号，太湖重要保护区包括太湖重要湿地，故本项目区域敏感性属于</w:t>
      </w:r>
      <w:r>
        <w:rPr>
          <w:rFonts w:hint="eastAsia" w:cs="Times New Roman"/>
          <w:color w:val="auto"/>
          <w:sz w:val="24"/>
          <w:lang w:eastAsia="zh-CN"/>
        </w:rPr>
        <w:t>“</w:t>
      </w:r>
      <w:r>
        <w:rPr>
          <w:rFonts w:hint="default" w:ascii="Times New Roman" w:hAnsi="Times New Roman" w:eastAsia="宋体" w:cs="Times New Roman"/>
          <w:color w:val="auto"/>
          <w:sz w:val="24"/>
        </w:rPr>
        <w:t>重要生态敏感区</w:t>
      </w:r>
      <w:r>
        <w:rPr>
          <w:rFonts w:hint="eastAsia" w:cs="Times New Roman"/>
          <w:color w:val="auto"/>
          <w:sz w:val="24"/>
          <w:lang w:eastAsia="zh-CN"/>
        </w:rPr>
        <w:t>”</w:t>
      </w:r>
      <w:r>
        <w:rPr>
          <w:rFonts w:hint="default" w:ascii="Times New Roman" w:hAnsi="Times New Roman" w:eastAsia="宋体" w:cs="Times New Roman"/>
          <w:color w:val="auto"/>
          <w:sz w:val="24"/>
        </w:rPr>
        <w:t>，且本次</w:t>
      </w:r>
      <w:r>
        <w:rPr>
          <w:rFonts w:hint="default" w:ascii="Times New Roman" w:hAnsi="Times New Roman" w:eastAsia="宋体" w:cs="Times New Roman"/>
          <w:color w:val="auto"/>
          <w:sz w:val="24"/>
          <w:lang w:val="en-US" w:eastAsia="zh-CN"/>
        </w:rPr>
        <w:t>工程水域</w:t>
      </w:r>
      <w:r>
        <w:rPr>
          <w:rFonts w:hint="default" w:ascii="Times New Roman" w:hAnsi="Times New Roman" w:eastAsia="宋体" w:cs="Times New Roman"/>
          <w:color w:val="auto"/>
          <w:sz w:val="24"/>
        </w:rPr>
        <w:t>面积</w:t>
      </w:r>
      <w:r>
        <w:rPr>
          <w:rFonts w:hint="default" w:ascii="Times New Roman" w:hAnsi="Times New Roman" w:eastAsia="宋体" w:cs="Times New Roman"/>
          <w:color w:val="auto"/>
          <w:sz w:val="24"/>
          <w:lang w:val="en-US" w:eastAsia="zh-CN"/>
        </w:rPr>
        <w:t>为</w:t>
      </w:r>
      <w:r>
        <w:rPr>
          <w:rFonts w:hint="default" w:ascii="Times New Roman" w:hAnsi="Times New Roman" w:eastAsia="宋体" w:cs="Times New Roman"/>
          <w:color w:val="auto"/>
          <w:sz w:val="24"/>
        </w:rPr>
        <w:t>0.</w:t>
      </w:r>
      <w:r>
        <w:rPr>
          <w:rFonts w:hint="default" w:ascii="Times New Roman" w:hAnsi="Times New Roman" w:eastAsia="宋体" w:cs="Times New Roman"/>
          <w:color w:val="auto"/>
          <w:sz w:val="24"/>
          <w:lang w:val="en-US" w:eastAsia="zh-CN"/>
        </w:rPr>
        <w:t>12</w:t>
      </w:r>
      <w:r>
        <w:rPr>
          <w:rFonts w:hint="default" w:ascii="Times New Roman" w:hAnsi="Times New Roman" w:eastAsia="宋体" w:cs="Times New Roman"/>
          <w:color w:val="auto"/>
          <w:sz w:val="24"/>
        </w:rPr>
        <w:t>km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，根据《环境影响评价技术导则—生态影响》中</w:t>
      </w:r>
      <w:r>
        <w:rPr>
          <w:rFonts w:hint="eastAsia" w:cs="Times New Roman"/>
          <w:color w:val="auto"/>
          <w:sz w:val="24"/>
          <w:lang w:eastAsia="zh-CN"/>
        </w:rPr>
        <w:t>“</w:t>
      </w:r>
      <w:r>
        <w:rPr>
          <w:rFonts w:hint="default" w:ascii="Times New Roman" w:hAnsi="Times New Roman" w:eastAsia="宋体" w:cs="Times New Roman"/>
          <w:color w:val="auto"/>
          <w:sz w:val="24"/>
        </w:rPr>
        <w:t>生态影响评价工作等级划分表</w:t>
      </w:r>
      <w:r>
        <w:rPr>
          <w:rFonts w:hint="eastAsia" w:cs="Times New Roman"/>
          <w:color w:val="auto"/>
          <w:sz w:val="24"/>
          <w:lang w:eastAsia="zh-CN"/>
        </w:rPr>
        <w:t>”</w:t>
      </w:r>
      <w:r>
        <w:rPr>
          <w:rFonts w:hint="default" w:ascii="Times New Roman" w:hAnsi="Times New Roman" w:eastAsia="宋体" w:cs="Times New Roman"/>
          <w:color w:val="auto"/>
          <w:sz w:val="24"/>
        </w:rPr>
        <w:t>，建设项目所在地生态环境敏感程度等级为三级。</w:t>
      </w:r>
    </w:p>
    <w:p>
      <w:pPr>
        <w:snapToGrid w:val="0"/>
        <w:spacing w:line="480" w:lineRule="exact"/>
        <w:ind w:firstLine="482" w:firstLineChars="20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表2.3-</w:t>
      </w:r>
      <w:r>
        <w:rPr>
          <w:rFonts w:hint="eastAsia" w:cs="Times New Roman"/>
          <w:b/>
          <w:bCs/>
          <w:color w:val="auto"/>
          <w:lang w:val="en-US" w:eastAsia="zh-CN"/>
        </w:rPr>
        <w:t>3</w:t>
      </w:r>
      <w:r>
        <w:rPr>
          <w:rFonts w:hint="default" w:ascii="Times New Roman" w:hAnsi="Times New Roman" w:eastAsia="宋体" w:cs="Times New Roman"/>
          <w:b/>
          <w:bCs/>
          <w:color w:val="auto"/>
          <w:lang w:val="en-US" w:eastAsia="zh-CN"/>
        </w:rPr>
        <w:t xml:space="preserve"> 生态影响评价工作等级划分表</w:t>
      </w:r>
    </w:p>
    <w:tbl>
      <w:tblPr>
        <w:tblStyle w:val="55"/>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62"/>
        <w:gridCol w:w="2300"/>
        <w:gridCol w:w="2438"/>
        <w:gridCol w:w="19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62" w:type="dxa"/>
            <w:vMerge w:val="restart"/>
            <w:noWrap w:val="0"/>
            <w:vAlign w:val="center"/>
          </w:tcPr>
          <w:p>
            <w:pPr>
              <w:spacing w:line="32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影响区域生态敏感性</w:t>
            </w:r>
          </w:p>
        </w:tc>
        <w:tc>
          <w:tcPr>
            <w:tcW w:w="6694" w:type="dxa"/>
            <w:gridSpan w:val="3"/>
            <w:noWrap w:val="0"/>
            <w:vAlign w:val="center"/>
          </w:tcPr>
          <w:p>
            <w:pPr>
              <w:spacing w:line="32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工程占地（水域）范围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62" w:type="dxa"/>
            <w:vMerge w:val="continue"/>
            <w:noWrap w:val="0"/>
            <w:vAlign w:val="center"/>
          </w:tcPr>
          <w:p>
            <w:pPr>
              <w:spacing w:line="320" w:lineRule="exact"/>
              <w:jc w:val="center"/>
              <w:rPr>
                <w:rFonts w:hint="default" w:ascii="Times New Roman" w:hAnsi="Times New Roman" w:eastAsia="宋体" w:cs="Times New Roman"/>
                <w:b/>
                <w:bCs/>
                <w:sz w:val="21"/>
                <w:szCs w:val="21"/>
              </w:rPr>
            </w:pPr>
          </w:p>
        </w:tc>
        <w:tc>
          <w:tcPr>
            <w:tcW w:w="2300" w:type="dxa"/>
            <w:noWrap w:val="0"/>
            <w:vAlign w:val="center"/>
          </w:tcPr>
          <w:p>
            <w:pPr>
              <w:spacing w:line="32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面积≥20km</w:t>
            </w:r>
            <w:r>
              <w:rPr>
                <w:rFonts w:hint="default" w:ascii="Times New Roman" w:hAnsi="Times New Roman" w:eastAsia="宋体" w:cs="Times New Roman"/>
                <w:b/>
                <w:bCs/>
                <w:sz w:val="21"/>
                <w:szCs w:val="21"/>
                <w:vertAlign w:val="superscript"/>
              </w:rPr>
              <w:t>2</w:t>
            </w:r>
            <w:r>
              <w:rPr>
                <w:rFonts w:hint="default" w:ascii="Times New Roman" w:hAnsi="Times New Roman" w:eastAsia="宋体" w:cs="Times New Roman"/>
                <w:b/>
                <w:bCs/>
                <w:sz w:val="21"/>
                <w:szCs w:val="21"/>
              </w:rPr>
              <w:t>或长度≥100km</w:t>
            </w:r>
          </w:p>
        </w:tc>
        <w:tc>
          <w:tcPr>
            <w:tcW w:w="2438" w:type="dxa"/>
            <w:noWrap w:val="0"/>
            <w:vAlign w:val="center"/>
          </w:tcPr>
          <w:p>
            <w:pPr>
              <w:spacing w:line="32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面积2km</w:t>
            </w:r>
            <w:r>
              <w:rPr>
                <w:rFonts w:hint="default" w:ascii="Times New Roman" w:hAnsi="Times New Roman" w:eastAsia="宋体" w:cs="Times New Roman"/>
                <w:b/>
                <w:bCs/>
                <w:sz w:val="21"/>
                <w:szCs w:val="21"/>
                <w:vertAlign w:val="superscript"/>
              </w:rPr>
              <w:t>2</w:t>
            </w:r>
            <w:r>
              <w:rPr>
                <w:rFonts w:hint="default" w:ascii="Times New Roman" w:hAnsi="Times New Roman" w:eastAsia="宋体" w:cs="Times New Roman"/>
                <w:b/>
                <w:bCs/>
                <w:sz w:val="21"/>
                <w:szCs w:val="21"/>
              </w:rPr>
              <w:t>～20km</w:t>
            </w:r>
            <w:r>
              <w:rPr>
                <w:rFonts w:hint="default" w:ascii="Times New Roman" w:hAnsi="Times New Roman" w:eastAsia="宋体" w:cs="Times New Roman"/>
                <w:b/>
                <w:bCs/>
                <w:sz w:val="21"/>
                <w:szCs w:val="21"/>
                <w:vertAlign w:val="superscript"/>
              </w:rPr>
              <w:t>2</w:t>
            </w:r>
            <w:r>
              <w:rPr>
                <w:rFonts w:hint="default" w:ascii="Times New Roman" w:hAnsi="Times New Roman" w:eastAsia="宋体" w:cs="Times New Roman"/>
                <w:b/>
                <w:bCs/>
                <w:sz w:val="21"/>
                <w:szCs w:val="21"/>
              </w:rPr>
              <w:t>或长度50km～100km</w:t>
            </w:r>
          </w:p>
        </w:tc>
        <w:tc>
          <w:tcPr>
            <w:tcW w:w="1956" w:type="dxa"/>
            <w:noWrap w:val="0"/>
            <w:vAlign w:val="center"/>
          </w:tcPr>
          <w:p>
            <w:pPr>
              <w:spacing w:line="32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面积≤2km</w:t>
            </w:r>
            <w:r>
              <w:rPr>
                <w:rFonts w:hint="default" w:ascii="Times New Roman" w:hAnsi="Times New Roman" w:eastAsia="宋体" w:cs="Times New Roman"/>
                <w:b/>
                <w:bCs/>
                <w:sz w:val="21"/>
                <w:szCs w:val="21"/>
                <w:vertAlign w:val="superscript"/>
              </w:rPr>
              <w:t>2</w:t>
            </w:r>
            <w:r>
              <w:rPr>
                <w:rFonts w:hint="default" w:ascii="Times New Roman" w:hAnsi="Times New Roman" w:eastAsia="宋体" w:cs="Times New Roman"/>
                <w:b/>
                <w:bCs/>
                <w:sz w:val="21"/>
                <w:szCs w:val="21"/>
              </w:rPr>
              <w:t>或长度≤50km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62"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特殊生态敏感区</w:t>
            </w:r>
          </w:p>
        </w:tc>
        <w:tc>
          <w:tcPr>
            <w:tcW w:w="2300" w:type="dxa"/>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一级</w:t>
            </w:r>
          </w:p>
        </w:tc>
        <w:tc>
          <w:tcPr>
            <w:tcW w:w="2438"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一级</w:t>
            </w:r>
          </w:p>
        </w:tc>
        <w:tc>
          <w:tcPr>
            <w:tcW w:w="1956"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一级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62"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重要生态敏感区</w:t>
            </w:r>
          </w:p>
        </w:tc>
        <w:tc>
          <w:tcPr>
            <w:tcW w:w="2300"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一级</w:t>
            </w:r>
          </w:p>
        </w:tc>
        <w:tc>
          <w:tcPr>
            <w:tcW w:w="2438"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二级</w:t>
            </w:r>
          </w:p>
        </w:tc>
        <w:tc>
          <w:tcPr>
            <w:tcW w:w="1956"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62"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一般区域</w:t>
            </w:r>
          </w:p>
        </w:tc>
        <w:tc>
          <w:tcPr>
            <w:tcW w:w="2300"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二级</w:t>
            </w:r>
          </w:p>
        </w:tc>
        <w:tc>
          <w:tcPr>
            <w:tcW w:w="2438"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三级</w:t>
            </w:r>
          </w:p>
        </w:tc>
        <w:tc>
          <w:tcPr>
            <w:tcW w:w="1956"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三级</w:t>
            </w:r>
          </w:p>
        </w:tc>
      </w:tr>
    </w:tbl>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（5）环境风险分析等级</w:t>
      </w:r>
    </w:p>
    <w:p>
      <w:pPr>
        <w:spacing w:line="500" w:lineRule="exact"/>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根据《建设项目环境风险评价技术导则》（HJ169-2018），环境风险评价工作等级的划分依据建设项目涉及的物质及工艺系统危险性和所在地的环境敏感性确定环境风险潜势，按照表2.4-11确定评价工作等级。环境风险潜势根据建设项目涉及的物质和工艺系统的危险性及其所在的环境敏感程度，结合事故情形下环境影响途径，对建设项目潜在环境危害程度进行概化分析，按照表2.4-12确定。危险物质及工艺系统危险性（P）的分级根据危险物质数量与临界值的比值（Q） 和所属行业及生产工艺特定（M）确定，根据《建设项目环境风险评价技术导则》（HJ 169-2018），因本工程未涉及附录C中相关行业、工艺及物质，故危害等级为低于轻度危害，风险潜势为Ⅰ；故确定本项目风险评价为简单分析。</w:t>
      </w:r>
    </w:p>
    <w:p>
      <w:pPr>
        <w:snapToGrid w:val="0"/>
        <w:spacing w:line="480" w:lineRule="exact"/>
        <w:ind w:firstLine="482" w:firstLineChars="200"/>
        <w:jc w:val="center"/>
        <w:rPr>
          <w:rFonts w:hint="default" w:ascii="Times New Roman" w:hAnsi="Times New Roman" w:eastAsia="宋体" w:cs="Times New Roman"/>
          <w:b/>
          <w:bCs/>
          <w:color w:val="auto"/>
          <w:lang w:val="en-US" w:eastAsia="zh-CN"/>
        </w:rPr>
      </w:pPr>
      <w:bookmarkStart w:id="143" w:name="_Hlk21881179"/>
      <w:r>
        <w:rPr>
          <w:rFonts w:hint="default" w:ascii="Times New Roman" w:hAnsi="Times New Roman" w:eastAsia="宋体" w:cs="Times New Roman"/>
          <w:b/>
          <w:bCs/>
          <w:color w:val="auto"/>
          <w:lang w:val="en-US" w:eastAsia="zh-CN"/>
        </w:rPr>
        <w:t>表2.3-</w:t>
      </w:r>
      <w:bookmarkEnd w:id="143"/>
      <w:r>
        <w:rPr>
          <w:rFonts w:hint="eastAsia" w:cs="Times New Roman"/>
          <w:b/>
          <w:bCs/>
          <w:color w:val="auto"/>
          <w:lang w:val="en-US" w:eastAsia="zh-CN"/>
        </w:rPr>
        <w:t>4</w:t>
      </w:r>
      <w:r>
        <w:rPr>
          <w:rFonts w:hint="default" w:ascii="Times New Roman" w:hAnsi="Times New Roman" w:eastAsia="宋体" w:cs="Times New Roman"/>
          <w:b/>
          <w:bCs/>
          <w:color w:val="auto"/>
          <w:lang w:val="en-US" w:eastAsia="zh-CN"/>
        </w:rPr>
        <w:t xml:space="preserve">  评价工作等级划分</w:t>
      </w:r>
    </w:p>
    <w:tbl>
      <w:tblPr>
        <w:tblStyle w:val="5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54"/>
        <w:gridCol w:w="1775"/>
        <w:gridCol w:w="1775"/>
        <w:gridCol w:w="1775"/>
        <w:gridCol w:w="17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1" w:type="pct"/>
            <w:tcBorders>
              <w:top w:val="single" w:color="auto" w:sz="12" w:space="0"/>
              <w:left w:val="nil"/>
              <w:bottom w:val="single" w:color="auto" w:sz="4" w:space="0"/>
              <w:right w:val="single" w:color="auto" w:sz="4" w:space="0"/>
            </w:tcBorders>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环境风险潜势</w:t>
            </w:r>
          </w:p>
        </w:tc>
        <w:tc>
          <w:tcPr>
            <w:tcW w:w="1002" w:type="pct"/>
            <w:tcBorders>
              <w:top w:val="single" w:color="auto" w:sz="12" w:space="0"/>
              <w:left w:val="nil"/>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vertAlign w:val="superscript"/>
              </w:rPr>
            </w:pPr>
            <w:r>
              <w:rPr>
                <w:rFonts w:hint="default" w:ascii="Times New Roman" w:hAnsi="Times New Roman" w:eastAsia="宋体" w:cs="Times New Roman"/>
                <w:color w:val="auto"/>
                <w:sz w:val="21"/>
                <w:szCs w:val="21"/>
              </w:rPr>
              <w:t>Ⅳ、Ⅳ</w:t>
            </w:r>
            <w:r>
              <w:rPr>
                <w:rFonts w:hint="default" w:ascii="Times New Roman" w:hAnsi="Times New Roman" w:eastAsia="宋体" w:cs="Times New Roman"/>
                <w:color w:val="auto"/>
                <w:sz w:val="21"/>
                <w:szCs w:val="21"/>
                <w:vertAlign w:val="superscript"/>
              </w:rPr>
              <w:t>+</w:t>
            </w:r>
          </w:p>
        </w:tc>
        <w:tc>
          <w:tcPr>
            <w:tcW w:w="1002" w:type="pct"/>
            <w:tcBorders>
              <w:top w:val="single" w:color="auto" w:sz="12" w:space="0"/>
              <w:left w:val="nil"/>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w:t>
            </w:r>
          </w:p>
        </w:tc>
        <w:tc>
          <w:tcPr>
            <w:tcW w:w="1002" w:type="pct"/>
            <w:tcBorders>
              <w:top w:val="single" w:color="auto" w:sz="12" w:space="0"/>
              <w:left w:val="nil"/>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Ⅱ</w:t>
            </w:r>
          </w:p>
        </w:tc>
        <w:tc>
          <w:tcPr>
            <w:tcW w:w="1002" w:type="pct"/>
            <w:tcBorders>
              <w:top w:val="single" w:color="auto" w:sz="12" w:space="0"/>
              <w:left w:val="nil"/>
              <w:bottom w:val="single" w:color="auto" w:sz="4" w:space="0"/>
              <w:right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1" w:type="pct"/>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评价工作等级</w:t>
            </w:r>
          </w:p>
        </w:tc>
        <w:tc>
          <w:tcPr>
            <w:tcW w:w="1002" w:type="pct"/>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w:t>
            </w:r>
          </w:p>
        </w:tc>
        <w:tc>
          <w:tcPr>
            <w:tcW w:w="1002" w:type="pct"/>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w:t>
            </w:r>
          </w:p>
        </w:tc>
        <w:tc>
          <w:tcPr>
            <w:tcW w:w="1002" w:type="pct"/>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w:t>
            </w:r>
          </w:p>
        </w:tc>
        <w:tc>
          <w:tcPr>
            <w:tcW w:w="1002" w:type="pct"/>
            <w:tcBorders>
              <w:top w:val="single" w:color="auto" w:sz="4" w:space="0"/>
              <w:left w:val="nil"/>
              <w:bottom w:val="single" w:color="auto" w:sz="4" w:space="0"/>
              <w:right w:val="nil"/>
            </w:tcBorders>
            <w:vAlign w:val="center"/>
          </w:tcPr>
          <w:p>
            <w:pPr>
              <w:jc w:val="center"/>
              <w:rPr>
                <w:rFonts w:hint="default" w:ascii="Times New Roman" w:hAnsi="Times New Roman" w:eastAsia="宋体" w:cs="Times New Roman"/>
                <w:color w:val="auto"/>
                <w:sz w:val="21"/>
                <w:szCs w:val="21"/>
                <w:vertAlign w:val="superscript"/>
              </w:rPr>
            </w:pPr>
            <w:r>
              <w:rPr>
                <w:rFonts w:hint="default" w:ascii="Times New Roman" w:hAnsi="Times New Roman" w:eastAsia="宋体" w:cs="Times New Roman"/>
                <w:b/>
                <w:bCs/>
                <w:color w:val="auto"/>
                <w:sz w:val="21"/>
                <w:szCs w:val="21"/>
              </w:rPr>
              <w:t>简单分析</w:t>
            </w:r>
            <w:r>
              <w:rPr>
                <w:rFonts w:hint="default" w:ascii="Times New Roman" w:hAnsi="Times New Roman" w:eastAsia="宋体" w:cs="Times New Roman"/>
                <w:b/>
                <w:bCs/>
                <w:color w:val="auto"/>
                <w:sz w:val="21"/>
                <w:szCs w:val="21"/>
                <w:vertAlign w:val="superscript"/>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5"/>
            <w:tcBorders>
              <w:top w:val="single" w:color="auto" w:sz="4" w:space="0"/>
              <w:left w:val="nil"/>
              <w:bottom w:val="single" w:color="auto" w:sz="12" w:space="0"/>
              <w:right w:val="nil"/>
            </w:tcBorders>
            <w:vAlign w:val="center"/>
          </w:tcPr>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superscript"/>
              </w:rPr>
              <w:t>a</w:t>
            </w:r>
            <w:r>
              <w:rPr>
                <w:rFonts w:hint="default" w:ascii="Times New Roman" w:hAnsi="Times New Roman" w:eastAsia="宋体" w:cs="Times New Roman"/>
                <w:color w:val="auto"/>
                <w:sz w:val="21"/>
                <w:szCs w:val="21"/>
              </w:rPr>
              <w:t>是相对于详细评价工作内容而言，在描述危险物质、环境影响途径、环境危害后果、风险防范措施等方面给出定性的说明。</w:t>
            </w:r>
          </w:p>
        </w:tc>
      </w:tr>
    </w:tbl>
    <w:p>
      <w:pPr>
        <w:pStyle w:val="8"/>
        <w:snapToGrid w:val="0"/>
        <w:spacing w:line="470" w:lineRule="exact"/>
        <w:ind w:firstLine="480" w:firstLineChars="200"/>
        <w:jc w:val="both"/>
        <w:rPr>
          <w:rFonts w:hint="default" w:ascii="Times New Roman" w:hAnsi="Times New Roman" w:eastAsia="宋体" w:cs="Times New Roman"/>
          <w:color w:val="auto"/>
          <w:sz w:val="24"/>
          <w:szCs w:val="24"/>
        </w:rPr>
      </w:pPr>
      <w:bookmarkStart w:id="144" w:name="_Toc492644494"/>
      <w:bookmarkStart w:id="145" w:name="_Toc507334555"/>
      <w:bookmarkStart w:id="146" w:name="_Toc503461513"/>
      <w:r>
        <w:rPr>
          <w:rFonts w:hint="default" w:ascii="Times New Roman" w:hAnsi="Times New Roman" w:eastAsia="宋体" w:cs="Times New Roman"/>
          <w:color w:val="auto"/>
          <w:sz w:val="24"/>
          <w:szCs w:val="24"/>
        </w:rPr>
        <w:t>（6）土壤环境影响分析等级</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根据《环境影响评价技术导则土壤环境》（HJ964-2018）中附录A，根据行业特征、工艺特点或规模大小将建设项目类别分为I类、II类、III类、IV类，其中IV类建设项目可不展开土壤环境影响评价。</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对照《环境影响评价技术导则土壤环境》（HJ964-2018），本项目属于生态影响型项目。根据导则附录A</w:t>
      </w:r>
      <w:r>
        <w:rPr>
          <w:rFonts w:hint="eastAsia" w:cs="Times New Roman"/>
          <w:color w:val="auto"/>
          <w:lang w:eastAsia="zh-CN"/>
        </w:rPr>
        <w:t>“</w:t>
      </w:r>
      <w:r>
        <w:rPr>
          <w:rFonts w:hint="default" w:ascii="Times New Roman" w:hAnsi="Times New Roman" w:eastAsia="宋体" w:cs="Times New Roman"/>
          <w:color w:val="auto"/>
        </w:rPr>
        <w:t>注2：建设项目土壤环境影响评价项目类别不在本表的，可根据土壤环境影响源、影响途径、影响因子的识别结果，参照相近或相似项目类别确定</w:t>
      </w:r>
      <w:r>
        <w:rPr>
          <w:rFonts w:hint="eastAsia" w:cs="Times New Roman"/>
          <w:color w:val="auto"/>
          <w:lang w:eastAsia="zh-CN"/>
        </w:rPr>
        <w:t>”</w:t>
      </w:r>
      <w:r>
        <w:rPr>
          <w:rFonts w:hint="default" w:ascii="Times New Roman" w:hAnsi="Times New Roman" w:eastAsia="宋体" w:cs="Times New Roman"/>
          <w:color w:val="auto"/>
        </w:rPr>
        <w:t>得出，本项目参照</w:t>
      </w:r>
      <w:r>
        <w:rPr>
          <w:rFonts w:hint="eastAsia" w:cs="Times New Roman"/>
          <w:color w:val="auto"/>
          <w:lang w:eastAsia="zh-CN"/>
        </w:rPr>
        <w:t>“</w:t>
      </w:r>
      <w:r>
        <w:rPr>
          <w:rFonts w:hint="default" w:ascii="Times New Roman" w:hAnsi="Times New Roman" w:eastAsia="宋体" w:cs="Times New Roman"/>
          <w:color w:val="auto"/>
        </w:rPr>
        <w:t>水利</w:t>
      </w:r>
      <w:r>
        <w:rPr>
          <w:rFonts w:hint="eastAsia" w:cs="Times New Roman"/>
          <w:color w:val="auto"/>
          <w:lang w:eastAsia="zh-CN"/>
        </w:rPr>
        <w:t>”</w:t>
      </w:r>
      <w:r>
        <w:rPr>
          <w:rFonts w:hint="default" w:ascii="Times New Roman" w:hAnsi="Times New Roman" w:eastAsia="宋体" w:cs="Times New Roman"/>
          <w:color w:val="auto"/>
        </w:rPr>
        <w:t>中</w:t>
      </w:r>
      <w:r>
        <w:rPr>
          <w:rFonts w:hint="eastAsia" w:cs="Times New Roman"/>
          <w:color w:val="auto"/>
          <w:lang w:eastAsia="zh-CN"/>
        </w:rPr>
        <w:t>“</w:t>
      </w:r>
      <w:r>
        <w:rPr>
          <w:rFonts w:hint="default" w:ascii="Times New Roman" w:hAnsi="Times New Roman" w:eastAsia="宋体" w:cs="Times New Roman"/>
          <w:color w:val="auto"/>
        </w:rPr>
        <w:t>其他</w:t>
      </w:r>
      <w:r>
        <w:rPr>
          <w:rFonts w:hint="eastAsia" w:cs="Times New Roman"/>
          <w:color w:val="auto"/>
          <w:lang w:eastAsia="zh-CN"/>
        </w:rPr>
        <w:t>”</w:t>
      </w:r>
      <w:r>
        <w:rPr>
          <w:rFonts w:hint="default" w:ascii="Times New Roman" w:hAnsi="Times New Roman" w:eastAsia="宋体" w:cs="Times New Roman"/>
          <w:color w:val="auto"/>
        </w:rPr>
        <w:t>项目类别，属于Ⅲ类项目，本项目为生态影响型项目，故还需按照导则中生态影响型判断标准，对本项目进行判断。</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根据《环境影响评价技术导则土壤环境》（HJ964-2018）中</w:t>
      </w:r>
      <w:r>
        <w:rPr>
          <w:rFonts w:hint="eastAsia" w:cs="Times New Roman"/>
          <w:color w:val="auto"/>
          <w:lang w:eastAsia="zh-CN"/>
        </w:rPr>
        <w:t>“</w:t>
      </w:r>
      <w:r>
        <w:rPr>
          <w:rFonts w:hint="default" w:ascii="Times New Roman" w:hAnsi="Times New Roman" w:eastAsia="宋体" w:cs="Times New Roman"/>
          <w:color w:val="auto"/>
        </w:rPr>
        <w:t>生态影响型敏感程度分级表</w:t>
      </w:r>
      <w:r>
        <w:rPr>
          <w:rFonts w:hint="eastAsia" w:cs="Times New Roman"/>
          <w:color w:val="auto"/>
          <w:lang w:eastAsia="zh-CN"/>
        </w:rPr>
        <w:t>”</w:t>
      </w:r>
      <w:r>
        <w:rPr>
          <w:rFonts w:hint="default" w:ascii="Times New Roman" w:hAnsi="Times New Roman" w:eastAsia="宋体" w:cs="Times New Roman"/>
          <w:color w:val="auto"/>
        </w:rPr>
        <w:t>，建设项目所在地土壤环境敏感程度为不敏感。</w:t>
      </w:r>
    </w:p>
    <w:p>
      <w:pPr>
        <w:snapToGrid w:val="0"/>
        <w:spacing w:line="480" w:lineRule="exact"/>
        <w:ind w:firstLine="482" w:firstLineChars="20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表2.3-</w:t>
      </w:r>
      <w:r>
        <w:rPr>
          <w:rFonts w:hint="eastAsia" w:cs="Times New Roman"/>
          <w:b/>
          <w:bCs/>
          <w:color w:val="auto"/>
          <w:lang w:val="en-US" w:eastAsia="zh-CN"/>
        </w:rPr>
        <w:t>5</w:t>
      </w:r>
      <w:r>
        <w:rPr>
          <w:rFonts w:hint="default" w:ascii="Times New Roman" w:hAnsi="Times New Roman" w:eastAsia="宋体" w:cs="Times New Roman"/>
          <w:b/>
          <w:bCs/>
          <w:color w:val="auto"/>
          <w:lang w:val="en-US" w:eastAsia="zh-CN"/>
        </w:rPr>
        <w:t xml:space="preserve"> 生态影响型敏感程度分级表</w:t>
      </w:r>
    </w:p>
    <w:tbl>
      <w:tblPr>
        <w:tblStyle w:val="55"/>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5"/>
        <w:gridCol w:w="4800"/>
        <w:gridCol w:w="1437"/>
        <w:gridCol w:w="14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5" w:type="dxa"/>
            <w:vMerge w:val="restart"/>
            <w:noWrap w:val="0"/>
            <w:vAlign w:val="center"/>
          </w:tcPr>
          <w:p>
            <w:pPr>
              <w:spacing w:line="32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敏感程度</w:t>
            </w:r>
          </w:p>
        </w:tc>
        <w:tc>
          <w:tcPr>
            <w:tcW w:w="7681" w:type="dxa"/>
            <w:gridSpan w:val="3"/>
            <w:noWrap w:val="0"/>
            <w:vAlign w:val="center"/>
          </w:tcPr>
          <w:p>
            <w:pPr>
              <w:spacing w:line="32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判别依据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5" w:type="dxa"/>
            <w:vMerge w:val="continue"/>
            <w:noWrap w:val="0"/>
            <w:vAlign w:val="center"/>
          </w:tcPr>
          <w:p>
            <w:pPr>
              <w:spacing w:line="320" w:lineRule="exact"/>
              <w:jc w:val="center"/>
              <w:rPr>
                <w:rFonts w:hint="default" w:ascii="Times New Roman" w:hAnsi="Times New Roman" w:eastAsia="宋体" w:cs="Times New Roman"/>
                <w:b/>
                <w:bCs/>
                <w:sz w:val="21"/>
                <w:szCs w:val="21"/>
              </w:rPr>
            </w:pPr>
          </w:p>
        </w:tc>
        <w:tc>
          <w:tcPr>
            <w:tcW w:w="4800" w:type="dxa"/>
            <w:noWrap w:val="0"/>
            <w:vAlign w:val="center"/>
          </w:tcPr>
          <w:p>
            <w:pPr>
              <w:spacing w:line="320" w:lineRule="exact"/>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盐化</w:t>
            </w:r>
          </w:p>
        </w:tc>
        <w:tc>
          <w:tcPr>
            <w:tcW w:w="1437" w:type="dxa"/>
            <w:noWrap w:val="0"/>
            <w:vAlign w:val="center"/>
          </w:tcPr>
          <w:p>
            <w:pPr>
              <w:spacing w:line="320" w:lineRule="exact"/>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酸化</w:t>
            </w:r>
          </w:p>
        </w:tc>
        <w:tc>
          <w:tcPr>
            <w:tcW w:w="1444" w:type="dxa"/>
            <w:noWrap w:val="0"/>
            <w:vAlign w:val="center"/>
          </w:tcPr>
          <w:p>
            <w:pPr>
              <w:spacing w:line="320" w:lineRule="exact"/>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碱化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5"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敏感</w:t>
            </w:r>
          </w:p>
        </w:tc>
        <w:tc>
          <w:tcPr>
            <w:tcW w:w="4800" w:type="dxa"/>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建设项目所在地干燥度a＞2.5且常年地下水位平均埋深＜1.5m的地势平坦区；或土壤含盐量＞4g/kg的区域</w:t>
            </w:r>
          </w:p>
        </w:tc>
        <w:tc>
          <w:tcPr>
            <w:tcW w:w="1437"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pH≤4.5</w:t>
            </w:r>
          </w:p>
        </w:tc>
        <w:tc>
          <w:tcPr>
            <w:tcW w:w="1444"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5" w:type="dxa"/>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较敏感</w:t>
            </w:r>
          </w:p>
        </w:tc>
        <w:tc>
          <w:tcPr>
            <w:tcW w:w="4800"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项目所在地干燥度＞2.5且常年地下水位平均埋深≥1.5m的，或1.8＜干燥度≤2.5且常年地下水位平均埋深＜1.8的地势平坦区域；建设项目所在地干燥度2.5或常年地下水位平均埋深＜1.5m的平原区；或2g/kg＜土壤含盐量≤4g/kg的区域</w:t>
            </w:r>
          </w:p>
        </w:tc>
        <w:tc>
          <w:tcPr>
            <w:tcW w:w="1437"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4.5&lt;pH≤5.5</w:t>
            </w:r>
          </w:p>
        </w:tc>
        <w:tc>
          <w:tcPr>
            <w:tcW w:w="1444"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8.5≤pH&lt;9.0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5"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不</w:t>
            </w:r>
            <w:r>
              <w:rPr>
                <w:rFonts w:hint="default" w:ascii="Times New Roman" w:hAnsi="Times New Roman" w:eastAsia="宋体" w:cs="Times New Roman"/>
                <w:sz w:val="21"/>
                <w:szCs w:val="21"/>
              </w:rPr>
              <w:t>敏感</w:t>
            </w:r>
          </w:p>
        </w:tc>
        <w:tc>
          <w:tcPr>
            <w:tcW w:w="4800"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其他</w:t>
            </w:r>
          </w:p>
        </w:tc>
        <w:tc>
          <w:tcPr>
            <w:tcW w:w="2881" w:type="dxa"/>
            <w:gridSpan w:val="2"/>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5.5&lt;pH&lt;8.5</w:t>
            </w:r>
          </w:p>
        </w:tc>
      </w:tr>
    </w:tbl>
    <w:p>
      <w:pPr>
        <w:snapToGrid w:val="0"/>
        <w:spacing w:line="480" w:lineRule="exact"/>
        <w:ind w:firstLine="482" w:firstLineChars="20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表2.3-</w:t>
      </w:r>
      <w:r>
        <w:rPr>
          <w:rFonts w:hint="eastAsia" w:cs="Times New Roman"/>
          <w:b/>
          <w:bCs/>
          <w:color w:val="auto"/>
          <w:lang w:val="en-US" w:eastAsia="zh-CN"/>
        </w:rPr>
        <w:t>6</w:t>
      </w:r>
      <w:r>
        <w:rPr>
          <w:rFonts w:hint="default" w:ascii="Times New Roman" w:hAnsi="Times New Roman" w:eastAsia="宋体" w:cs="Times New Roman"/>
          <w:b/>
          <w:bCs/>
          <w:color w:val="auto"/>
          <w:lang w:val="en-US" w:eastAsia="zh-CN"/>
        </w:rPr>
        <w:t xml:space="preserve"> 生态影响型评价工作等级划分表</w:t>
      </w:r>
    </w:p>
    <w:tbl>
      <w:tblPr>
        <w:tblStyle w:val="55"/>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62"/>
        <w:gridCol w:w="2231"/>
        <w:gridCol w:w="2231"/>
        <w:gridCol w:w="22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62" w:type="dxa"/>
            <w:noWrap w:val="0"/>
            <w:vAlign w:val="center"/>
          </w:tcPr>
          <w:p>
            <w:pPr>
              <w:spacing w:line="320" w:lineRule="exact"/>
              <w:jc w:val="both"/>
              <w:rPr>
                <w:rFonts w:hint="default" w:ascii="Times New Roman" w:hAnsi="Times New Roman" w:eastAsia="宋体" w:cs="Times New Roman"/>
                <w:b/>
                <w:bCs/>
                <w:sz w:val="21"/>
                <w:lang w:val="en-US" w:eastAsia="zh-CN"/>
              </w:rPr>
            </w:pPr>
            <w:r>
              <w:rPr>
                <w:rFonts w:hint="default" w:ascii="Times New Roman" w:hAnsi="Times New Roman" w:eastAsia="宋体" w:cs="Times New Roman"/>
                <w:b/>
                <w:bCs/>
                <w:sz w:val="21"/>
              </w:rPr>
              <mc:AlternateContent>
                <mc:Choice Requires="wps">
                  <w:drawing>
                    <wp:anchor distT="0" distB="0" distL="114300" distR="114300" simplePos="0" relativeHeight="251662336" behindDoc="0" locked="0" layoutInCell="1" allowOverlap="1">
                      <wp:simplePos x="0" y="0"/>
                      <wp:positionH relativeFrom="column">
                        <wp:posOffset>478790</wp:posOffset>
                      </wp:positionH>
                      <wp:positionV relativeFrom="paragraph">
                        <wp:posOffset>-9525</wp:posOffset>
                      </wp:positionV>
                      <wp:extent cx="824865" cy="632460"/>
                      <wp:effectExtent l="3175" t="3810" r="10160" b="11430"/>
                      <wp:wrapNone/>
                      <wp:docPr id="4" name="直接连接符 4"/>
                      <wp:cNvGraphicFramePr/>
                      <a:graphic xmlns:a="http://schemas.openxmlformats.org/drawingml/2006/main">
                        <a:graphicData uri="http://schemas.microsoft.com/office/word/2010/wordprocessingShape">
                          <wps:wsp>
                            <wps:cNvCnPr/>
                            <wps:spPr>
                              <a:xfrm flipH="1" flipV="1">
                                <a:off x="1772920" y="4534535"/>
                                <a:ext cx="824865" cy="6324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37.7pt;margin-top:-0.75pt;height:49.8pt;width:64.95pt;z-index:251662336;mso-width-relative:page;mso-height-relative:page;" filled="f" stroked="t" coordsize="21600,21600" o:gfxdata="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rYC+E2AAAAAgBAAAPAAAAAAAAAAEAIAAAACIAAABkcnMvZG93&#10;bnJldi54bWxQSwECFAAUAAAACACHTuJAz2Q1NwACAADVAwAADgAAAAAAAAABACAAAAAnAQAAZHJz&#10;L2Uyb0RvYy54bWxQSwUGAAAAAAYABgBZAQAAmQUAAAAA&#10;">
                      <v:fill on="f" focussize="0,0"/>
                      <v:stroke weight="0.5pt" color="#000000 [3213]" miterlimit="8" joinstyle="miter"/>
                      <v:imagedata o:title=""/>
                      <o:lock v:ext="edit" aspectratio="f"/>
                    </v:line>
                  </w:pict>
                </mc:Fallback>
              </mc:AlternateContent>
            </w:r>
            <w:r>
              <w:rPr>
                <w:rFonts w:hint="default" w:ascii="Times New Roman" w:hAnsi="Times New Roman" w:eastAsia="宋体" w:cs="Times New Roman"/>
                <w:b/>
                <w:bCs/>
                <w:sz w:val="21"/>
              </w:rPr>
              <mc:AlternateContent>
                <mc:Choice Requires="wps">
                  <w:drawing>
                    <wp:anchor distT="0" distB="0" distL="114300" distR="114300" simplePos="0" relativeHeight="251663360" behindDoc="0" locked="0" layoutInCell="1" allowOverlap="1">
                      <wp:simplePos x="0" y="0"/>
                      <wp:positionH relativeFrom="column">
                        <wp:posOffset>-76835</wp:posOffset>
                      </wp:positionH>
                      <wp:positionV relativeFrom="paragraph">
                        <wp:posOffset>236855</wp:posOffset>
                      </wp:positionV>
                      <wp:extent cx="1373505" cy="381000"/>
                      <wp:effectExtent l="1270" t="4445" r="15875" b="14605"/>
                      <wp:wrapNone/>
                      <wp:docPr id="7" name="直接连接符 7"/>
                      <wp:cNvGraphicFramePr/>
                      <a:graphic xmlns:a="http://schemas.openxmlformats.org/drawingml/2006/main">
                        <a:graphicData uri="http://schemas.microsoft.com/office/word/2010/wordprocessingShape">
                          <wps:wsp>
                            <wps:cNvCnPr/>
                            <wps:spPr>
                              <a:xfrm flipH="1" flipV="1">
                                <a:off x="0" y="0"/>
                                <a:ext cx="1373505" cy="381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6.05pt;margin-top:18.65pt;height:30pt;width:108.15pt;z-index:251663360;mso-width-relative:page;mso-height-relative:page;" filled="f" stroked="t" coordsize="21600,21600" o:gfxdata="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GbkBdkAAAAJAQAADwAAAAAAAAABACAAAAAiAAAAZHJzL2Rvd25yZXYueG1sUEsB&#10;AhQAFAAAAAgAh07iQN1RnUr0AQAAygMAAA4AAAAAAAAAAQAgAAAAKAEAAGRycy9lMm9Eb2MueG1s&#10;UEsFBgAAAAAGAAYAWQEAAI4FAAAAAA==&#10;">
                      <v:fill on="f" focussize="0,0"/>
                      <v:stroke weight="0.5pt" color="#000000 [3213]" miterlimit="8" joinstyle="miter"/>
                      <v:imagedata o:title=""/>
                      <o:lock v:ext="edit" aspectratio="f"/>
                    </v:line>
                  </w:pict>
                </mc:Fallback>
              </mc:AlternateContent>
            </w:r>
            <w:r>
              <w:rPr>
                <w:rFonts w:hint="default" w:ascii="Times New Roman" w:hAnsi="Times New Roman" w:eastAsia="宋体" w:cs="Times New Roman"/>
                <w:b/>
                <w:bCs/>
                <w:sz w:val="21"/>
                <w:lang w:val="en-US" w:eastAsia="zh-CN"/>
              </w:rPr>
              <w:t>评价等级  项目类别</w:t>
            </w:r>
          </w:p>
          <w:p>
            <w:pPr>
              <w:spacing w:line="320" w:lineRule="exact"/>
              <w:jc w:val="both"/>
              <w:rPr>
                <w:rFonts w:hint="default" w:ascii="Times New Roman" w:hAnsi="Times New Roman" w:eastAsia="宋体" w:cs="Times New Roman"/>
                <w:b/>
                <w:bCs/>
                <w:sz w:val="21"/>
                <w:lang w:val="en-US" w:eastAsia="zh-CN"/>
              </w:rPr>
            </w:pPr>
          </w:p>
          <w:p>
            <w:pPr>
              <w:spacing w:line="320" w:lineRule="exact"/>
              <w:jc w:val="both"/>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lang w:val="en-US" w:eastAsia="zh-CN"/>
              </w:rPr>
              <w:t>敏感程度</w:t>
            </w:r>
          </w:p>
        </w:tc>
        <w:tc>
          <w:tcPr>
            <w:tcW w:w="2231" w:type="dxa"/>
            <w:noWrap w:val="0"/>
            <w:vAlign w:val="center"/>
          </w:tcPr>
          <w:p>
            <w:pPr>
              <w:spacing w:line="32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Ⅰ类</w:t>
            </w:r>
          </w:p>
        </w:tc>
        <w:tc>
          <w:tcPr>
            <w:tcW w:w="2231" w:type="dxa"/>
            <w:noWrap w:val="0"/>
            <w:vAlign w:val="center"/>
          </w:tcPr>
          <w:p>
            <w:pPr>
              <w:spacing w:line="32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Ⅱ类</w:t>
            </w:r>
          </w:p>
        </w:tc>
        <w:tc>
          <w:tcPr>
            <w:tcW w:w="2232" w:type="dxa"/>
            <w:noWrap w:val="0"/>
            <w:vAlign w:val="center"/>
          </w:tcPr>
          <w:p>
            <w:pPr>
              <w:spacing w:line="32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62"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敏感</w:t>
            </w:r>
          </w:p>
        </w:tc>
        <w:tc>
          <w:tcPr>
            <w:tcW w:w="2231" w:type="dxa"/>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一级</w:t>
            </w:r>
          </w:p>
        </w:tc>
        <w:tc>
          <w:tcPr>
            <w:tcW w:w="2231"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二级</w:t>
            </w:r>
          </w:p>
        </w:tc>
        <w:tc>
          <w:tcPr>
            <w:tcW w:w="2232"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62"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较敏感</w:t>
            </w:r>
          </w:p>
        </w:tc>
        <w:tc>
          <w:tcPr>
            <w:tcW w:w="2231"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二级</w:t>
            </w:r>
          </w:p>
        </w:tc>
        <w:tc>
          <w:tcPr>
            <w:tcW w:w="2231"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二级</w:t>
            </w:r>
          </w:p>
        </w:tc>
        <w:tc>
          <w:tcPr>
            <w:tcW w:w="2232"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62"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不</w:t>
            </w:r>
            <w:r>
              <w:rPr>
                <w:rFonts w:hint="default" w:ascii="Times New Roman" w:hAnsi="Times New Roman" w:eastAsia="宋体" w:cs="Times New Roman"/>
                <w:sz w:val="21"/>
                <w:szCs w:val="21"/>
              </w:rPr>
              <w:t>敏感</w:t>
            </w:r>
          </w:p>
        </w:tc>
        <w:tc>
          <w:tcPr>
            <w:tcW w:w="2231"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二级</w:t>
            </w:r>
          </w:p>
        </w:tc>
        <w:tc>
          <w:tcPr>
            <w:tcW w:w="2231"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三级</w:t>
            </w:r>
          </w:p>
        </w:tc>
        <w:tc>
          <w:tcPr>
            <w:tcW w:w="2232" w:type="dxa"/>
            <w:noWrap w:val="0"/>
            <w:vAlign w:val="center"/>
          </w:tcPr>
          <w:p>
            <w:pPr>
              <w:spacing w:line="3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t>
            </w:r>
          </w:p>
        </w:tc>
      </w:tr>
    </w:tbl>
    <w:p>
      <w:pPr>
        <w:pStyle w:val="8"/>
        <w:snapToGrid w:val="0"/>
        <w:spacing w:line="47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综上，可不开展土壤环境影响评价工作。</w:t>
      </w:r>
    </w:p>
    <w:p>
      <w:pPr>
        <w:pStyle w:val="8"/>
        <w:snapToGrid w:val="0"/>
        <w:spacing w:line="47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（7）地下水环境影响分析等级</w:t>
      </w:r>
    </w:p>
    <w:p>
      <w:pPr>
        <w:pStyle w:val="8"/>
        <w:snapToGrid w:val="0"/>
        <w:spacing w:line="47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根据《环境影响评价技术导则—地下水环境》（HJ 610-2016），本项目为附录A中</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A 水利</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5、河湖整治工程涉及环境敏感区的</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项目，地下水环境影响评价项目类别为Ⅲ类。</w:t>
      </w:r>
    </w:p>
    <w:p>
      <w:pPr>
        <w:pStyle w:val="8"/>
        <w:snapToGrid w:val="0"/>
        <w:spacing w:line="47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根据HJ 610-2016 地下水环境敏感程度分级表，建设项目地下水评价范围内涉及太湖</w:t>
      </w:r>
      <w:r>
        <w:rPr>
          <w:rFonts w:hint="default" w:ascii="Times New Roman" w:hAnsi="Times New Roman" w:eastAsia="宋体" w:cs="Times New Roman"/>
          <w:color w:val="auto"/>
          <w:sz w:val="24"/>
          <w:szCs w:val="24"/>
          <w:lang w:val="en-US" w:eastAsia="zh-CN"/>
        </w:rPr>
        <w:t>渔洋山</w:t>
      </w:r>
      <w:r>
        <w:rPr>
          <w:rFonts w:hint="default" w:ascii="Times New Roman" w:hAnsi="Times New Roman" w:eastAsia="宋体" w:cs="Times New Roman"/>
          <w:color w:val="auto"/>
          <w:sz w:val="24"/>
          <w:szCs w:val="24"/>
        </w:rPr>
        <w:t>饮用水水源保护区、太湖重要保护区等环境敏感区。</w:t>
      </w:r>
    </w:p>
    <w:p>
      <w:pPr>
        <w:pStyle w:val="8"/>
        <w:snapToGrid w:val="0"/>
        <w:spacing w:line="470" w:lineRule="exact"/>
        <w:ind w:firstLine="482" w:firstLineChars="20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w:t>
      </w:r>
      <w:r>
        <w:rPr>
          <w:rFonts w:hint="eastAsia" w:cs="Times New Roman"/>
          <w:b/>
          <w:bCs/>
          <w:color w:val="auto"/>
          <w:sz w:val="24"/>
          <w:szCs w:val="24"/>
          <w:lang w:val="en-US" w:eastAsia="zh-CN"/>
        </w:rPr>
        <w:t>3-7</w:t>
      </w:r>
      <w:r>
        <w:rPr>
          <w:rFonts w:hint="default" w:ascii="Times New Roman" w:hAnsi="Times New Roman" w:eastAsia="宋体" w:cs="Times New Roman"/>
          <w:b/>
          <w:bCs/>
          <w:color w:val="auto"/>
          <w:sz w:val="24"/>
          <w:szCs w:val="24"/>
        </w:rPr>
        <w:t xml:space="preserve"> 地下水环境敏感程度分级表</w:t>
      </w:r>
    </w:p>
    <w:tbl>
      <w:tblPr>
        <w:tblStyle w:val="55"/>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5"/>
        <w:gridCol w:w="76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5" w:type="dxa"/>
            <w:noWrap w:val="0"/>
            <w:vAlign w:val="center"/>
          </w:tcPr>
          <w:p>
            <w:pPr>
              <w:spacing w:line="32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敏感程度</w:t>
            </w:r>
          </w:p>
        </w:tc>
        <w:tc>
          <w:tcPr>
            <w:tcW w:w="7681" w:type="dxa"/>
            <w:noWrap w:val="0"/>
            <w:vAlign w:val="center"/>
          </w:tcPr>
          <w:p>
            <w:pPr>
              <w:spacing w:line="32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地下水环境敏感特征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5"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敏感</w:t>
            </w:r>
          </w:p>
        </w:tc>
        <w:tc>
          <w:tcPr>
            <w:tcW w:w="7681"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集中式饮用水水源（包括已建成的在用、备用、应急水源，在建和规划的引用水源）准保护区；除集中式饮用水水源以外的国家或地方政府设定的与地下水环境相关的其它保护区，如热水、矿泉水、温泉等特殊地下水资源保护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5" w:type="dxa"/>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较敏感</w:t>
            </w:r>
          </w:p>
        </w:tc>
        <w:tc>
          <w:tcPr>
            <w:tcW w:w="7681"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集中式饮用水源（包括已建成的在用、备用、应急水源，在建和规划的引用水源）准保护区以外的补给径流区；未划定准保护区的集中式饮用水水源，其保护区以外的补给径流区；分散式饮用水水源地；特殊地下水资源（如矿泉水、温泉等）保护区以外的分布区等其他未列入上述敏感分级的环境敏感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5"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不</w:t>
            </w:r>
            <w:r>
              <w:rPr>
                <w:rFonts w:hint="default" w:ascii="Times New Roman" w:hAnsi="Times New Roman" w:eastAsia="宋体" w:cs="Times New Roman"/>
                <w:sz w:val="21"/>
                <w:szCs w:val="21"/>
              </w:rPr>
              <w:t>敏感</w:t>
            </w:r>
          </w:p>
        </w:tc>
        <w:tc>
          <w:tcPr>
            <w:tcW w:w="7681"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上述地区以外的其它地区。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56" w:type="dxa"/>
            <w:gridSpan w:val="2"/>
            <w:noWrap w:val="0"/>
            <w:vAlign w:val="center"/>
          </w:tcPr>
          <w:p>
            <w:pPr>
              <w:spacing w:line="320" w:lineRule="exact"/>
              <w:ind w:left="420" w:hanging="420" w:hanging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注：a</w:t>
            </w:r>
            <w:r>
              <w:rPr>
                <w:rFonts w:hint="eastAsia" w:cs="Times New Roman"/>
                <w:sz w:val="21"/>
                <w:szCs w:val="21"/>
                <w:lang w:eastAsia="zh-CN"/>
              </w:rPr>
              <w:t>“</w:t>
            </w:r>
            <w:r>
              <w:rPr>
                <w:rFonts w:hint="default" w:ascii="Times New Roman" w:hAnsi="Times New Roman" w:eastAsia="宋体" w:cs="Times New Roman"/>
                <w:sz w:val="21"/>
                <w:szCs w:val="21"/>
              </w:rPr>
              <w:t>环境敏感区</w:t>
            </w:r>
            <w:r>
              <w:rPr>
                <w:rFonts w:hint="eastAsia" w:cs="Times New Roman"/>
                <w:sz w:val="21"/>
                <w:szCs w:val="21"/>
                <w:lang w:eastAsia="zh-CN"/>
              </w:rPr>
              <w:t>”</w:t>
            </w:r>
            <w:r>
              <w:rPr>
                <w:rFonts w:hint="default" w:ascii="Times New Roman" w:hAnsi="Times New Roman" w:eastAsia="宋体" w:cs="Times New Roman"/>
                <w:sz w:val="21"/>
                <w:szCs w:val="21"/>
              </w:rPr>
              <w:t>是指《建设项目环境影响评价分类管理名录》中所界定的设计地下水的环境敏感区</w:t>
            </w:r>
          </w:p>
        </w:tc>
      </w:tr>
    </w:tbl>
    <w:p>
      <w:pPr>
        <w:snapToGrid w:val="0"/>
        <w:spacing w:line="480" w:lineRule="exact"/>
        <w:ind w:firstLine="482" w:firstLineChars="20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表2.3-</w:t>
      </w:r>
      <w:r>
        <w:rPr>
          <w:rFonts w:hint="eastAsia" w:cs="Times New Roman"/>
          <w:b/>
          <w:bCs/>
          <w:color w:val="auto"/>
          <w:lang w:val="en-US" w:eastAsia="zh-CN"/>
        </w:rPr>
        <w:t>8</w:t>
      </w:r>
      <w:r>
        <w:rPr>
          <w:rFonts w:hint="default" w:ascii="Times New Roman" w:hAnsi="Times New Roman" w:eastAsia="宋体" w:cs="Times New Roman"/>
          <w:b/>
          <w:bCs/>
          <w:color w:val="auto"/>
          <w:lang w:val="en-US" w:eastAsia="zh-CN"/>
        </w:rPr>
        <w:t xml:space="preserve"> 地下水环境影响评价工作分级表</w:t>
      </w:r>
    </w:p>
    <w:tbl>
      <w:tblPr>
        <w:tblStyle w:val="55"/>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62"/>
        <w:gridCol w:w="2231"/>
        <w:gridCol w:w="2231"/>
        <w:gridCol w:w="22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62" w:type="dxa"/>
            <w:noWrap w:val="0"/>
            <w:vAlign w:val="center"/>
          </w:tcPr>
          <w:p>
            <w:pPr>
              <w:spacing w:line="320" w:lineRule="exact"/>
              <w:jc w:val="both"/>
              <w:rPr>
                <w:rFonts w:hint="default" w:ascii="Times New Roman" w:hAnsi="Times New Roman" w:eastAsia="宋体" w:cs="Times New Roman"/>
                <w:b/>
                <w:bCs/>
                <w:sz w:val="21"/>
                <w:lang w:val="en-US" w:eastAsia="zh-CN"/>
              </w:rPr>
            </w:pPr>
            <w:r>
              <w:rPr>
                <w:rFonts w:hint="default" w:ascii="Times New Roman" w:hAnsi="Times New Roman" w:eastAsia="宋体" w:cs="Times New Roman"/>
                <w:b/>
                <w:bCs/>
                <w:sz w:val="21"/>
              </w:rPr>
              <mc:AlternateContent>
                <mc:Choice Requires="wps">
                  <w:drawing>
                    <wp:anchor distT="0" distB="0" distL="114300" distR="114300" simplePos="0" relativeHeight="251664384" behindDoc="0" locked="0" layoutInCell="1" allowOverlap="1">
                      <wp:simplePos x="0" y="0"/>
                      <wp:positionH relativeFrom="column">
                        <wp:posOffset>-68580</wp:posOffset>
                      </wp:positionH>
                      <wp:positionV relativeFrom="paragraph">
                        <wp:posOffset>26035</wp:posOffset>
                      </wp:positionV>
                      <wp:extent cx="1365250" cy="591820"/>
                      <wp:effectExtent l="1905" t="4445" r="4445" b="13335"/>
                      <wp:wrapNone/>
                      <wp:docPr id="10" name="直接连接符 10"/>
                      <wp:cNvGraphicFramePr/>
                      <a:graphic xmlns:a="http://schemas.openxmlformats.org/drawingml/2006/main">
                        <a:graphicData uri="http://schemas.microsoft.com/office/word/2010/wordprocessingShape">
                          <wps:wsp>
                            <wps:cNvCnPr/>
                            <wps:spPr>
                              <a:xfrm flipH="1" flipV="1">
                                <a:off x="0" y="0"/>
                                <a:ext cx="1365250" cy="5918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5.4pt;margin-top:2.05pt;height:46.6pt;width:107.5pt;z-index:251664384;mso-width-relative:page;mso-height-relative:page;" filled="f" stroked="t" coordsize="21600,21600" o:gfxdata="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GK3kXYAAAACAEAAA8AAAAAAAAAAQAgAAAAIgAAAGRycy9kb3ducmV2LnhtbFBLAQIU&#10;ABQAAAAIAIdO4kBfwyrO8wEAAMwDAAAOAAAAAAAAAAEAIAAAACcBAABkcnMvZTJvRG9jLnhtbFBL&#10;BQYAAAAABgAGAFkBAACMBQAAAAA=&#10;">
                      <v:fill on="f" focussize="0,0"/>
                      <v:stroke weight="0.5pt" color="#000000 [3213]" miterlimit="8" joinstyle="miter"/>
                      <v:imagedata o:title=""/>
                      <o:lock v:ext="edit" aspectratio="f"/>
                    </v:line>
                  </w:pict>
                </mc:Fallback>
              </mc:AlternateContent>
            </w:r>
            <w:r>
              <w:rPr>
                <w:rFonts w:hint="default" w:ascii="Times New Roman" w:hAnsi="Times New Roman" w:eastAsia="宋体" w:cs="Times New Roman"/>
                <w:b/>
                <w:bCs/>
                <w:sz w:val="21"/>
                <w:lang w:val="en-US" w:eastAsia="zh-CN"/>
              </w:rPr>
              <w:t xml:space="preserve">        项目类别</w:t>
            </w:r>
          </w:p>
          <w:p>
            <w:pPr>
              <w:spacing w:line="320" w:lineRule="exact"/>
              <w:jc w:val="both"/>
              <w:rPr>
                <w:rFonts w:hint="default" w:ascii="Times New Roman" w:hAnsi="Times New Roman" w:eastAsia="宋体" w:cs="Times New Roman"/>
                <w:b/>
                <w:bCs/>
                <w:sz w:val="21"/>
                <w:lang w:val="en-US" w:eastAsia="zh-CN"/>
              </w:rPr>
            </w:pPr>
          </w:p>
          <w:p>
            <w:pPr>
              <w:spacing w:line="320" w:lineRule="exact"/>
              <w:jc w:val="both"/>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lang w:val="en-US" w:eastAsia="zh-CN"/>
              </w:rPr>
              <w:t>敏感程度</w:t>
            </w:r>
          </w:p>
        </w:tc>
        <w:tc>
          <w:tcPr>
            <w:tcW w:w="2231" w:type="dxa"/>
            <w:noWrap w:val="0"/>
            <w:vAlign w:val="center"/>
          </w:tcPr>
          <w:p>
            <w:pPr>
              <w:spacing w:line="320" w:lineRule="exact"/>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Ⅰ类</w:t>
            </w:r>
            <w:r>
              <w:rPr>
                <w:rFonts w:hint="default" w:ascii="Times New Roman" w:hAnsi="Times New Roman" w:eastAsia="宋体" w:cs="Times New Roman"/>
                <w:b/>
                <w:bCs/>
                <w:sz w:val="21"/>
                <w:szCs w:val="21"/>
                <w:lang w:val="en-US" w:eastAsia="zh-CN"/>
              </w:rPr>
              <w:t>项目</w:t>
            </w:r>
          </w:p>
        </w:tc>
        <w:tc>
          <w:tcPr>
            <w:tcW w:w="2231" w:type="dxa"/>
            <w:noWrap w:val="0"/>
            <w:vAlign w:val="center"/>
          </w:tcPr>
          <w:p>
            <w:pPr>
              <w:spacing w:line="32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Ⅱ类</w:t>
            </w:r>
            <w:r>
              <w:rPr>
                <w:rFonts w:hint="default" w:ascii="Times New Roman" w:hAnsi="Times New Roman" w:eastAsia="宋体" w:cs="Times New Roman"/>
                <w:b/>
                <w:bCs/>
                <w:sz w:val="21"/>
                <w:szCs w:val="21"/>
                <w:lang w:val="en-US" w:eastAsia="zh-CN"/>
              </w:rPr>
              <w:t>项目</w:t>
            </w:r>
          </w:p>
        </w:tc>
        <w:tc>
          <w:tcPr>
            <w:tcW w:w="2232" w:type="dxa"/>
            <w:noWrap w:val="0"/>
            <w:vAlign w:val="center"/>
          </w:tcPr>
          <w:p>
            <w:pPr>
              <w:spacing w:line="32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Ⅲ类</w:t>
            </w:r>
            <w:r>
              <w:rPr>
                <w:rFonts w:hint="default" w:ascii="Times New Roman" w:hAnsi="Times New Roman" w:eastAsia="宋体" w:cs="Times New Roman"/>
                <w:b/>
                <w:bCs/>
                <w:sz w:val="21"/>
                <w:szCs w:val="21"/>
                <w:lang w:val="en-US" w:eastAsia="zh-CN"/>
              </w:rPr>
              <w:t>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62"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敏感</w:t>
            </w:r>
          </w:p>
        </w:tc>
        <w:tc>
          <w:tcPr>
            <w:tcW w:w="2231" w:type="dxa"/>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w:t>
            </w:r>
          </w:p>
        </w:tc>
        <w:tc>
          <w:tcPr>
            <w:tcW w:w="2231"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一</w:t>
            </w:r>
          </w:p>
        </w:tc>
        <w:tc>
          <w:tcPr>
            <w:tcW w:w="2232"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62"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较敏感</w:t>
            </w:r>
          </w:p>
        </w:tc>
        <w:tc>
          <w:tcPr>
            <w:tcW w:w="2231"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一</w:t>
            </w:r>
          </w:p>
        </w:tc>
        <w:tc>
          <w:tcPr>
            <w:tcW w:w="2231"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二</w:t>
            </w:r>
          </w:p>
        </w:tc>
        <w:tc>
          <w:tcPr>
            <w:tcW w:w="2232"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62"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不</w:t>
            </w:r>
            <w:r>
              <w:rPr>
                <w:rFonts w:hint="default" w:ascii="Times New Roman" w:hAnsi="Times New Roman" w:eastAsia="宋体" w:cs="Times New Roman"/>
                <w:sz w:val="21"/>
                <w:szCs w:val="21"/>
              </w:rPr>
              <w:t>敏感</w:t>
            </w:r>
          </w:p>
        </w:tc>
        <w:tc>
          <w:tcPr>
            <w:tcW w:w="2231"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二</w:t>
            </w:r>
          </w:p>
        </w:tc>
        <w:tc>
          <w:tcPr>
            <w:tcW w:w="2231"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三</w:t>
            </w:r>
          </w:p>
        </w:tc>
        <w:tc>
          <w:tcPr>
            <w:tcW w:w="2232" w:type="dxa"/>
            <w:noWrap w:val="0"/>
            <w:vAlign w:val="center"/>
          </w:tcPr>
          <w:p>
            <w:pPr>
              <w:spacing w:line="3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三</w:t>
            </w:r>
          </w:p>
        </w:tc>
      </w:tr>
    </w:tbl>
    <w:p>
      <w:pPr>
        <w:pStyle w:val="8"/>
        <w:snapToGrid w:val="0"/>
        <w:spacing w:line="50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本项目属于地下水Ⅲ类项目，项目区域地下水环境敏感程度为敏感，根据《环境影响评价技术导则—地下水环境》（HJ 610-2016）可知，确定本项目地下水评价工作等级为二级。</w:t>
      </w:r>
    </w:p>
    <w:p>
      <w:pPr>
        <w:pStyle w:val="5"/>
        <w:tabs>
          <w:tab w:val="left" w:pos="4860"/>
          <w:tab w:val="clear" w:pos="980"/>
        </w:tabs>
        <w:spacing w:before="196" w:beforeLines="50" w:after="196" w:afterLines="50"/>
        <w:rPr>
          <w:rFonts w:hint="default" w:ascii="Times New Roman" w:hAnsi="Times New Roman" w:eastAsia="宋体" w:cs="Times New Roman"/>
          <w:color w:val="auto"/>
        </w:rPr>
      </w:pPr>
      <w:bookmarkStart w:id="147" w:name="_Toc21760"/>
      <w:r>
        <w:rPr>
          <w:rFonts w:hint="default" w:ascii="Times New Roman" w:hAnsi="Times New Roman" w:eastAsia="宋体" w:cs="Times New Roman"/>
          <w:color w:val="auto"/>
        </w:rPr>
        <w:t>2.3.2 评价范围</w:t>
      </w:r>
      <w:bookmarkEnd w:id="147"/>
    </w:p>
    <w:p>
      <w:pPr>
        <w:pStyle w:val="8"/>
        <w:snapToGrid w:val="0"/>
        <w:spacing w:line="50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根据评价等级划分结果，并结合工程特点和工程所在区域环境特征，确定各评价对象评价范围，具体情况见表2.</w:t>
      </w:r>
      <w:r>
        <w:rPr>
          <w:rFonts w:hint="eastAsia" w:cs="Times New Roman"/>
          <w:color w:val="auto"/>
          <w:sz w:val="24"/>
          <w:szCs w:val="24"/>
          <w:lang w:val="en-US" w:eastAsia="zh-CN"/>
        </w:rPr>
        <w:t>3-9</w:t>
      </w:r>
      <w:r>
        <w:rPr>
          <w:rFonts w:hint="default" w:ascii="Times New Roman" w:hAnsi="Times New Roman" w:eastAsia="宋体" w:cs="Times New Roman"/>
          <w:color w:val="auto"/>
          <w:sz w:val="24"/>
          <w:szCs w:val="24"/>
        </w:rPr>
        <w:t>。</w:t>
      </w:r>
    </w:p>
    <w:p>
      <w:pPr>
        <w:snapToGrid w:val="0"/>
        <w:spacing w:line="480" w:lineRule="exact"/>
        <w:ind w:firstLine="482" w:firstLineChars="200"/>
        <w:jc w:val="center"/>
        <w:rPr>
          <w:rFonts w:hint="default" w:ascii="Times New Roman" w:hAnsi="Times New Roman" w:eastAsia="宋体" w:cs="Times New Roman"/>
          <w:b/>
          <w:bCs/>
          <w:color w:val="auto"/>
          <w:lang w:val="en-US" w:eastAsia="zh-CN"/>
        </w:rPr>
      </w:pPr>
    </w:p>
    <w:p>
      <w:pPr>
        <w:snapToGrid w:val="0"/>
        <w:spacing w:line="480" w:lineRule="exact"/>
        <w:ind w:firstLine="482" w:firstLineChars="20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表2.3</w:t>
      </w:r>
      <w:r>
        <w:rPr>
          <w:rFonts w:hint="eastAsia" w:cs="Times New Roman"/>
          <w:b/>
          <w:bCs/>
          <w:color w:val="auto"/>
          <w:lang w:val="en-US" w:eastAsia="zh-CN"/>
        </w:rPr>
        <w:t>-9</w:t>
      </w:r>
      <w:r>
        <w:rPr>
          <w:rFonts w:hint="default" w:ascii="Times New Roman" w:hAnsi="Times New Roman" w:eastAsia="宋体" w:cs="Times New Roman"/>
          <w:b/>
          <w:bCs/>
          <w:color w:val="auto"/>
          <w:lang w:val="en-US" w:eastAsia="zh-CN"/>
        </w:rPr>
        <w:t xml:space="preserve">  评价工作等级及评价范围汇总</w:t>
      </w:r>
    </w:p>
    <w:tbl>
      <w:tblPr>
        <w:tblStyle w:val="55"/>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87"/>
        <w:gridCol w:w="1241"/>
        <w:gridCol w:w="65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513" w:type="pct"/>
            <w:vAlign w:val="center"/>
          </w:tcPr>
          <w:p>
            <w:pPr>
              <w:spacing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718" w:type="pct"/>
            <w:vAlign w:val="center"/>
          </w:tcPr>
          <w:p>
            <w:pPr>
              <w:spacing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环境因素</w:t>
            </w:r>
          </w:p>
        </w:tc>
        <w:tc>
          <w:tcPr>
            <w:tcW w:w="3767" w:type="pct"/>
            <w:vAlign w:val="center"/>
          </w:tcPr>
          <w:p>
            <w:pPr>
              <w:spacing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513" w:type="pct"/>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18" w:type="pct"/>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3767" w:type="pct"/>
            <w:vAlign w:val="center"/>
          </w:tcPr>
          <w:p>
            <w:pPr>
              <w:spacing w:line="320" w:lineRule="exact"/>
              <w:ind w:firstLine="105" w:firstLine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513" w:type="pct"/>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718" w:type="pct"/>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3767" w:type="pct"/>
          </w:tcPr>
          <w:p>
            <w:pPr>
              <w:spacing w:line="320" w:lineRule="exact"/>
              <w:ind w:firstLine="105" w:firstLine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太湖</w:t>
            </w:r>
            <w:r>
              <w:rPr>
                <w:rFonts w:hint="eastAsia" w:cs="Times New Roman"/>
                <w:color w:val="auto"/>
                <w:sz w:val="21"/>
                <w:szCs w:val="21"/>
                <w:lang w:val="en-US" w:eastAsia="zh-CN"/>
              </w:rPr>
              <w:t>渔洋山饮用水源一级保护区、二级保护区、准保护区范围</w:t>
            </w:r>
            <w:r>
              <w:rPr>
                <w:rFonts w:hint="default" w:ascii="Times New Roman" w:hAnsi="Times New Roman" w:eastAsia="宋体"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513" w:type="pct"/>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718" w:type="pct"/>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3767" w:type="pct"/>
            <w:vAlign w:val="center"/>
          </w:tcPr>
          <w:p>
            <w:pPr>
              <w:spacing w:line="320" w:lineRule="exact"/>
              <w:ind w:firstLine="105" w:firstLineChars="5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施工区域边界外200m范围</w:t>
            </w:r>
            <w:r>
              <w:rPr>
                <w:rFonts w:hint="eastAsia" w:cs="Times New Roman"/>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513" w:type="pct"/>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718" w:type="pct"/>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生态环境</w:t>
            </w:r>
          </w:p>
        </w:tc>
        <w:tc>
          <w:tcPr>
            <w:tcW w:w="3767" w:type="pct"/>
            <w:vAlign w:val="center"/>
          </w:tcPr>
          <w:p>
            <w:pPr>
              <w:spacing w:line="320" w:lineRule="exact"/>
              <w:ind w:firstLine="105" w:firstLine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包括直接影响区和间接影响区，其中直接影响区包括工程占地区域、施工区等；间接影响区包括工程可能影响到的生态敏感区，包括：太湖</w:t>
            </w:r>
            <w:r>
              <w:rPr>
                <w:rFonts w:hint="default" w:ascii="Times New Roman" w:hAnsi="Times New Roman" w:eastAsia="宋体" w:cs="Times New Roman"/>
                <w:color w:val="auto"/>
                <w:sz w:val="21"/>
                <w:szCs w:val="21"/>
                <w:lang w:val="en-US" w:eastAsia="zh-CN"/>
              </w:rPr>
              <w:t>渔洋山</w:t>
            </w:r>
            <w:r>
              <w:rPr>
                <w:rFonts w:hint="default" w:ascii="Times New Roman" w:hAnsi="Times New Roman" w:eastAsia="宋体" w:cs="Times New Roman"/>
                <w:color w:val="auto"/>
                <w:sz w:val="21"/>
                <w:szCs w:val="21"/>
              </w:rPr>
              <w:t>饮用水水源保护区、太湖（</w:t>
            </w:r>
            <w:r>
              <w:rPr>
                <w:rFonts w:hint="default" w:ascii="Times New Roman" w:hAnsi="Times New Roman" w:eastAsia="宋体" w:cs="Times New Roman"/>
                <w:color w:val="auto"/>
                <w:sz w:val="21"/>
                <w:szCs w:val="21"/>
                <w:lang w:val="en-US" w:eastAsia="zh-CN"/>
              </w:rPr>
              <w:t>吴中区</w:t>
            </w:r>
            <w:r>
              <w:rPr>
                <w:rFonts w:hint="default" w:ascii="Times New Roman" w:hAnsi="Times New Roman" w:eastAsia="宋体" w:cs="Times New Roman"/>
                <w:color w:val="auto"/>
                <w:sz w:val="21"/>
                <w:szCs w:val="21"/>
              </w:rPr>
              <w:t>）重要保护区。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513" w:type="pct"/>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718" w:type="pct"/>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w:t>
            </w:r>
          </w:p>
        </w:tc>
        <w:tc>
          <w:tcPr>
            <w:tcW w:w="3767" w:type="pct"/>
            <w:vAlign w:val="center"/>
          </w:tcPr>
          <w:p>
            <w:pPr>
              <w:spacing w:line="320" w:lineRule="exact"/>
              <w:ind w:firstLine="105" w:firstLine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bl>
    <w:p>
      <w:pPr>
        <w:pStyle w:val="4"/>
        <w:tabs>
          <w:tab w:val="left" w:pos="2160"/>
        </w:tabs>
        <w:adjustRightInd/>
        <w:spacing w:before="196" w:beforeLines="50" w:after="196" w:afterLines="50" w:line="480" w:lineRule="exact"/>
        <w:jc w:val="both"/>
        <w:rPr>
          <w:rFonts w:hint="default" w:ascii="Times New Roman" w:hAnsi="Times New Roman" w:eastAsia="宋体" w:cs="Times New Roman"/>
          <w:bCs/>
          <w:color w:val="auto"/>
          <w:sz w:val="30"/>
          <w:szCs w:val="30"/>
        </w:rPr>
      </w:pPr>
      <w:bookmarkStart w:id="148" w:name="_Toc5957"/>
      <w:r>
        <w:rPr>
          <w:rFonts w:hint="default" w:ascii="Times New Roman" w:hAnsi="Times New Roman" w:eastAsia="宋体" w:cs="Times New Roman"/>
          <w:bCs/>
          <w:color w:val="auto"/>
          <w:sz w:val="30"/>
          <w:szCs w:val="30"/>
        </w:rPr>
        <w:t>2.</w:t>
      </w:r>
      <w:r>
        <w:rPr>
          <w:rFonts w:hint="default" w:ascii="Times New Roman" w:hAnsi="Times New Roman" w:eastAsia="宋体" w:cs="Times New Roman"/>
          <w:bCs/>
          <w:color w:val="auto"/>
          <w:sz w:val="30"/>
          <w:szCs w:val="30"/>
          <w:lang w:val="en-US" w:eastAsia="zh-CN"/>
        </w:rPr>
        <w:t>4</w:t>
      </w:r>
      <w:r>
        <w:rPr>
          <w:rFonts w:hint="default" w:ascii="Times New Roman" w:hAnsi="Times New Roman" w:eastAsia="宋体" w:cs="Times New Roman"/>
          <w:bCs/>
          <w:color w:val="auto"/>
          <w:sz w:val="30"/>
          <w:szCs w:val="30"/>
        </w:rPr>
        <w:t>主要环境保护目标</w:t>
      </w:r>
      <w:bookmarkEnd w:id="148"/>
    </w:p>
    <w:p>
      <w:pPr>
        <w:spacing w:line="520" w:lineRule="exact"/>
        <w:ind w:firstLine="480" w:firstLineChars="200"/>
        <w:jc w:val="both"/>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1、本工程涉及太湖，为II类水环境功能区，执行《地表水环境质量标准》</w:t>
      </w:r>
    </w:p>
    <w:p>
      <w:pPr>
        <w:spacing w:line="520" w:lineRule="exact"/>
        <w:jc w:val="both"/>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(GB3838-2002)中的II类标准；项目</w:t>
      </w:r>
      <w:r>
        <w:rPr>
          <w:rFonts w:hint="eastAsia" w:cs="Times New Roman"/>
          <w:color w:val="auto"/>
          <w:szCs w:val="22"/>
          <w:lang w:val="en-US" w:eastAsia="zh-CN"/>
        </w:rPr>
        <w:t>营地</w:t>
      </w:r>
      <w:r>
        <w:rPr>
          <w:rFonts w:hint="default" w:ascii="Times New Roman" w:hAnsi="Times New Roman" w:eastAsia="宋体" w:cs="Times New Roman"/>
          <w:color w:val="auto"/>
          <w:szCs w:val="22"/>
        </w:rPr>
        <w:t>生活污水纳入市政污水管网经</w:t>
      </w:r>
      <w:r>
        <w:rPr>
          <w:rFonts w:hint="eastAsia" w:cs="Times New Roman"/>
          <w:color w:val="auto"/>
          <w:szCs w:val="22"/>
          <w:lang w:val="en-US" w:eastAsia="zh-CN"/>
        </w:rPr>
        <w:t>金庭</w:t>
      </w:r>
      <w:r>
        <w:rPr>
          <w:rFonts w:hint="default" w:ascii="Times New Roman" w:hAnsi="Times New Roman" w:eastAsia="宋体" w:cs="Times New Roman"/>
          <w:color w:val="auto"/>
          <w:szCs w:val="22"/>
        </w:rPr>
        <w:t>污水处理厂处理达标后排放</w:t>
      </w:r>
      <w:r>
        <w:rPr>
          <w:rFonts w:hint="eastAsia" w:cs="Times New Roman"/>
          <w:color w:val="auto"/>
          <w:szCs w:val="22"/>
          <w:lang w:val="en-US" w:eastAsia="zh-CN"/>
        </w:rPr>
        <w:t>后堡江，施工区域</w:t>
      </w:r>
      <w:r>
        <w:rPr>
          <w:rFonts w:hint="default" w:ascii="Times New Roman" w:hAnsi="Times New Roman" w:eastAsia="宋体" w:cs="Times New Roman"/>
          <w:color w:val="auto"/>
          <w:szCs w:val="22"/>
        </w:rPr>
        <w:t>生活污水纳入市政污水管网经科福污水处理厂处理达标后排放浒光运河，</w:t>
      </w:r>
      <w:r>
        <w:rPr>
          <w:rFonts w:hint="eastAsia" w:cs="Times New Roman"/>
          <w:color w:val="auto"/>
          <w:szCs w:val="22"/>
          <w:lang w:val="en-US" w:eastAsia="zh-CN"/>
        </w:rPr>
        <w:t>后堡江、</w:t>
      </w:r>
      <w:r>
        <w:rPr>
          <w:rFonts w:hint="default" w:ascii="Times New Roman" w:hAnsi="Times New Roman" w:eastAsia="宋体" w:cs="Times New Roman"/>
          <w:color w:val="auto"/>
          <w:szCs w:val="22"/>
        </w:rPr>
        <w:t>浒光运河</w:t>
      </w:r>
      <w:r>
        <w:rPr>
          <w:rFonts w:hint="eastAsia" w:cs="Times New Roman"/>
          <w:color w:val="auto"/>
          <w:szCs w:val="22"/>
          <w:lang w:val="en-US" w:eastAsia="zh-CN"/>
        </w:rPr>
        <w:t>均</w:t>
      </w:r>
      <w:r>
        <w:rPr>
          <w:rFonts w:hint="default" w:ascii="Times New Roman" w:hAnsi="Times New Roman" w:eastAsia="宋体" w:cs="Times New Roman"/>
          <w:color w:val="auto"/>
          <w:szCs w:val="22"/>
        </w:rPr>
        <w:t>为Ⅲ类水环境功能区，执行《地表水环境质量标准》(GB3838-2002)中Ⅲ类标准；</w:t>
      </w:r>
      <w:r>
        <w:rPr>
          <w:rFonts w:hint="eastAsia" w:cs="Times New Roman"/>
          <w:color w:val="auto"/>
          <w:szCs w:val="22"/>
          <w:lang w:val="en-US" w:eastAsia="zh-CN"/>
        </w:rPr>
        <w:t>水环境保护目标</w:t>
      </w:r>
      <w:r>
        <w:rPr>
          <w:rFonts w:hint="default" w:ascii="Times New Roman" w:hAnsi="Times New Roman" w:eastAsia="宋体" w:cs="Times New Roman"/>
          <w:color w:val="auto"/>
          <w:szCs w:val="22"/>
        </w:rPr>
        <w:t>见表2.</w:t>
      </w:r>
      <w:r>
        <w:rPr>
          <w:rFonts w:hint="eastAsia" w:cs="Times New Roman"/>
          <w:color w:val="auto"/>
          <w:szCs w:val="22"/>
          <w:lang w:val="en-US" w:eastAsia="zh-CN"/>
        </w:rPr>
        <w:t>4-1</w:t>
      </w:r>
      <w:r>
        <w:rPr>
          <w:rFonts w:hint="default" w:ascii="Times New Roman" w:hAnsi="Times New Roman" w:eastAsia="宋体" w:cs="Times New Roman"/>
          <w:color w:val="auto"/>
          <w:szCs w:val="22"/>
        </w:rPr>
        <w:t>。</w:t>
      </w:r>
    </w:p>
    <w:p>
      <w:pPr>
        <w:spacing w:line="520" w:lineRule="exact"/>
        <w:ind w:firstLine="480" w:firstLineChars="200"/>
        <w:jc w:val="both"/>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2、项目工程沿线主要声环境敏感保护目标见表2</w:t>
      </w:r>
      <w:r>
        <w:rPr>
          <w:rFonts w:hint="eastAsia" w:cs="Times New Roman"/>
          <w:color w:val="auto"/>
          <w:szCs w:val="22"/>
          <w:lang w:val="en-US" w:eastAsia="zh-CN"/>
        </w:rPr>
        <w:t>.4-2</w:t>
      </w:r>
      <w:r>
        <w:rPr>
          <w:rFonts w:hint="default" w:ascii="Times New Roman" w:hAnsi="Times New Roman" w:eastAsia="宋体" w:cs="Times New Roman"/>
          <w:color w:val="auto"/>
          <w:szCs w:val="22"/>
        </w:rPr>
        <w:t>，执行《声环境质量标准》（GB3096-2008）中2类标准。</w:t>
      </w:r>
    </w:p>
    <w:p>
      <w:pPr>
        <w:spacing w:line="520" w:lineRule="exact"/>
        <w:ind w:firstLine="480" w:firstLineChars="200"/>
        <w:jc w:val="both"/>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3、大气环境保护目标见表2.</w:t>
      </w:r>
      <w:r>
        <w:rPr>
          <w:rFonts w:hint="eastAsia" w:cs="Times New Roman"/>
          <w:color w:val="auto"/>
          <w:szCs w:val="22"/>
          <w:lang w:val="en-US" w:eastAsia="zh-CN"/>
        </w:rPr>
        <w:t>4-3</w:t>
      </w:r>
      <w:r>
        <w:rPr>
          <w:rFonts w:hint="default" w:ascii="Times New Roman" w:hAnsi="Times New Roman" w:eastAsia="宋体" w:cs="Times New Roman"/>
          <w:color w:val="auto"/>
          <w:szCs w:val="22"/>
        </w:rPr>
        <w:t>，执行《环境空气质量标准》（GB3095-2012）及其修改单二级标准。</w:t>
      </w:r>
    </w:p>
    <w:p>
      <w:pPr>
        <w:spacing w:line="520" w:lineRule="exact"/>
        <w:ind w:firstLine="480" w:firstLineChars="200"/>
        <w:jc w:val="both"/>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Cs w:val="22"/>
        </w:rPr>
        <w:t>4、本工程生态环境评价范围内无自然保护区、文物古迹、古树名木等生态敏感区。本项目生态环境保护工程影响区的生态系统的稳定性和完整性，尽量减少工程建设对生态环境的影响，避免扰动施工管理区范围的水生生物和陆生动植物。采取生态恢复措施，恢复和改善工程区生态环境状况。</w:t>
      </w:r>
    </w:p>
    <w:p>
      <w:pPr>
        <w:snapToGrid w:val="0"/>
        <w:spacing w:line="480" w:lineRule="exact"/>
        <w:ind w:firstLine="482" w:firstLineChars="200"/>
        <w:jc w:val="center"/>
        <w:rPr>
          <w:rFonts w:hint="default" w:ascii="Times New Roman" w:hAnsi="Times New Roman" w:eastAsia="宋体" w:cs="Times New Roman"/>
          <w:b/>
          <w:bCs/>
          <w:color w:val="auto"/>
          <w:lang w:val="en-US" w:eastAsia="zh-CN"/>
        </w:rPr>
      </w:pPr>
    </w:p>
    <w:p>
      <w:pPr>
        <w:snapToGrid w:val="0"/>
        <w:spacing w:line="480" w:lineRule="exact"/>
        <w:ind w:firstLine="482" w:firstLineChars="200"/>
        <w:jc w:val="center"/>
        <w:rPr>
          <w:rFonts w:hint="default" w:ascii="Times New Roman" w:hAnsi="Times New Roman" w:eastAsia="宋体" w:cs="Times New Roman"/>
          <w:b/>
          <w:bCs/>
          <w:color w:val="auto"/>
          <w:lang w:val="en-US" w:eastAsia="zh-CN"/>
        </w:rPr>
      </w:pPr>
    </w:p>
    <w:p>
      <w:pPr>
        <w:snapToGrid w:val="0"/>
        <w:spacing w:line="480" w:lineRule="exact"/>
        <w:ind w:firstLine="482" w:firstLineChars="200"/>
        <w:jc w:val="center"/>
        <w:rPr>
          <w:rFonts w:hint="default" w:ascii="Times New Roman" w:hAnsi="Times New Roman" w:eastAsia="宋体" w:cs="Times New Roman"/>
          <w:b/>
          <w:bCs/>
          <w:color w:val="auto"/>
          <w:lang w:val="en-US" w:eastAsia="zh-CN"/>
        </w:rPr>
      </w:pPr>
    </w:p>
    <w:p>
      <w:pPr>
        <w:pStyle w:val="2"/>
        <w:rPr>
          <w:rFonts w:hint="default"/>
          <w:lang w:val="en-US" w:eastAsia="zh-CN"/>
        </w:rPr>
      </w:pPr>
    </w:p>
    <w:p>
      <w:pPr>
        <w:snapToGrid w:val="0"/>
        <w:spacing w:line="480" w:lineRule="exact"/>
        <w:ind w:firstLine="482" w:firstLineChars="20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表2.</w:t>
      </w:r>
      <w:r>
        <w:rPr>
          <w:rFonts w:hint="eastAsia" w:cs="Times New Roman"/>
          <w:b/>
          <w:bCs/>
          <w:color w:val="auto"/>
          <w:lang w:val="en-US" w:eastAsia="zh-CN"/>
        </w:rPr>
        <w:t>4</w:t>
      </w:r>
      <w:r>
        <w:rPr>
          <w:rFonts w:hint="default" w:ascii="Times New Roman" w:hAnsi="Times New Roman" w:eastAsia="宋体" w:cs="Times New Roman"/>
          <w:b/>
          <w:bCs/>
          <w:color w:val="auto"/>
          <w:lang w:val="en-US" w:eastAsia="zh-CN"/>
        </w:rPr>
        <w:t>-1  水环境保护目标一览表</w:t>
      </w:r>
    </w:p>
    <w:tbl>
      <w:tblPr>
        <w:tblStyle w:val="5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846"/>
        <w:gridCol w:w="695"/>
        <w:gridCol w:w="655"/>
        <w:gridCol w:w="681"/>
        <w:gridCol w:w="696"/>
        <w:gridCol w:w="682"/>
        <w:gridCol w:w="763"/>
        <w:gridCol w:w="737"/>
        <w:gridCol w:w="750"/>
        <w:gridCol w:w="15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5" w:hRule="atLeast"/>
        </w:trPr>
        <w:tc>
          <w:tcPr>
            <w:tcW w:w="847" w:type="dxa"/>
            <w:vMerge w:val="restart"/>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保护</w:t>
            </w:r>
          </w:p>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对象</w:t>
            </w:r>
          </w:p>
        </w:tc>
        <w:tc>
          <w:tcPr>
            <w:tcW w:w="846" w:type="dxa"/>
            <w:vMerge w:val="restart"/>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保护</w:t>
            </w:r>
          </w:p>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内容</w:t>
            </w:r>
          </w:p>
        </w:tc>
        <w:tc>
          <w:tcPr>
            <w:tcW w:w="695" w:type="dxa"/>
            <w:vMerge w:val="restart"/>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规模</w:t>
            </w:r>
          </w:p>
        </w:tc>
        <w:tc>
          <w:tcPr>
            <w:tcW w:w="2714" w:type="dxa"/>
            <w:gridSpan w:val="4"/>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相对厂界m</w:t>
            </w:r>
          </w:p>
        </w:tc>
        <w:tc>
          <w:tcPr>
            <w:tcW w:w="2250" w:type="dxa"/>
            <w:gridSpan w:val="3"/>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相对排放口m</w:t>
            </w:r>
          </w:p>
        </w:tc>
        <w:tc>
          <w:tcPr>
            <w:tcW w:w="1504" w:type="dxa"/>
            <w:vMerge w:val="restart"/>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与本项目的水利联系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847" w:type="dxa"/>
            <w:vMerge w:val="continue"/>
            <w:tcBorders>
              <w:tl2br w:val="nil"/>
              <w:tr2bl w:val="nil"/>
            </w:tcBorders>
            <w:vAlign w:val="center"/>
          </w:tcPr>
          <w:p>
            <w:pPr>
              <w:widowControl w:val="0"/>
              <w:spacing w:line="320" w:lineRule="exact"/>
              <w:jc w:val="center"/>
              <w:rPr>
                <w:rFonts w:hint="default" w:ascii="Times New Roman" w:hAnsi="Times New Roman" w:eastAsia="宋体" w:cs="Times New Roman"/>
              </w:rPr>
            </w:pPr>
          </w:p>
        </w:tc>
        <w:tc>
          <w:tcPr>
            <w:tcW w:w="846" w:type="dxa"/>
            <w:vMerge w:val="continue"/>
            <w:tcBorders>
              <w:tl2br w:val="nil"/>
              <w:tr2bl w:val="nil"/>
            </w:tcBorders>
            <w:vAlign w:val="center"/>
          </w:tcPr>
          <w:p>
            <w:pPr>
              <w:widowControl w:val="0"/>
              <w:spacing w:line="320" w:lineRule="exact"/>
              <w:jc w:val="center"/>
              <w:rPr>
                <w:rFonts w:hint="default" w:ascii="Times New Roman" w:hAnsi="Times New Roman" w:eastAsia="宋体" w:cs="Times New Roman"/>
              </w:rPr>
            </w:pPr>
          </w:p>
        </w:tc>
        <w:tc>
          <w:tcPr>
            <w:tcW w:w="695" w:type="dxa"/>
            <w:vMerge w:val="continue"/>
            <w:tcBorders>
              <w:tl2br w:val="nil"/>
              <w:tr2bl w:val="nil"/>
            </w:tcBorders>
            <w:vAlign w:val="center"/>
          </w:tcPr>
          <w:p>
            <w:pPr>
              <w:widowControl w:val="0"/>
              <w:spacing w:line="320" w:lineRule="exact"/>
              <w:jc w:val="center"/>
              <w:rPr>
                <w:rFonts w:hint="default" w:ascii="Times New Roman" w:hAnsi="Times New Roman" w:eastAsia="宋体" w:cs="Times New Roman"/>
              </w:rPr>
            </w:pPr>
          </w:p>
        </w:tc>
        <w:tc>
          <w:tcPr>
            <w:tcW w:w="655" w:type="dxa"/>
            <w:vMerge w:val="restart"/>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距离</w:t>
            </w:r>
          </w:p>
        </w:tc>
        <w:tc>
          <w:tcPr>
            <w:tcW w:w="1377" w:type="dxa"/>
            <w:gridSpan w:val="2"/>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坐标</w:t>
            </w:r>
          </w:p>
        </w:tc>
        <w:tc>
          <w:tcPr>
            <w:tcW w:w="682" w:type="dxa"/>
            <w:vMerge w:val="restart"/>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高差</w:t>
            </w:r>
          </w:p>
        </w:tc>
        <w:tc>
          <w:tcPr>
            <w:tcW w:w="763" w:type="dxa"/>
            <w:vMerge w:val="restart"/>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距离</w:t>
            </w:r>
          </w:p>
        </w:tc>
        <w:tc>
          <w:tcPr>
            <w:tcW w:w="1487" w:type="dxa"/>
            <w:gridSpan w:val="2"/>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坐标</w:t>
            </w:r>
          </w:p>
        </w:tc>
        <w:tc>
          <w:tcPr>
            <w:tcW w:w="1504" w:type="dxa"/>
            <w:vMerge w:val="continue"/>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847" w:type="dxa"/>
            <w:vMerge w:val="continue"/>
            <w:tcBorders>
              <w:tl2br w:val="nil"/>
              <w:tr2bl w:val="nil"/>
            </w:tcBorders>
            <w:vAlign w:val="center"/>
          </w:tcPr>
          <w:p>
            <w:pPr>
              <w:widowControl w:val="0"/>
              <w:spacing w:line="320" w:lineRule="exact"/>
              <w:jc w:val="center"/>
              <w:rPr>
                <w:rFonts w:hint="default" w:ascii="Times New Roman" w:hAnsi="Times New Roman" w:eastAsia="宋体" w:cs="Times New Roman"/>
              </w:rPr>
            </w:pPr>
          </w:p>
        </w:tc>
        <w:tc>
          <w:tcPr>
            <w:tcW w:w="846" w:type="dxa"/>
            <w:vMerge w:val="continue"/>
            <w:tcBorders>
              <w:tl2br w:val="nil"/>
              <w:tr2bl w:val="nil"/>
            </w:tcBorders>
            <w:vAlign w:val="center"/>
          </w:tcPr>
          <w:p>
            <w:pPr>
              <w:widowControl w:val="0"/>
              <w:spacing w:line="320" w:lineRule="exact"/>
              <w:jc w:val="center"/>
              <w:rPr>
                <w:rFonts w:hint="default" w:ascii="Times New Roman" w:hAnsi="Times New Roman" w:eastAsia="宋体" w:cs="Times New Roman"/>
              </w:rPr>
            </w:pPr>
          </w:p>
        </w:tc>
        <w:tc>
          <w:tcPr>
            <w:tcW w:w="695" w:type="dxa"/>
            <w:vMerge w:val="continue"/>
            <w:tcBorders>
              <w:tl2br w:val="nil"/>
              <w:tr2bl w:val="nil"/>
            </w:tcBorders>
            <w:vAlign w:val="center"/>
          </w:tcPr>
          <w:p>
            <w:pPr>
              <w:widowControl w:val="0"/>
              <w:spacing w:line="320" w:lineRule="exact"/>
              <w:jc w:val="center"/>
              <w:rPr>
                <w:rFonts w:hint="default" w:ascii="Times New Roman" w:hAnsi="Times New Roman" w:eastAsia="宋体" w:cs="Times New Roman"/>
              </w:rPr>
            </w:pPr>
          </w:p>
        </w:tc>
        <w:tc>
          <w:tcPr>
            <w:tcW w:w="655" w:type="dxa"/>
            <w:vMerge w:val="continue"/>
            <w:tcBorders>
              <w:tl2br w:val="nil"/>
              <w:tr2bl w:val="nil"/>
            </w:tcBorders>
            <w:vAlign w:val="center"/>
          </w:tcPr>
          <w:p>
            <w:pPr>
              <w:widowControl w:val="0"/>
              <w:spacing w:line="320" w:lineRule="exact"/>
              <w:jc w:val="center"/>
              <w:rPr>
                <w:rFonts w:hint="default" w:ascii="Times New Roman" w:hAnsi="Times New Roman" w:eastAsia="宋体" w:cs="Times New Roman"/>
              </w:rPr>
            </w:pPr>
          </w:p>
        </w:tc>
        <w:tc>
          <w:tcPr>
            <w:tcW w:w="681" w:type="dxa"/>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X</w:t>
            </w:r>
          </w:p>
        </w:tc>
        <w:tc>
          <w:tcPr>
            <w:tcW w:w="696" w:type="dxa"/>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Y</w:t>
            </w:r>
          </w:p>
        </w:tc>
        <w:tc>
          <w:tcPr>
            <w:tcW w:w="682" w:type="dxa"/>
            <w:vMerge w:val="continue"/>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rPr>
            </w:pPr>
          </w:p>
        </w:tc>
        <w:tc>
          <w:tcPr>
            <w:tcW w:w="763" w:type="dxa"/>
            <w:vMerge w:val="continue"/>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rPr>
            </w:pPr>
          </w:p>
        </w:tc>
        <w:tc>
          <w:tcPr>
            <w:tcW w:w="737" w:type="dxa"/>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X</w:t>
            </w:r>
          </w:p>
        </w:tc>
        <w:tc>
          <w:tcPr>
            <w:tcW w:w="750" w:type="dxa"/>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Y</w:t>
            </w:r>
          </w:p>
        </w:tc>
        <w:tc>
          <w:tcPr>
            <w:tcW w:w="1504" w:type="dxa"/>
            <w:vMerge w:val="continue"/>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7"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太湖</w:t>
            </w:r>
          </w:p>
        </w:tc>
        <w:tc>
          <w:tcPr>
            <w:tcW w:w="846"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Ⅱ类</w:t>
            </w:r>
          </w:p>
          <w:p>
            <w:pPr>
              <w:widowControl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水体</w:t>
            </w:r>
          </w:p>
        </w:tc>
        <w:tc>
          <w:tcPr>
            <w:tcW w:w="695"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大湖</w:t>
            </w:r>
          </w:p>
        </w:tc>
        <w:tc>
          <w:tcPr>
            <w:tcW w:w="655"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81"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96"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82"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763"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5200</w:t>
            </w:r>
          </w:p>
        </w:tc>
        <w:tc>
          <w:tcPr>
            <w:tcW w:w="737"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1700</w:t>
            </w:r>
          </w:p>
        </w:tc>
        <w:tc>
          <w:tcPr>
            <w:tcW w:w="75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4900</w:t>
            </w:r>
          </w:p>
        </w:tc>
        <w:tc>
          <w:tcPr>
            <w:tcW w:w="1504"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工程范围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7"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渔洋山</w:t>
            </w:r>
            <w:r>
              <w:rPr>
                <w:rFonts w:hint="default" w:ascii="Times New Roman" w:hAnsi="Times New Roman" w:eastAsia="宋体" w:cs="Times New Roman"/>
                <w:color w:val="auto"/>
                <w:sz w:val="21"/>
                <w:szCs w:val="21"/>
              </w:rPr>
              <w:t>饮用水水源保护区</w:t>
            </w:r>
          </w:p>
        </w:tc>
        <w:tc>
          <w:tcPr>
            <w:tcW w:w="846"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饮用水水源保护区</w:t>
            </w:r>
          </w:p>
        </w:tc>
        <w:tc>
          <w:tcPr>
            <w:tcW w:w="695" w:type="dxa"/>
            <w:tcBorders>
              <w:tl2br w:val="nil"/>
              <w:tr2bl w:val="nil"/>
            </w:tcBorders>
            <w:vAlign w:val="center"/>
          </w:tcPr>
          <w:p>
            <w:pPr>
              <w:widowControl w:val="0"/>
              <w:spacing w:line="320" w:lineRule="exact"/>
              <w:jc w:val="center"/>
              <w:rPr>
                <w:rFonts w:hint="eastAsia" w:cs="Times New Roman"/>
                <w:color w:val="auto"/>
                <w:sz w:val="21"/>
                <w:szCs w:val="21"/>
                <w:lang w:val="en-US" w:eastAsia="zh-CN"/>
              </w:rPr>
            </w:pPr>
            <w:r>
              <w:rPr>
                <w:rFonts w:hint="eastAsia" w:cs="Times New Roman"/>
                <w:color w:val="auto"/>
                <w:sz w:val="21"/>
                <w:szCs w:val="21"/>
                <w:lang w:val="en-US" w:eastAsia="zh-CN"/>
              </w:rPr>
              <w:t>17.88</w:t>
            </w:r>
          </w:p>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km</w:t>
            </w:r>
            <w:r>
              <w:rPr>
                <w:rFonts w:hint="eastAsia" w:cs="Times New Roman"/>
                <w:color w:val="auto"/>
                <w:sz w:val="21"/>
                <w:szCs w:val="21"/>
                <w:vertAlign w:val="superscript"/>
                <w:lang w:val="en-US" w:eastAsia="zh-CN"/>
              </w:rPr>
              <w:t>2</w:t>
            </w:r>
          </w:p>
        </w:tc>
        <w:tc>
          <w:tcPr>
            <w:tcW w:w="655"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81"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96"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82"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763" w:type="dxa"/>
            <w:tcBorders>
              <w:tl2br w:val="nil"/>
              <w:tr2bl w:val="nil"/>
            </w:tcBorders>
            <w:vAlign w:val="center"/>
          </w:tcPr>
          <w:p>
            <w:pPr>
              <w:widowControl w:val="0"/>
              <w:spacing w:line="320" w:lineRule="exact"/>
              <w:jc w:val="center"/>
              <w:rPr>
                <w:rFonts w:hint="default" w:ascii="Times New Roman" w:hAnsi="Times New Roman" w:eastAsia="宋体" w:cs="Times New Roman"/>
                <w:color w:val="0000FF"/>
                <w:sz w:val="21"/>
                <w:szCs w:val="21"/>
                <w:lang w:val="en-US" w:eastAsia="zh-CN"/>
              </w:rPr>
            </w:pPr>
            <w:r>
              <w:rPr>
                <w:rFonts w:hint="eastAsia" w:cs="Times New Roman"/>
                <w:color w:val="auto"/>
                <w:sz w:val="21"/>
                <w:szCs w:val="21"/>
                <w:lang w:val="en-US" w:eastAsia="zh-CN"/>
              </w:rPr>
              <w:t>10000</w:t>
            </w:r>
          </w:p>
        </w:tc>
        <w:tc>
          <w:tcPr>
            <w:tcW w:w="737"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9500</w:t>
            </w:r>
          </w:p>
        </w:tc>
        <w:tc>
          <w:tcPr>
            <w:tcW w:w="75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3500</w:t>
            </w:r>
          </w:p>
        </w:tc>
        <w:tc>
          <w:tcPr>
            <w:tcW w:w="1504"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工程范围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7" w:type="dxa"/>
            <w:vMerge w:val="restart"/>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取水口</w:t>
            </w:r>
          </w:p>
        </w:tc>
        <w:tc>
          <w:tcPr>
            <w:tcW w:w="846"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1#水源取水口</w:t>
            </w:r>
          </w:p>
        </w:tc>
        <w:tc>
          <w:tcPr>
            <w:tcW w:w="695" w:type="dxa"/>
            <w:tcBorders>
              <w:tl2br w:val="nil"/>
              <w:tr2bl w:val="nil"/>
            </w:tcBorders>
            <w:vAlign w:val="center"/>
          </w:tcPr>
          <w:p>
            <w:pPr>
              <w:widowControl w:val="0"/>
              <w:spacing w:line="320" w:lineRule="exact"/>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655"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430</w:t>
            </w:r>
          </w:p>
        </w:tc>
        <w:tc>
          <w:tcPr>
            <w:tcW w:w="681"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-430</w:t>
            </w:r>
          </w:p>
        </w:tc>
        <w:tc>
          <w:tcPr>
            <w:tcW w:w="696"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682"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763"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11200</w:t>
            </w:r>
          </w:p>
        </w:tc>
        <w:tc>
          <w:tcPr>
            <w:tcW w:w="737"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4500</w:t>
            </w:r>
          </w:p>
        </w:tc>
        <w:tc>
          <w:tcPr>
            <w:tcW w:w="75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10200</w:t>
            </w:r>
          </w:p>
        </w:tc>
        <w:tc>
          <w:tcPr>
            <w:tcW w:w="1504"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工程影响范围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7" w:type="dxa"/>
            <w:vMerge w:val="continue"/>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rPr>
            </w:pPr>
          </w:p>
        </w:tc>
        <w:tc>
          <w:tcPr>
            <w:tcW w:w="846"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2#水源取水口</w:t>
            </w:r>
          </w:p>
        </w:tc>
        <w:tc>
          <w:tcPr>
            <w:tcW w:w="695" w:type="dxa"/>
            <w:tcBorders>
              <w:tl2br w:val="nil"/>
              <w:tr2bl w:val="nil"/>
            </w:tcBorders>
            <w:vAlign w:val="center"/>
          </w:tcPr>
          <w:p>
            <w:pPr>
              <w:widowControl w:val="0"/>
              <w:spacing w:line="320" w:lineRule="exact"/>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655"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505</w:t>
            </w:r>
          </w:p>
        </w:tc>
        <w:tc>
          <w:tcPr>
            <w:tcW w:w="681"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-505</w:t>
            </w:r>
          </w:p>
        </w:tc>
        <w:tc>
          <w:tcPr>
            <w:tcW w:w="696"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682"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763"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11300</w:t>
            </w:r>
          </w:p>
        </w:tc>
        <w:tc>
          <w:tcPr>
            <w:tcW w:w="737"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4500</w:t>
            </w:r>
          </w:p>
        </w:tc>
        <w:tc>
          <w:tcPr>
            <w:tcW w:w="75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10300</w:t>
            </w:r>
          </w:p>
        </w:tc>
        <w:tc>
          <w:tcPr>
            <w:tcW w:w="1504"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工程影响范围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7" w:type="dxa"/>
            <w:tcBorders>
              <w:tl2br w:val="nil"/>
              <w:tr2bl w:val="nil"/>
            </w:tcBorders>
            <w:vAlign w:val="center"/>
          </w:tcPr>
          <w:p>
            <w:pPr>
              <w:widowControl w:val="0"/>
              <w:spacing w:line="320" w:lineRule="exact"/>
              <w:jc w:val="center"/>
              <w:rPr>
                <w:rFonts w:hint="eastAsia" w:cs="Times New Roman"/>
                <w:color w:val="auto"/>
                <w:sz w:val="21"/>
                <w:szCs w:val="21"/>
                <w:lang w:val="en-US" w:eastAsia="zh-CN"/>
              </w:rPr>
            </w:pPr>
            <w:r>
              <w:rPr>
                <w:rFonts w:hint="eastAsia" w:cs="Times New Roman"/>
                <w:color w:val="auto"/>
                <w:sz w:val="21"/>
                <w:szCs w:val="21"/>
                <w:lang w:val="en-US" w:eastAsia="zh-CN"/>
              </w:rPr>
              <w:t>浒光</w:t>
            </w:r>
          </w:p>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运河</w:t>
            </w:r>
          </w:p>
        </w:tc>
        <w:tc>
          <w:tcPr>
            <w:tcW w:w="846"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eastAsia="zh-CN"/>
              </w:rPr>
              <w:t>Ⅲ</w:t>
            </w:r>
            <w:r>
              <w:rPr>
                <w:rFonts w:hint="default" w:ascii="Times New Roman" w:hAnsi="Times New Roman" w:eastAsia="宋体" w:cs="Times New Roman"/>
                <w:color w:val="auto"/>
                <w:sz w:val="21"/>
                <w:szCs w:val="21"/>
              </w:rPr>
              <w:t>类</w:t>
            </w:r>
          </w:p>
          <w:p>
            <w:pPr>
              <w:widowControl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水体</w:t>
            </w:r>
          </w:p>
        </w:tc>
        <w:tc>
          <w:tcPr>
            <w:tcW w:w="695"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小河</w:t>
            </w:r>
          </w:p>
        </w:tc>
        <w:tc>
          <w:tcPr>
            <w:tcW w:w="655"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8600</w:t>
            </w:r>
          </w:p>
        </w:tc>
        <w:tc>
          <w:tcPr>
            <w:tcW w:w="681"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696"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8600</w:t>
            </w:r>
          </w:p>
        </w:tc>
        <w:tc>
          <w:tcPr>
            <w:tcW w:w="682"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763" w:type="dxa"/>
            <w:tcBorders>
              <w:tl2br w:val="nil"/>
              <w:tr2bl w:val="nil"/>
            </w:tcBorders>
            <w:vAlign w:val="center"/>
          </w:tcPr>
          <w:p>
            <w:pPr>
              <w:widowControl w:val="0"/>
              <w:spacing w:line="320" w:lineRule="exact"/>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737" w:type="dxa"/>
            <w:tcBorders>
              <w:tl2br w:val="nil"/>
              <w:tr2bl w:val="nil"/>
            </w:tcBorders>
            <w:vAlign w:val="center"/>
          </w:tcPr>
          <w:p>
            <w:pPr>
              <w:widowControl w:val="0"/>
              <w:spacing w:line="320" w:lineRule="exact"/>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750" w:type="dxa"/>
            <w:tcBorders>
              <w:tl2br w:val="nil"/>
              <w:tr2bl w:val="nil"/>
            </w:tcBorders>
            <w:vAlign w:val="center"/>
          </w:tcPr>
          <w:p>
            <w:pPr>
              <w:widowControl w:val="0"/>
              <w:spacing w:line="320" w:lineRule="exact"/>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1504" w:type="dxa"/>
            <w:tcBorders>
              <w:tl2br w:val="nil"/>
              <w:tr2bl w:val="nil"/>
            </w:tcBorders>
            <w:vAlign w:val="center"/>
          </w:tcPr>
          <w:p>
            <w:pPr>
              <w:widowControl w:val="0"/>
              <w:spacing w:line="320" w:lineRule="exact"/>
              <w:jc w:val="center"/>
              <w:rPr>
                <w:rFonts w:hint="eastAsia" w:ascii="Times New Roman" w:hAnsi="Times New Roman" w:eastAsia="宋体" w:cs="Times New Roman"/>
                <w:color w:val="FF0000"/>
                <w:sz w:val="21"/>
                <w:szCs w:val="21"/>
                <w:lang w:val="en-US" w:eastAsia="zh-CN"/>
              </w:rPr>
            </w:pPr>
            <w:r>
              <w:rPr>
                <w:rFonts w:hint="eastAsia" w:cs="Times New Roman"/>
                <w:color w:val="auto"/>
                <w:sz w:val="21"/>
                <w:szCs w:val="21"/>
                <w:lang w:val="en-US" w:eastAsia="zh-CN"/>
              </w:rPr>
              <w:t>纳污河流</w:t>
            </w:r>
          </w:p>
        </w:tc>
      </w:tr>
    </w:tbl>
    <w:p>
      <w:pPr>
        <w:pStyle w:val="49"/>
        <w:widowControl w:val="0"/>
        <w:spacing w:before="0" w:beforeAutospacing="0" w:after="0" w:afterAutospacing="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注：以工程区域中点为坐标原点，距离为工程边界距离敏感点最近距离。</w:t>
      </w:r>
    </w:p>
    <w:p>
      <w:pPr>
        <w:snapToGrid w:val="0"/>
        <w:spacing w:line="480" w:lineRule="exact"/>
        <w:ind w:firstLine="482" w:firstLineChars="20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表2.</w:t>
      </w:r>
      <w:r>
        <w:rPr>
          <w:rFonts w:hint="eastAsia" w:cs="Times New Roman"/>
          <w:b/>
          <w:bCs/>
          <w:color w:val="auto"/>
          <w:lang w:val="en-US" w:eastAsia="zh-CN"/>
        </w:rPr>
        <w:t>4</w:t>
      </w:r>
      <w:r>
        <w:rPr>
          <w:rFonts w:hint="default" w:ascii="Times New Roman" w:hAnsi="Times New Roman" w:eastAsia="宋体" w:cs="Times New Roman"/>
          <w:b/>
          <w:bCs/>
          <w:color w:val="auto"/>
          <w:lang w:val="en-US" w:eastAsia="zh-CN"/>
        </w:rPr>
        <w:t>-</w:t>
      </w:r>
      <w:r>
        <w:rPr>
          <w:rFonts w:hint="eastAsia" w:cs="Times New Roman"/>
          <w:b/>
          <w:bCs/>
          <w:color w:val="auto"/>
          <w:lang w:val="en-US" w:eastAsia="zh-CN"/>
        </w:rPr>
        <w:t>2</w:t>
      </w:r>
      <w:r>
        <w:rPr>
          <w:rFonts w:hint="default" w:ascii="Times New Roman" w:hAnsi="Times New Roman" w:eastAsia="宋体" w:cs="Times New Roman"/>
          <w:b/>
          <w:bCs/>
          <w:color w:val="auto"/>
          <w:lang w:val="en-US" w:eastAsia="zh-CN"/>
        </w:rPr>
        <w:t xml:space="preserve"> 主体工程声环境主要环境保护目标一览表</w:t>
      </w:r>
    </w:p>
    <w:tbl>
      <w:tblPr>
        <w:tblStyle w:val="56"/>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35"/>
        <w:gridCol w:w="2977"/>
        <w:gridCol w:w="1438"/>
        <w:gridCol w:w="23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206" w:type="pct"/>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保护对象名称</w:t>
            </w:r>
          </w:p>
        </w:tc>
        <w:tc>
          <w:tcPr>
            <w:tcW w:w="1681" w:type="pct"/>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保护目标与工程位置关系</w:t>
            </w:r>
          </w:p>
        </w:tc>
        <w:tc>
          <w:tcPr>
            <w:tcW w:w="812" w:type="pct"/>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规模</w:t>
            </w:r>
          </w:p>
        </w:tc>
        <w:tc>
          <w:tcPr>
            <w:tcW w:w="1299" w:type="pct"/>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保护要求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6" w:type="pct"/>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渔洋山风景区</w:t>
            </w:r>
          </w:p>
        </w:tc>
        <w:tc>
          <w:tcPr>
            <w:tcW w:w="1681" w:type="pct"/>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位于工程范围东侧35m</w:t>
            </w:r>
          </w:p>
        </w:tc>
        <w:tc>
          <w:tcPr>
            <w:tcW w:w="812" w:type="pct"/>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约200人</w:t>
            </w:r>
          </w:p>
        </w:tc>
        <w:tc>
          <w:tcPr>
            <w:tcW w:w="1299" w:type="pct"/>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工程范围内</w:t>
            </w:r>
          </w:p>
        </w:tc>
      </w:tr>
    </w:tbl>
    <w:p>
      <w:pPr>
        <w:pStyle w:val="8"/>
        <w:snapToGrid w:val="0"/>
        <w:spacing w:line="500" w:lineRule="exact"/>
        <w:ind w:firstLine="482" w:firstLineChars="20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表2.</w:t>
      </w:r>
      <w:r>
        <w:rPr>
          <w:rFonts w:hint="eastAsia" w:cs="Times New Roman"/>
          <w:b/>
          <w:bCs/>
          <w:color w:val="auto"/>
          <w:sz w:val="24"/>
          <w:szCs w:val="24"/>
          <w:lang w:val="en-US" w:eastAsia="zh-CN"/>
        </w:rPr>
        <w:t>4</w:t>
      </w:r>
      <w:r>
        <w:rPr>
          <w:rFonts w:hint="default" w:ascii="Times New Roman" w:hAnsi="Times New Roman" w:eastAsia="宋体" w:cs="Times New Roman"/>
          <w:b/>
          <w:bCs/>
          <w:color w:val="auto"/>
          <w:sz w:val="24"/>
          <w:szCs w:val="24"/>
        </w:rPr>
        <w:t>-</w:t>
      </w:r>
      <w:r>
        <w:rPr>
          <w:rFonts w:hint="eastAsia" w:cs="Times New Roman"/>
          <w:b/>
          <w:bCs/>
          <w:color w:val="auto"/>
          <w:sz w:val="24"/>
          <w:szCs w:val="24"/>
          <w:lang w:val="en-US" w:eastAsia="zh-CN"/>
        </w:rPr>
        <w:t>3</w:t>
      </w:r>
      <w:r>
        <w:rPr>
          <w:rFonts w:hint="default" w:ascii="Times New Roman" w:hAnsi="Times New Roman" w:eastAsia="宋体" w:cs="Times New Roman"/>
          <w:b/>
          <w:bCs/>
          <w:color w:val="auto"/>
          <w:sz w:val="24"/>
          <w:szCs w:val="24"/>
        </w:rPr>
        <w:t xml:space="preserve"> 主体工程大气环境主要环境保护目标一览表</w:t>
      </w:r>
    </w:p>
    <w:tbl>
      <w:tblPr>
        <w:tblStyle w:val="56"/>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236"/>
        <w:gridCol w:w="678"/>
        <w:gridCol w:w="625"/>
        <w:gridCol w:w="1075"/>
        <w:gridCol w:w="1727"/>
        <w:gridCol w:w="962"/>
        <w:gridCol w:w="648"/>
        <w:gridCol w:w="12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vMerge w:val="restart"/>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698" w:type="pct"/>
            <w:vMerge w:val="restart"/>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名称</w:t>
            </w:r>
          </w:p>
        </w:tc>
        <w:tc>
          <w:tcPr>
            <w:tcW w:w="736" w:type="pct"/>
            <w:gridSpan w:val="2"/>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坐标/m</w:t>
            </w:r>
          </w:p>
        </w:tc>
        <w:tc>
          <w:tcPr>
            <w:tcW w:w="607" w:type="pct"/>
            <w:vMerge w:val="restart"/>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保护对象</w:t>
            </w:r>
          </w:p>
        </w:tc>
        <w:tc>
          <w:tcPr>
            <w:tcW w:w="975" w:type="pct"/>
            <w:vMerge w:val="restart"/>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保护内容</w:t>
            </w:r>
          </w:p>
        </w:tc>
        <w:tc>
          <w:tcPr>
            <w:tcW w:w="543" w:type="pct"/>
            <w:vMerge w:val="restart"/>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环境</w:t>
            </w:r>
          </w:p>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功能区</w:t>
            </w:r>
          </w:p>
        </w:tc>
        <w:tc>
          <w:tcPr>
            <w:tcW w:w="366" w:type="pct"/>
            <w:vMerge w:val="restart"/>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相对</w:t>
            </w:r>
          </w:p>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方位</w:t>
            </w:r>
          </w:p>
        </w:tc>
        <w:tc>
          <w:tcPr>
            <w:tcW w:w="694" w:type="pct"/>
            <w:vMerge w:val="restart"/>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与项目最近距离/m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vMerge w:val="continue"/>
            <w:tcBorders>
              <w:tl2br w:val="nil"/>
              <w:tr2bl w:val="nil"/>
            </w:tcBorders>
            <w:vAlign w:val="center"/>
          </w:tcPr>
          <w:p>
            <w:pPr>
              <w:widowControl w:val="0"/>
              <w:spacing w:line="320" w:lineRule="exact"/>
              <w:jc w:val="center"/>
              <w:rPr>
                <w:rFonts w:hint="default" w:ascii="Times New Roman" w:hAnsi="Times New Roman" w:eastAsia="宋体" w:cs="Times New Roman"/>
              </w:rPr>
            </w:pPr>
          </w:p>
        </w:tc>
        <w:tc>
          <w:tcPr>
            <w:tcW w:w="698" w:type="pct"/>
            <w:vMerge w:val="continue"/>
            <w:tcBorders>
              <w:tl2br w:val="nil"/>
              <w:tr2bl w:val="nil"/>
            </w:tcBorders>
            <w:vAlign w:val="center"/>
          </w:tcPr>
          <w:p>
            <w:pPr>
              <w:widowControl w:val="0"/>
              <w:spacing w:line="320" w:lineRule="exact"/>
              <w:jc w:val="center"/>
              <w:rPr>
                <w:rFonts w:hint="default" w:ascii="Times New Roman" w:hAnsi="Times New Roman" w:eastAsia="宋体" w:cs="Times New Roman"/>
              </w:rPr>
            </w:pPr>
          </w:p>
        </w:tc>
        <w:tc>
          <w:tcPr>
            <w:tcW w:w="383" w:type="pct"/>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X</w:t>
            </w:r>
          </w:p>
        </w:tc>
        <w:tc>
          <w:tcPr>
            <w:tcW w:w="353" w:type="pct"/>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Y</w:t>
            </w:r>
          </w:p>
        </w:tc>
        <w:tc>
          <w:tcPr>
            <w:tcW w:w="607" w:type="pct"/>
            <w:vMerge w:val="continue"/>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p>
        </w:tc>
        <w:tc>
          <w:tcPr>
            <w:tcW w:w="975" w:type="pct"/>
            <w:vMerge w:val="continue"/>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p>
        </w:tc>
        <w:tc>
          <w:tcPr>
            <w:tcW w:w="543" w:type="pct"/>
            <w:vMerge w:val="continue"/>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p>
        </w:tc>
        <w:tc>
          <w:tcPr>
            <w:tcW w:w="366" w:type="pct"/>
            <w:vMerge w:val="continue"/>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p>
        </w:tc>
        <w:tc>
          <w:tcPr>
            <w:tcW w:w="694" w:type="pct"/>
            <w:vMerge w:val="continue"/>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98" w:type="pct"/>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渔洋山风景区</w:t>
            </w:r>
          </w:p>
        </w:tc>
        <w:tc>
          <w:tcPr>
            <w:tcW w:w="383" w:type="pct"/>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c>
          <w:tcPr>
            <w:tcW w:w="353" w:type="pct"/>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07" w:type="pct"/>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旅游景区</w:t>
            </w:r>
          </w:p>
        </w:tc>
        <w:tc>
          <w:tcPr>
            <w:tcW w:w="975" w:type="pct"/>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人群，约200人</w:t>
            </w:r>
          </w:p>
        </w:tc>
        <w:tc>
          <w:tcPr>
            <w:tcW w:w="543" w:type="pct"/>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366" w:type="pct"/>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东</w:t>
            </w:r>
          </w:p>
        </w:tc>
        <w:tc>
          <w:tcPr>
            <w:tcW w:w="694" w:type="pct"/>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698" w:type="pct"/>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碧瀛谷别墅区</w:t>
            </w:r>
          </w:p>
        </w:tc>
        <w:tc>
          <w:tcPr>
            <w:tcW w:w="383" w:type="pct"/>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1600</w:t>
            </w:r>
          </w:p>
        </w:tc>
        <w:tc>
          <w:tcPr>
            <w:tcW w:w="353" w:type="pct"/>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07" w:type="pct"/>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975" w:type="pct"/>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人群，58户</w:t>
            </w:r>
          </w:p>
        </w:tc>
        <w:tc>
          <w:tcPr>
            <w:tcW w:w="543" w:type="pct"/>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366" w:type="pct"/>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东</w:t>
            </w:r>
          </w:p>
        </w:tc>
        <w:tc>
          <w:tcPr>
            <w:tcW w:w="694" w:type="pct"/>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1600</w:t>
            </w:r>
          </w:p>
        </w:tc>
      </w:tr>
    </w:tbl>
    <w:p>
      <w:pPr>
        <w:pStyle w:val="49"/>
        <w:widowControl w:val="0"/>
        <w:spacing w:before="0" w:beforeAutospacing="0" w:after="0" w:afterAutospacing="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注：以工程区域中点为坐标原点，距离为工程边界距离敏感点最近距离。</w:t>
      </w:r>
    </w:p>
    <w:p>
      <w:pPr>
        <w:pStyle w:val="8"/>
        <w:snapToGrid w:val="0"/>
        <w:spacing w:line="500" w:lineRule="exact"/>
        <w:ind w:firstLine="482" w:firstLineChars="200"/>
        <w:jc w:val="center"/>
        <w:rPr>
          <w:rFonts w:hint="default" w:ascii="Times New Roman" w:hAnsi="Times New Roman" w:eastAsia="宋体" w:cs="Times New Roman"/>
          <w:b/>
          <w:bCs/>
          <w:color w:val="auto"/>
          <w:sz w:val="24"/>
          <w:szCs w:val="24"/>
        </w:rPr>
      </w:pPr>
    </w:p>
    <w:p>
      <w:pPr>
        <w:pStyle w:val="8"/>
        <w:snapToGrid w:val="0"/>
        <w:spacing w:line="500" w:lineRule="exact"/>
        <w:ind w:firstLine="482" w:firstLineChars="200"/>
        <w:jc w:val="center"/>
        <w:rPr>
          <w:rFonts w:hint="default" w:ascii="Times New Roman" w:hAnsi="Times New Roman" w:eastAsia="宋体" w:cs="Times New Roman"/>
          <w:b/>
          <w:bCs/>
          <w:color w:val="auto"/>
          <w:sz w:val="24"/>
          <w:szCs w:val="24"/>
        </w:rPr>
      </w:pPr>
    </w:p>
    <w:p>
      <w:pPr>
        <w:pStyle w:val="8"/>
        <w:snapToGrid w:val="0"/>
        <w:spacing w:line="500" w:lineRule="exact"/>
        <w:ind w:firstLine="482" w:firstLineChars="200"/>
        <w:jc w:val="center"/>
        <w:rPr>
          <w:rFonts w:hint="default" w:ascii="Times New Roman" w:hAnsi="Times New Roman" w:eastAsia="宋体" w:cs="Times New Roman"/>
          <w:b/>
          <w:bCs/>
          <w:color w:val="auto"/>
          <w:sz w:val="24"/>
          <w:szCs w:val="24"/>
        </w:rPr>
      </w:pPr>
    </w:p>
    <w:p>
      <w:pPr>
        <w:pStyle w:val="8"/>
        <w:snapToGrid w:val="0"/>
        <w:spacing w:line="500" w:lineRule="exact"/>
        <w:ind w:firstLine="482" w:firstLineChars="200"/>
        <w:jc w:val="center"/>
        <w:rPr>
          <w:rFonts w:hint="default" w:ascii="Times New Roman" w:hAnsi="Times New Roman" w:eastAsia="宋体" w:cs="Times New Roman"/>
          <w:b/>
          <w:bCs/>
          <w:color w:val="auto"/>
          <w:sz w:val="24"/>
          <w:szCs w:val="24"/>
        </w:rPr>
      </w:pPr>
    </w:p>
    <w:p>
      <w:pPr>
        <w:pStyle w:val="8"/>
        <w:snapToGrid w:val="0"/>
        <w:spacing w:line="500" w:lineRule="exact"/>
        <w:ind w:firstLine="482" w:firstLineChars="200"/>
        <w:jc w:val="center"/>
        <w:rPr>
          <w:rFonts w:hint="default" w:ascii="Times New Roman" w:hAnsi="Times New Roman" w:eastAsia="宋体" w:cs="Times New Roman"/>
          <w:b/>
          <w:bCs/>
          <w:color w:val="auto"/>
          <w:sz w:val="24"/>
          <w:szCs w:val="24"/>
        </w:rPr>
      </w:pPr>
    </w:p>
    <w:p>
      <w:pPr>
        <w:pStyle w:val="8"/>
        <w:snapToGrid w:val="0"/>
        <w:spacing w:line="500" w:lineRule="exact"/>
        <w:ind w:firstLine="482" w:firstLineChars="20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表2.</w:t>
      </w:r>
      <w:r>
        <w:rPr>
          <w:rFonts w:hint="eastAsia" w:cs="Times New Roman"/>
          <w:b/>
          <w:bCs/>
          <w:color w:val="auto"/>
          <w:sz w:val="24"/>
          <w:szCs w:val="24"/>
          <w:lang w:val="en-US" w:eastAsia="zh-CN"/>
        </w:rPr>
        <w:t>4</w:t>
      </w:r>
      <w:r>
        <w:rPr>
          <w:rFonts w:hint="default" w:ascii="Times New Roman" w:hAnsi="Times New Roman" w:eastAsia="宋体" w:cs="Times New Roman"/>
          <w:b/>
          <w:bCs/>
          <w:color w:val="auto"/>
          <w:sz w:val="24"/>
          <w:szCs w:val="24"/>
        </w:rPr>
        <w:t>-5 生态环境主要环境保护目标一览表</w:t>
      </w:r>
    </w:p>
    <w:tbl>
      <w:tblPr>
        <w:tblStyle w:val="5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1553"/>
        <w:gridCol w:w="1250"/>
        <w:gridCol w:w="1150"/>
        <w:gridCol w:w="883"/>
        <w:gridCol w:w="1314"/>
        <w:gridCol w:w="19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2" w:type="dxa"/>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环境要素</w:t>
            </w:r>
          </w:p>
        </w:tc>
        <w:tc>
          <w:tcPr>
            <w:tcW w:w="1553" w:type="dxa"/>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保护对象名称</w:t>
            </w:r>
          </w:p>
        </w:tc>
        <w:tc>
          <w:tcPr>
            <w:tcW w:w="1250" w:type="dxa"/>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主导功能</w:t>
            </w:r>
          </w:p>
        </w:tc>
        <w:tc>
          <w:tcPr>
            <w:tcW w:w="1150" w:type="dxa"/>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方位</w:t>
            </w:r>
          </w:p>
        </w:tc>
        <w:tc>
          <w:tcPr>
            <w:tcW w:w="883" w:type="dxa"/>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距离</w:t>
            </w:r>
          </w:p>
        </w:tc>
        <w:tc>
          <w:tcPr>
            <w:tcW w:w="1314" w:type="dxa"/>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规模</w:t>
            </w:r>
          </w:p>
        </w:tc>
        <w:tc>
          <w:tcPr>
            <w:tcW w:w="1934" w:type="dxa"/>
            <w:tcBorders>
              <w:tl2br w:val="nil"/>
              <w:tr2bl w:val="nil"/>
            </w:tcBorders>
            <w:vAlign w:val="center"/>
          </w:tcPr>
          <w:p>
            <w:pPr>
              <w:widowControl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环境功能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7" w:hRule="atLeast"/>
        </w:trPr>
        <w:tc>
          <w:tcPr>
            <w:tcW w:w="772" w:type="dxa"/>
            <w:vMerge w:val="restart"/>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生态环境</w:t>
            </w:r>
          </w:p>
        </w:tc>
        <w:tc>
          <w:tcPr>
            <w:tcW w:w="1553"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太湖渔洋山饮用水水源保护区</w:t>
            </w:r>
          </w:p>
        </w:tc>
        <w:tc>
          <w:tcPr>
            <w:tcW w:w="125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水源水质保护</w:t>
            </w:r>
          </w:p>
        </w:tc>
        <w:tc>
          <w:tcPr>
            <w:tcW w:w="115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工程位于管控区内</w:t>
            </w:r>
          </w:p>
        </w:tc>
        <w:tc>
          <w:tcPr>
            <w:tcW w:w="883"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314"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17.88km</w:t>
            </w:r>
            <w:r>
              <w:rPr>
                <w:rFonts w:hint="eastAsia" w:cs="Times New Roman"/>
                <w:color w:val="auto"/>
                <w:sz w:val="21"/>
                <w:szCs w:val="21"/>
                <w:vertAlign w:val="superscript"/>
                <w:lang w:val="en-US" w:eastAsia="zh-CN"/>
              </w:rPr>
              <w:t>2</w:t>
            </w:r>
          </w:p>
        </w:tc>
        <w:tc>
          <w:tcPr>
            <w:tcW w:w="1934" w:type="dxa"/>
            <w:vMerge w:val="restart"/>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《省政府关于印发江苏省生态空间管控区域规划的通知》（苏政发[2020]1号）、《江苏省国家级生态红线规划》（苏政发[2018]74号）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2" w:type="dxa"/>
            <w:vMerge w:val="continue"/>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p>
        </w:tc>
        <w:tc>
          <w:tcPr>
            <w:tcW w:w="1553"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太湖重要湿</w:t>
            </w:r>
          </w:p>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地（吴中区）</w:t>
            </w:r>
          </w:p>
        </w:tc>
        <w:tc>
          <w:tcPr>
            <w:tcW w:w="125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湿地生态系统保护</w:t>
            </w:r>
          </w:p>
        </w:tc>
        <w:tc>
          <w:tcPr>
            <w:tcW w:w="115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工程位于管控区内</w:t>
            </w:r>
          </w:p>
        </w:tc>
        <w:tc>
          <w:tcPr>
            <w:tcW w:w="883"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314" w:type="dxa"/>
            <w:tcBorders>
              <w:tl2br w:val="nil"/>
              <w:tr2bl w:val="nil"/>
            </w:tcBorders>
            <w:vAlign w:val="center"/>
          </w:tcPr>
          <w:p>
            <w:pPr>
              <w:widowControl w:val="0"/>
              <w:spacing w:line="320" w:lineRule="exact"/>
              <w:jc w:val="center"/>
              <w:rPr>
                <w:rFonts w:hint="eastAsia" w:cs="Times New Roman"/>
                <w:color w:val="auto"/>
                <w:sz w:val="21"/>
                <w:szCs w:val="21"/>
                <w:lang w:val="en-US" w:eastAsia="zh-CN"/>
              </w:rPr>
            </w:pPr>
            <w:r>
              <w:rPr>
                <w:rFonts w:hint="eastAsia" w:cs="Times New Roman"/>
                <w:color w:val="auto"/>
                <w:sz w:val="21"/>
                <w:szCs w:val="21"/>
                <w:lang w:val="en-US" w:eastAsia="zh-CN" w:bidi="ar"/>
              </w:rPr>
              <w:t>1538.31</w:t>
            </w:r>
            <w:r>
              <w:rPr>
                <w:rFonts w:hint="eastAsia" w:cs="Times New Roman"/>
                <w:color w:val="auto"/>
                <w:sz w:val="21"/>
                <w:szCs w:val="21"/>
                <w:lang w:val="en-US" w:eastAsia="zh-CN"/>
              </w:rPr>
              <w:t>km</w:t>
            </w:r>
            <w:r>
              <w:rPr>
                <w:rFonts w:hint="eastAsia" w:cs="Times New Roman"/>
                <w:color w:val="auto"/>
                <w:sz w:val="21"/>
                <w:szCs w:val="21"/>
                <w:vertAlign w:val="superscript"/>
                <w:lang w:val="en-US" w:eastAsia="zh-CN"/>
              </w:rPr>
              <w:t>2</w:t>
            </w:r>
          </w:p>
        </w:tc>
        <w:tc>
          <w:tcPr>
            <w:tcW w:w="1934" w:type="dxa"/>
            <w:vMerge w:val="continue"/>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2" w:type="dxa"/>
            <w:vMerge w:val="continue"/>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p>
        </w:tc>
        <w:tc>
          <w:tcPr>
            <w:tcW w:w="1553"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太湖青虾中华绒螯蟹国家级水产种质资源保护区</w:t>
            </w:r>
          </w:p>
        </w:tc>
        <w:tc>
          <w:tcPr>
            <w:tcW w:w="125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渔业资源保护</w:t>
            </w:r>
          </w:p>
        </w:tc>
        <w:tc>
          <w:tcPr>
            <w:tcW w:w="115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北</w:t>
            </w:r>
          </w:p>
        </w:tc>
        <w:tc>
          <w:tcPr>
            <w:tcW w:w="883"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400</w:t>
            </w:r>
          </w:p>
        </w:tc>
        <w:tc>
          <w:tcPr>
            <w:tcW w:w="1314" w:type="dxa"/>
            <w:tcBorders>
              <w:tl2br w:val="nil"/>
              <w:tr2bl w:val="nil"/>
            </w:tcBorders>
            <w:vAlign w:val="center"/>
          </w:tcPr>
          <w:p>
            <w:pPr>
              <w:widowControl w:val="0"/>
              <w:spacing w:line="32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19.90km</w:t>
            </w:r>
            <w:r>
              <w:rPr>
                <w:rFonts w:hint="eastAsia" w:cs="Times New Roman"/>
                <w:color w:val="auto"/>
                <w:sz w:val="21"/>
                <w:szCs w:val="21"/>
                <w:vertAlign w:val="superscript"/>
                <w:lang w:val="en-US" w:eastAsia="zh-CN"/>
              </w:rPr>
              <w:t>2</w:t>
            </w:r>
          </w:p>
        </w:tc>
        <w:tc>
          <w:tcPr>
            <w:tcW w:w="1934" w:type="dxa"/>
            <w:vMerge w:val="restart"/>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《省政府关于印发江苏省生态空间管控区域规划的通知》（苏政发[2020]1号）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2" w:type="dxa"/>
            <w:vMerge w:val="continue"/>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p>
        </w:tc>
        <w:tc>
          <w:tcPr>
            <w:tcW w:w="1553"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太湖（吴中区）重要保护区</w:t>
            </w:r>
          </w:p>
        </w:tc>
        <w:tc>
          <w:tcPr>
            <w:tcW w:w="125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湿地生态系统保护</w:t>
            </w:r>
          </w:p>
        </w:tc>
        <w:tc>
          <w:tcPr>
            <w:tcW w:w="115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四周</w:t>
            </w:r>
          </w:p>
        </w:tc>
        <w:tc>
          <w:tcPr>
            <w:tcW w:w="883"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相邻</w:t>
            </w:r>
          </w:p>
        </w:tc>
        <w:tc>
          <w:tcPr>
            <w:tcW w:w="1314"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1630.61km</w:t>
            </w:r>
            <w:r>
              <w:rPr>
                <w:rFonts w:hint="eastAsia" w:cs="Times New Roman"/>
                <w:color w:val="auto"/>
                <w:sz w:val="21"/>
                <w:szCs w:val="21"/>
                <w:vertAlign w:val="superscript"/>
                <w:lang w:val="en-US" w:eastAsia="zh-CN"/>
              </w:rPr>
              <w:t>2</w:t>
            </w:r>
          </w:p>
        </w:tc>
        <w:tc>
          <w:tcPr>
            <w:tcW w:w="1934" w:type="dxa"/>
            <w:vMerge w:val="continue"/>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2" w:type="dxa"/>
            <w:vMerge w:val="continue"/>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p>
        </w:tc>
        <w:tc>
          <w:tcPr>
            <w:tcW w:w="1553"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渔洋山生态</w:t>
            </w:r>
          </w:p>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公益林</w:t>
            </w:r>
          </w:p>
        </w:tc>
        <w:tc>
          <w:tcPr>
            <w:tcW w:w="125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水土保持</w:t>
            </w:r>
          </w:p>
        </w:tc>
        <w:tc>
          <w:tcPr>
            <w:tcW w:w="115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东</w:t>
            </w:r>
          </w:p>
        </w:tc>
        <w:tc>
          <w:tcPr>
            <w:tcW w:w="883"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35m</w:t>
            </w:r>
          </w:p>
        </w:tc>
        <w:tc>
          <w:tcPr>
            <w:tcW w:w="1314"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0.82km</w:t>
            </w:r>
            <w:r>
              <w:rPr>
                <w:rFonts w:hint="eastAsia" w:cs="Times New Roman"/>
                <w:color w:val="auto"/>
                <w:sz w:val="21"/>
                <w:szCs w:val="21"/>
                <w:vertAlign w:val="superscript"/>
                <w:lang w:val="en-US" w:eastAsia="zh-CN"/>
              </w:rPr>
              <w:t>2</w:t>
            </w:r>
          </w:p>
        </w:tc>
        <w:tc>
          <w:tcPr>
            <w:tcW w:w="1934" w:type="dxa"/>
            <w:vMerge w:val="continue"/>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2" w:type="dxa"/>
            <w:vMerge w:val="continue"/>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p>
        </w:tc>
        <w:tc>
          <w:tcPr>
            <w:tcW w:w="1553"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米堆山生态</w:t>
            </w:r>
          </w:p>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公益林</w:t>
            </w:r>
          </w:p>
        </w:tc>
        <w:tc>
          <w:tcPr>
            <w:tcW w:w="125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水土保持</w:t>
            </w:r>
          </w:p>
        </w:tc>
        <w:tc>
          <w:tcPr>
            <w:tcW w:w="1150"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东北</w:t>
            </w:r>
          </w:p>
        </w:tc>
        <w:tc>
          <w:tcPr>
            <w:tcW w:w="883"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4.7km</w:t>
            </w:r>
          </w:p>
        </w:tc>
        <w:tc>
          <w:tcPr>
            <w:tcW w:w="1314" w:type="dxa"/>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2.31km</w:t>
            </w:r>
            <w:r>
              <w:rPr>
                <w:rFonts w:hint="eastAsia" w:cs="Times New Roman"/>
                <w:color w:val="auto"/>
                <w:sz w:val="21"/>
                <w:szCs w:val="21"/>
                <w:vertAlign w:val="superscript"/>
                <w:lang w:val="en-US" w:eastAsia="zh-CN"/>
              </w:rPr>
              <w:t>2</w:t>
            </w:r>
          </w:p>
        </w:tc>
        <w:tc>
          <w:tcPr>
            <w:tcW w:w="1934" w:type="dxa"/>
            <w:vMerge w:val="continue"/>
            <w:tcBorders>
              <w:tl2br w:val="nil"/>
              <w:tr2bl w:val="nil"/>
            </w:tcBorders>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p>
        </w:tc>
      </w:tr>
    </w:tbl>
    <w:p>
      <w:pPr>
        <w:pStyle w:val="49"/>
        <w:widowControl w:val="0"/>
        <w:spacing w:before="0" w:beforeAutospacing="0" w:after="0" w:afterAutospacing="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注：以工程区域中点为坐标原点，距离为工程边界距离敏感点最近距离。</w:t>
      </w:r>
    </w:p>
    <w:bookmarkEnd w:id="137"/>
    <w:bookmarkEnd w:id="138"/>
    <w:bookmarkEnd w:id="144"/>
    <w:bookmarkEnd w:id="145"/>
    <w:bookmarkEnd w:id="146"/>
    <w:p>
      <w:pPr>
        <w:pStyle w:val="4"/>
        <w:tabs>
          <w:tab w:val="left" w:pos="2160"/>
        </w:tabs>
        <w:adjustRightInd/>
        <w:spacing w:before="196" w:beforeLines="50" w:after="196" w:afterLines="50" w:line="480" w:lineRule="exact"/>
        <w:jc w:val="both"/>
        <w:rPr>
          <w:rFonts w:hint="default" w:ascii="Times New Roman" w:hAnsi="Times New Roman" w:eastAsia="宋体" w:cs="Times New Roman"/>
          <w:bCs/>
          <w:color w:val="auto"/>
          <w:sz w:val="30"/>
          <w:szCs w:val="30"/>
          <w:lang w:val="en-US" w:eastAsia="zh-CN"/>
        </w:rPr>
      </w:pPr>
      <w:bookmarkStart w:id="149" w:name="_Toc492644424"/>
      <w:bookmarkStart w:id="150" w:name="_Toc5765"/>
      <w:r>
        <w:rPr>
          <w:rFonts w:hint="default" w:ascii="Times New Roman" w:hAnsi="Times New Roman" w:eastAsia="宋体" w:cs="Times New Roman"/>
          <w:bCs/>
          <w:color w:val="auto"/>
          <w:sz w:val="30"/>
          <w:szCs w:val="30"/>
        </w:rPr>
        <w:t>2.</w:t>
      </w:r>
      <w:r>
        <w:rPr>
          <w:rFonts w:hint="default" w:ascii="Times New Roman" w:hAnsi="Times New Roman" w:eastAsia="宋体" w:cs="Times New Roman"/>
          <w:bCs/>
          <w:color w:val="auto"/>
          <w:sz w:val="30"/>
          <w:szCs w:val="30"/>
          <w:lang w:val="en-US" w:eastAsia="zh-CN"/>
        </w:rPr>
        <w:t>5</w:t>
      </w:r>
      <w:r>
        <w:rPr>
          <w:rFonts w:hint="default" w:ascii="Times New Roman" w:hAnsi="Times New Roman" w:eastAsia="宋体" w:cs="Times New Roman"/>
          <w:bCs/>
          <w:color w:val="auto"/>
          <w:sz w:val="30"/>
          <w:szCs w:val="30"/>
        </w:rPr>
        <w:t>相关规划及</w:t>
      </w:r>
      <w:bookmarkEnd w:id="149"/>
      <w:r>
        <w:rPr>
          <w:rFonts w:hint="default" w:ascii="Times New Roman" w:hAnsi="Times New Roman" w:eastAsia="宋体" w:cs="Times New Roman"/>
          <w:bCs/>
          <w:color w:val="auto"/>
          <w:sz w:val="30"/>
          <w:szCs w:val="30"/>
          <w:lang w:val="en-US" w:eastAsia="zh-CN"/>
        </w:rPr>
        <w:t>符合性分析</w:t>
      </w:r>
      <w:bookmarkEnd w:id="150"/>
    </w:p>
    <w:p>
      <w:pPr>
        <w:pStyle w:val="5"/>
        <w:tabs>
          <w:tab w:val="left" w:pos="4860"/>
          <w:tab w:val="clear" w:pos="980"/>
        </w:tabs>
        <w:spacing w:before="196" w:beforeLines="50" w:after="196" w:afterLines="50"/>
        <w:jc w:val="both"/>
        <w:rPr>
          <w:rFonts w:hint="default" w:ascii="Times New Roman" w:hAnsi="Times New Roman" w:eastAsia="宋体" w:cs="Times New Roman"/>
          <w:color w:val="auto"/>
          <w:lang w:val="en-US" w:eastAsia="zh-CN"/>
        </w:rPr>
      </w:pPr>
      <w:bookmarkStart w:id="151" w:name="_Toc12362"/>
      <w:bookmarkStart w:id="152" w:name="_Toc310244135"/>
      <w:bookmarkStart w:id="153" w:name="_Toc337979143"/>
      <w:bookmarkStart w:id="154" w:name="_Toc425238860"/>
      <w:bookmarkStart w:id="155" w:name="_Toc307160589"/>
      <w:bookmarkStart w:id="156" w:name="_Toc302113285"/>
      <w:bookmarkStart w:id="157" w:name="_Toc477952501"/>
      <w:bookmarkStart w:id="158" w:name="_Toc424517702"/>
      <w:bookmarkStart w:id="159" w:name="_Toc503461521"/>
      <w:bookmarkStart w:id="160" w:name="_Toc492644499"/>
      <w:bookmarkStart w:id="161" w:name="_Toc507334560"/>
      <w:r>
        <w:rPr>
          <w:rFonts w:hint="default" w:ascii="Times New Roman" w:hAnsi="Times New Roman" w:eastAsia="宋体" w:cs="Times New Roman"/>
          <w:color w:val="auto"/>
          <w:lang w:val="en-US" w:eastAsia="zh-CN"/>
        </w:rPr>
        <w:t>2.</w:t>
      </w:r>
      <w:r>
        <w:rPr>
          <w:rFonts w:hint="eastAsia" w:cs="Times New Roman"/>
          <w:color w:val="auto"/>
          <w:lang w:val="en-US" w:eastAsia="zh-CN"/>
        </w:rPr>
        <w:t>5</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lang w:val="zh-CN"/>
        </w:rPr>
        <w:t>苏州太湖国家旅游度假区总体规划</w:t>
      </w:r>
      <w:bookmarkEnd w:id="151"/>
    </w:p>
    <w:p>
      <w:pPr>
        <w:pStyle w:val="8"/>
        <w:snapToGrid w:val="0"/>
        <w:spacing w:line="48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2020年10月22日，《苏州太湖国家旅游度假区总体规划环境影响跟踪评价报告书》通过生态环境部组织的专家论证会；2020年12月，苏州太湖国家旅游度假区管理委员会委托江苏环保产业技术研究院股份公司开展苏州太湖国家旅游度假区环境影响评价区域评估工作，目前区域评估已公示。</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（1）规划范围</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本轮规划范围为苏州太湖国家旅游度假区行政管辖范围，包含香山街道、光福镇、金庭镇，陆域面积约173平方公里，</w:t>
      </w:r>
      <w:r>
        <w:rPr>
          <w:rFonts w:hint="default" w:ascii="Times New Roman" w:hAnsi="Times New Roman" w:eastAsia="宋体" w:cs="Times New Roman"/>
          <w:b/>
          <w:bCs/>
          <w:color w:val="auto"/>
        </w:rPr>
        <w:t>不含太湖水域</w:t>
      </w:r>
      <w:r>
        <w:rPr>
          <w:rFonts w:hint="default" w:ascii="Times New Roman" w:hAnsi="Times New Roman" w:eastAsia="宋体" w:cs="Times New Roman"/>
          <w:color w:val="auto"/>
        </w:rPr>
        <w:t>。</w:t>
      </w:r>
    </w:p>
    <w:p>
      <w:pPr>
        <w:spacing w:line="480" w:lineRule="exact"/>
        <w:ind w:firstLine="482" w:firstLineChars="200"/>
        <w:jc w:val="both"/>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本项目工程范围在太湖水域范围内，不在本次规划范围内。</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（2）规划期限</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规划近期为2011年-2015年，中期为2016年-2020年，远期为2021年-2030年。</w:t>
      </w:r>
      <w:r>
        <w:rPr>
          <w:rFonts w:hint="default" w:ascii="Times New Roman" w:hAnsi="Times New Roman" w:eastAsia="宋体" w:cs="Times New Roman"/>
          <w:color w:val="auto"/>
          <w:lang w:val="zh-CN"/>
        </w:rPr>
        <w:t>本次评估以2019年为评估基准年</w:t>
      </w:r>
      <w:r>
        <w:rPr>
          <w:rFonts w:hint="default" w:ascii="Times New Roman" w:hAnsi="Times New Roman" w:eastAsia="宋体" w:cs="Times New Roman"/>
          <w:color w:val="auto"/>
        </w:rPr>
        <w:t>。</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（3）四区划定</w:t>
      </w:r>
    </w:p>
    <w:p>
      <w:pPr>
        <w:spacing w:line="480" w:lineRule="exact"/>
        <w:ind w:firstLine="482" w:firstLineChars="200"/>
        <w:jc w:val="both"/>
        <w:rPr>
          <w:rFonts w:hint="default" w:ascii="Times New Roman" w:hAnsi="Times New Roman" w:eastAsia="宋体" w:cs="Times New Roman"/>
          <w:color w:val="auto"/>
        </w:rPr>
      </w:pPr>
      <w:r>
        <w:rPr>
          <w:rFonts w:hint="default" w:ascii="Times New Roman" w:hAnsi="Times New Roman" w:eastAsia="宋体" w:cs="Times New Roman"/>
          <w:b/>
          <w:bCs/>
          <w:color w:val="auto"/>
        </w:rPr>
        <w:t>禁建区：</w:t>
      </w:r>
      <w:bookmarkStart w:id="162" w:name="OLE_LINK171"/>
      <w:bookmarkStart w:id="163" w:name="OLE_LINK172"/>
      <w:r>
        <w:rPr>
          <w:rFonts w:hint="default" w:ascii="Times New Roman" w:hAnsi="Times New Roman" w:eastAsia="宋体" w:cs="Times New Roman"/>
          <w:color w:val="auto"/>
        </w:rPr>
        <w:t>禁建区面积约97.0平方公里，</w:t>
      </w:r>
      <w:bookmarkEnd w:id="162"/>
      <w:bookmarkEnd w:id="163"/>
      <w:r>
        <w:rPr>
          <w:rFonts w:hint="default" w:ascii="Times New Roman" w:hAnsi="Times New Roman" w:eastAsia="宋体" w:cs="Times New Roman"/>
          <w:color w:val="auto"/>
        </w:rPr>
        <w:t>占度假区总面积的56.6%。包括饮用水源地一级保护区、基本农田、湖泊及区域主干河道、光福和西山景区的核心景区、沿太湖（中心区除外）纵深200米范围、风景名胜区内山体1/2高度以上以及风景名胜区外山体2/3高度以上区域、文物保护单位保护范围。</w:t>
      </w:r>
    </w:p>
    <w:p>
      <w:pPr>
        <w:spacing w:line="480" w:lineRule="exact"/>
        <w:ind w:firstLine="482" w:firstLineChars="200"/>
        <w:jc w:val="both"/>
        <w:rPr>
          <w:rFonts w:hint="default" w:ascii="Times New Roman" w:hAnsi="Times New Roman" w:eastAsia="宋体" w:cs="Times New Roman"/>
          <w:color w:val="auto"/>
        </w:rPr>
      </w:pPr>
      <w:r>
        <w:rPr>
          <w:rFonts w:hint="default" w:ascii="Times New Roman" w:hAnsi="Times New Roman" w:eastAsia="宋体" w:cs="Times New Roman"/>
          <w:b/>
          <w:bCs/>
          <w:color w:val="auto"/>
        </w:rPr>
        <w:t>限建区：</w:t>
      </w:r>
      <w:bookmarkStart w:id="164" w:name="OLE_LINK173"/>
      <w:r>
        <w:rPr>
          <w:rFonts w:hint="default" w:ascii="Times New Roman" w:hAnsi="Times New Roman" w:eastAsia="宋体" w:cs="Times New Roman"/>
          <w:color w:val="auto"/>
        </w:rPr>
        <w:t>限建区面积约29.4平方公里，</w:t>
      </w:r>
      <w:bookmarkEnd w:id="164"/>
      <w:r>
        <w:rPr>
          <w:rFonts w:hint="default" w:ascii="Times New Roman" w:hAnsi="Times New Roman" w:eastAsia="宋体" w:cs="Times New Roman"/>
          <w:color w:val="auto"/>
        </w:rPr>
        <w:t>占度假区总面积的17.2%。包括饮用水源地二级保护区及准保护区、一般河道、一般农田、林地、光福和西山景区除核心景区外的景区范围、沿太湖（中心区除外）纵深200米-1000米范围、公用设施控制用地、文物保护单位的建设控制地带、历史文化街区、古村落、控制保护建筑的保护范围。</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限建区按照</w:t>
      </w:r>
      <w:r>
        <w:rPr>
          <w:rFonts w:hint="eastAsia" w:cs="Times New Roman"/>
          <w:color w:val="auto"/>
          <w:lang w:eastAsia="zh-CN"/>
        </w:rPr>
        <w:t>“</w:t>
      </w:r>
      <w:r>
        <w:rPr>
          <w:rFonts w:hint="default" w:ascii="Times New Roman" w:hAnsi="Times New Roman" w:eastAsia="宋体" w:cs="Times New Roman"/>
          <w:color w:val="auto"/>
        </w:rPr>
        <w:t>太湖国家级风景名胜区西山景区</w:t>
      </w:r>
      <w:r>
        <w:rPr>
          <w:rFonts w:hint="eastAsia" w:cs="Times New Roman"/>
          <w:color w:val="auto"/>
          <w:lang w:eastAsia="zh-CN"/>
        </w:rPr>
        <w:t>”</w:t>
      </w:r>
      <w:r>
        <w:rPr>
          <w:rFonts w:hint="default" w:ascii="Times New Roman" w:hAnsi="Times New Roman" w:eastAsia="宋体" w:cs="Times New Roman"/>
          <w:color w:val="auto"/>
        </w:rPr>
        <w:t xml:space="preserve"> 生态空间管控要求：禁止开山、采石、开矿、开荒、修坟立碑等破坏景观、植被和地形地貌的活动；禁止修建储存爆炸性、易燃性、放射性、毒害性、腐蚀性物品的设施；禁止在景物或者设施上刻划、涂污；禁止乱扔垃圾；不得建设破坏景观、污染环境、妨碍游览的设施；在珍贵景物周围和重要景点上，除必须的保护设施外，不得增建其他工程设施；风景名胜区内已建的设施，由当地人民政府进行清理，区别情况，分别对待；凡属污染环境，破坏景观和自然风貌，严重妨碍游览活动的，应当限期治理或者逐步迁出；迁出前，不得扩建、新建设施。</w:t>
      </w:r>
    </w:p>
    <w:p>
      <w:pPr>
        <w:spacing w:line="480" w:lineRule="exact"/>
        <w:ind w:firstLine="482" w:firstLineChars="200"/>
        <w:jc w:val="both"/>
        <w:rPr>
          <w:rFonts w:hint="default" w:ascii="Times New Roman" w:hAnsi="Times New Roman" w:eastAsia="宋体" w:cs="Times New Roman"/>
          <w:color w:val="auto"/>
        </w:rPr>
      </w:pPr>
      <w:r>
        <w:rPr>
          <w:rFonts w:hint="default" w:ascii="Times New Roman" w:hAnsi="Times New Roman" w:eastAsia="宋体" w:cs="Times New Roman"/>
          <w:b/>
          <w:bCs/>
          <w:color w:val="auto"/>
        </w:rPr>
        <w:t>适建区：</w:t>
      </w:r>
      <w:bookmarkStart w:id="165" w:name="OLE_LINK174"/>
      <w:bookmarkStart w:id="166" w:name="OLE_LINK175"/>
      <w:r>
        <w:rPr>
          <w:rFonts w:hint="default" w:ascii="Times New Roman" w:hAnsi="Times New Roman" w:eastAsia="宋体" w:cs="Times New Roman"/>
          <w:color w:val="auto"/>
        </w:rPr>
        <w:t>适建区面积约10.3平方公里，</w:t>
      </w:r>
      <w:bookmarkEnd w:id="165"/>
      <w:bookmarkEnd w:id="166"/>
      <w:r>
        <w:rPr>
          <w:rFonts w:hint="default" w:ascii="Times New Roman" w:hAnsi="Times New Roman" w:eastAsia="宋体" w:cs="Times New Roman"/>
          <w:color w:val="auto"/>
        </w:rPr>
        <w:t>占度假区总面积的6.0%。包括尚未开</w:t>
      </w:r>
    </w:p>
    <w:p>
      <w:pPr>
        <w:spacing w:line="480" w:lineRule="exact"/>
        <w:jc w:val="both"/>
        <w:rPr>
          <w:rFonts w:hint="default" w:ascii="Times New Roman" w:hAnsi="Times New Roman" w:eastAsia="宋体" w:cs="Times New Roman"/>
          <w:color w:val="auto"/>
        </w:rPr>
      </w:pPr>
      <w:r>
        <w:rPr>
          <w:rFonts w:hint="default" w:ascii="Times New Roman" w:hAnsi="Times New Roman" w:eastAsia="宋体" w:cs="Times New Roman"/>
          <w:color w:val="auto"/>
        </w:rPr>
        <w:t>发且适宜进行建设的区域以及土地整理后新划定的可建设区域。</w:t>
      </w:r>
    </w:p>
    <w:p>
      <w:pPr>
        <w:spacing w:line="480" w:lineRule="exact"/>
        <w:ind w:firstLine="482" w:firstLineChars="200"/>
        <w:jc w:val="both"/>
        <w:rPr>
          <w:rFonts w:hint="default" w:ascii="Times New Roman" w:hAnsi="Times New Roman" w:eastAsia="宋体" w:cs="Times New Roman"/>
          <w:color w:val="auto"/>
        </w:rPr>
      </w:pPr>
      <w:r>
        <w:rPr>
          <w:rFonts w:hint="default" w:ascii="Times New Roman" w:hAnsi="Times New Roman" w:eastAsia="宋体" w:cs="Times New Roman"/>
          <w:b/>
          <w:bCs/>
          <w:color w:val="auto"/>
        </w:rPr>
        <w:t>已建区：</w:t>
      </w:r>
      <w:bookmarkStart w:id="167" w:name="OLE_LINK176"/>
      <w:bookmarkStart w:id="168" w:name="OLE_LINK177"/>
      <w:r>
        <w:rPr>
          <w:rFonts w:hint="default" w:ascii="Times New Roman" w:hAnsi="Times New Roman" w:eastAsia="宋体" w:cs="Times New Roman"/>
          <w:color w:val="auto"/>
        </w:rPr>
        <w:t>已建区面积约34.5平方公里</w:t>
      </w:r>
      <w:bookmarkEnd w:id="167"/>
      <w:bookmarkEnd w:id="168"/>
      <w:r>
        <w:rPr>
          <w:rFonts w:hint="default" w:ascii="Times New Roman" w:hAnsi="Times New Roman" w:eastAsia="宋体" w:cs="Times New Roman"/>
          <w:color w:val="auto"/>
        </w:rPr>
        <w:t>，占度假区总面积的20.2%。</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（4）</w:t>
      </w:r>
      <w:bookmarkStart w:id="169" w:name="_Toc363908889"/>
      <w:bookmarkStart w:id="170" w:name="_Toc364782667"/>
      <w:bookmarkStart w:id="171" w:name="_Toc519089570"/>
      <w:bookmarkStart w:id="172" w:name="_Toc35509232"/>
      <w:r>
        <w:rPr>
          <w:rFonts w:hint="default" w:ascii="Times New Roman" w:hAnsi="Times New Roman" w:eastAsia="宋体" w:cs="Times New Roman"/>
          <w:color w:val="auto"/>
        </w:rPr>
        <w:t>综合交通</w:t>
      </w:r>
      <w:bookmarkEnd w:id="169"/>
      <w:bookmarkEnd w:id="170"/>
      <w:bookmarkEnd w:id="171"/>
      <w:bookmarkEnd w:id="172"/>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规划设置度假区东入口一级集散中心，香山街道、金庭镇、光福镇分别设置一处二级集散中心。</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水上交通包括客运线路、客运线路。香山街道设置太湖公园、香山街道集散中心、西侧的旗舰游乐设施、长沙岛4处码头。金庭镇建设码头9处，光福镇建设码头5处。</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（5）基础设施</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①给水工程规划</w:t>
      </w:r>
    </w:p>
    <w:p>
      <w:pPr>
        <w:spacing w:line="480" w:lineRule="exact"/>
        <w:ind w:firstLine="482" w:firstLineChars="200"/>
        <w:jc w:val="both"/>
        <w:rPr>
          <w:rFonts w:hint="default" w:ascii="Times New Roman" w:hAnsi="Times New Roman" w:eastAsia="宋体" w:cs="Times New Roman"/>
          <w:color w:val="auto"/>
        </w:rPr>
      </w:pPr>
      <w:r>
        <w:rPr>
          <w:rFonts w:hint="default" w:ascii="Times New Roman" w:hAnsi="Times New Roman" w:eastAsia="宋体" w:cs="Times New Roman"/>
          <w:b/>
          <w:bCs/>
          <w:color w:val="auto"/>
        </w:rPr>
        <w:t>规划：</w:t>
      </w:r>
      <w:r>
        <w:rPr>
          <w:rFonts w:hint="default" w:ascii="Times New Roman" w:hAnsi="Times New Roman" w:eastAsia="宋体" w:cs="Times New Roman"/>
          <w:color w:val="auto"/>
        </w:rPr>
        <w:t>度假区保留1处水源地，渔洋山水源地维持现状规模45万立方米/日。小型岛屿自建小型水厂或深井供水。</w:t>
      </w:r>
    </w:p>
    <w:p>
      <w:pPr>
        <w:spacing w:line="480" w:lineRule="exact"/>
        <w:ind w:firstLine="482" w:firstLineChars="200"/>
        <w:jc w:val="both"/>
        <w:rPr>
          <w:rFonts w:hint="default" w:ascii="Times New Roman" w:hAnsi="Times New Roman" w:eastAsia="宋体" w:cs="Times New Roman"/>
          <w:color w:val="auto"/>
        </w:rPr>
      </w:pPr>
      <w:r>
        <w:rPr>
          <w:rFonts w:hint="default" w:ascii="Times New Roman" w:hAnsi="Times New Roman" w:eastAsia="宋体" w:cs="Times New Roman"/>
          <w:b/>
          <w:bCs/>
          <w:color w:val="auto"/>
        </w:rPr>
        <w:t>现状：</w:t>
      </w:r>
    </w:p>
    <w:tbl>
      <w:tblPr>
        <w:tblStyle w:val="5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384"/>
        <w:gridCol w:w="54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11" w:type="pct"/>
            <w:tcBorders>
              <w:tl2br w:val="nil"/>
              <w:tr2bl w:val="nil"/>
            </w:tcBorders>
            <w:shd w:val="clear" w:color="auto" w:fill="auto"/>
            <w:vAlign w:val="center"/>
          </w:tcPr>
          <w:p>
            <w:pPr>
              <w:pStyle w:val="421"/>
              <w:rPr>
                <w:rFonts w:hint="default" w:ascii="Times New Roman" w:hAnsi="Times New Roman" w:eastAsia="宋体" w:cs="Times New Roman"/>
                <w:color w:val="auto"/>
              </w:rPr>
            </w:pPr>
            <w:r>
              <w:rPr>
                <w:rFonts w:hint="default" w:ascii="Times New Roman" w:hAnsi="Times New Roman" w:eastAsia="宋体" w:cs="Times New Roman"/>
                <w:color w:val="auto"/>
              </w:rPr>
              <w:t>苏州太湖国家旅游度假区自来水厂</w:t>
            </w:r>
          </w:p>
        </w:tc>
        <w:tc>
          <w:tcPr>
            <w:tcW w:w="3088" w:type="pct"/>
            <w:tcBorders>
              <w:tl2br w:val="nil"/>
              <w:tr2bl w:val="nil"/>
            </w:tcBorders>
            <w:shd w:val="clear" w:color="auto" w:fill="auto"/>
            <w:vAlign w:val="center"/>
          </w:tcPr>
          <w:p>
            <w:pPr>
              <w:pStyle w:val="421"/>
              <w:rPr>
                <w:rFonts w:hint="default" w:ascii="Times New Roman" w:hAnsi="Times New Roman" w:eastAsia="宋体" w:cs="Times New Roman"/>
                <w:color w:val="auto"/>
              </w:rPr>
            </w:pPr>
            <w:r>
              <w:rPr>
                <w:rFonts w:hint="default" w:ascii="Times New Roman" w:hAnsi="Times New Roman" w:eastAsia="宋体" w:cs="Times New Roman"/>
                <w:color w:val="auto"/>
              </w:rPr>
              <w:t>水源地：渔洋山水源地，2019年关停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11" w:type="pct"/>
            <w:tcBorders>
              <w:tl2br w:val="nil"/>
              <w:tr2bl w:val="nil"/>
            </w:tcBorders>
            <w:shd w:val="clear" w:color="auto" w:fill="auto"/>
            <w:vAlign w:val="center"/>
          </w:tcPr>
          <w:p>
            <w:pPr>
              <w:pStyle w:val="421"/>
              <w:rPr>
                <w:rFonts w:hint="default" w:ascii="Times New Roman" w:hAnsi="Times New Roman" w:eastAsia="宋体" w:cs="Times New Roman"/>
                <w:color w:val="auto"/>
              </w:rPr>
            </w:pPr>
            <w:r>
              <w:rPr>
                <w:rFonts w:hint="default" w:ascii="Times New Roman" w:hAnsi="Times New Roman" w:eastAsia="宋体" w:cs="Times New Roman"/>
                <w:color w:val="auto"/>
              </w:rPr>
              <w:t>胥江水厂</w:t>
            </w:r>
          </w:p>
        </w:tc>
        <w:tc>
          <w:tcPr>
            <w:tcW w:w="3088" w:type="pct"/>
            <w:tcBorders>
              <w:tl2br w:val="nil"/>
              <w:tr2bl w:val="nil"/>
            </w:tcBorders>
            <w:shd w:val="clear" w:color="auto" w:fill="auto"/>
            <w:vAlign w:val="center"/>
          </w:tcPr>
          <w:p>
            <w:pPr>
              <w:pStyle w:val="421"/>
              <w:rPr>
                <w:rFonts w:hint="default" w:ascii="Times New Roman" w:hAnsi="Times New Roman" w:eastAsia="宋体" w:cs="Times New Roman"/>
                <w:color w:val="auto"/>
              </w:rPr>
            </w:pPr>
            <w:r>
              <w:rPr>
                <w:rFonts w:hint="default" w:ascii="Times New Roman" w:hAnsi="Times New Roman" w:eastAsia="宋体" w:cs="Times New Roman"/>
                <w:color w:val="auto"/>
              </w:rPr>
              <w:t>设计生产能力：30万m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11" w:type="pct"/>
            <w:tcBorders>
              <w:tl2br w:val="nil"/>
              <w:tr2bl w:val="nil"/>
            </w:tcBorders>
            <w:shd w:val="clear" w:color="auto" w:fill="auto"/>
            <w:vAlign w:val="center"/>
          </w:tcPr>
          <w:p>
            <w:pPr>
              <w:pStyle w:val="421"/>
              <w:rPr>
                <w:rFonts w:hint="default" w:ascii="Times New Roman" w:hAnsi="Times New Roman" w:eastAsia="宋体" w:cs="Times New Roman"/>
                <w:color w:val="auto"/>
              </w:rPr>
            </w:pPr>
            <w:r>
              <w:rPr>
                <w:rFonts w:hint="default" w:ascii="Times New Roman" w:hAnsi="Times New Roman" w:eastAsia="宋体" w:cs="Times New Roman"/>
                <w:color w:val="auto"/>
              </w:rPr>
              <w:t>金庭镇东河水厂（一水厂）</w:t>
            </w:r>
          </w:p>
        </w:tc>
        <w:tc>
          <w:tcPr>
            <w:tcW w:w="3088" w:type="pct"/>
            <w:tcBorders>
              <w:tl2br w:val="nil"/>
              <w:tr2bl w:val="nil"/>
            </w:tcBorders>
            <w:shd w:val="clear" w:color="auto" w:fill="auto"/>
            <w:vAlign w:val="center"/>
          </w:tcPr>
          <w:p>
            <w:pPr>
              <w:pStyle w:val="421"/>
              <w:rPr>
                <w:rFonts w:hint="default" w:ascii="Times New Roman" w:hAnsi="Times New Roman" w:eastAsia="宋体" w:cs="Times New Roman"/>
                <w:color w:val="auto"/>
              </w:rPr>
            </w:pPr>
            <w:r>
              <w:rPr>
                <w:rFonts w:hint="default" w:ascii="Times New Roman" w:hAnsi="Times New Roman" w:eastAsia="宋体" w:cs="Times New Roman"/>
                <w:color w:val="auto"/>
              </w:rPr>
              <w:t>水源地：白塔湾，设计规模：1万m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/d，（根据江苏省水利厅（苏水资[2019]18号）文件，白塔湾水源地已核销）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11" w:type="pct"/>
            <w:tcBorders>
              <w:tl2br w:val="nil"/>
              <w:tr2bl w:val="nil"/>
            </w:tcBorders>
            <w:shd w:val="clear" w:color="auto" w:fill="auto"/>
            <w:vAlign w:val="center"/>
          </w:tcPr>
          <w:p>
            <w:pPr>
              <w:pStyle w:val="421"/>
              <w:rPr>
                <w:rFonts w:hint="default" w:ascii="Times New Roman" w:hAnsi="Times New Roman" w:eastAsia="宋体" w:cs="Times New Roman"/>
                <w:color w:val="auto"/>
              </w:rPr>
            </w:pPr>
            <w:bookmarkStart w:id="173" w:name="_Hlk14704160"/>
            <w:r>
              <w:rPr>
                <w:rFonts w:hint="default" w:ascii="Times New Roman" w:hAnsi="Times New Roman" w:eastAsia="宋体" w:cs="Times New Roman"/>
                <w:color w:val="auto"/>
              </w:rPr>
              <w:t>金庭镇岭东水厂（二水厂）</w:t>
            </w:r>
            <w:bookmarkEnd w:id="173"/>
          </w:p>
        </w:tc>
        <w:tc>
          <w:tcPr>
            <w:tcW w:w="3088" w:type="pct"/>
            <w:tcBorders>
              <w:tl2br w:val="nil"/>
              <w:tr2bl w:val="nil"/>
            </w:tcBorders>
            <w:shd w:val="clear" w:color="auto" w:fill="auto"/>
            <w:vAlign w:val="center"/>
          </w:tcPr>
          <w:p>
            <w:pPr>
              <w:pStyle w:val="421"/>
              <w:rPr>
                <w:rFonts w:hint="default" w:ascii="Times New Roman" w:hAnsi="Times New Roman" w:eastAsia="宋体" w:cs="Times New Roman"/>
                <w:color w:val="auto"/>
              </w:rPr>
            </w:pPr>
            <w:r>
              <w:rPr>
                <w:rFonts w:hint="default" w:ascii="Times New Roman" w:hAnsi="Times New Roman" w:eastAsia="宋体" w:cs="Times New Roman"/>
                <w:color w:val="auto"/>
              </w:rPr>
              <w:t>水源地：太湖，设计规模：1万m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 xml:space="preserve">/d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11" w:type="pct"/>
            <w:tcBorders>
              <w:tl2br w:val="nil"/>
              <w:tr2bl w:val="nil"/>
            </w:tcBorders>
            <w:shd w:val="clear" w:color="auto" w:fill="auto"/>
            <w:vAlign w:val="center"/>
          </w:tcPr>
          <w:p>
            <w:pPr>
              <w:pStyle w:val="421"/>
              <w:rPr>
                <w:rFonts w:hint="default" w:ascii="Times New Roman" w:hAnsi="Times New Roman" w:eastAsia="宋体" w:cs="Times New Roman"/>
                <w:color w:val="auto"/>
              </w:rPr>
            </w:pPr>
            <w:r>
              <w:rPr>
                <w:rFonts w:hint="default" w:ascii="Times New Roman" w:hAnsi="Times New Roman" w:eastAsia="宋体" w:cs="Times New Roman"/>
                <w:color w:val="auto"/>
              </w:rPr>
              <w:t>岛屿自建小型水厂</w:t>
            </w:r>
          </w:p>
        </w:tc>
        <w:tc>
          <w:tcPr>
            <w:tcW w:w="3088" w:type="pct"/>
            <w:tcBorders>
              <w:tl2br w:val="nil"/>
              <w:tr2bl w:val="nil"/>
            </w:tcBorders>
            <w:shd w:val="clear" w:color="auto" w:fill="auto"/>
            <w:vAlign w:val="center"/>
          </w:tcPr>
          <w:p>
            <w:pPr>
              <w:pStyle w:val="421"/>
              <w:rPr>
                <w:rFonts w:hint="default" w:ascii="Times New Roman" w:hAnsi="Times New Roman" w:eastAsia="宋体" w:cs="Times New Roman"/>
                <w:color w:val="auto"/>
              </w:rPr>
            </w:pPr>
            <w:r>
              <w:rPr>
                <w:rFonts w:hint="default" w:ascii="Times New Roman" w:hAnsi="Times New Roman" w:eastAsia="宋体" w:cs="Times New Roman"/>
                <w:color w:val="auto"/>
              </w:rPr>
              <w:t>漫山岛：集中给水净化设施以及泵房管网基本建成，水源：地下水</w:t>
            </w:r>
          </w:p>
        </w:tc>
      </w:tr>
    </w:tbl>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②排水工程规划</w:t>
      </w:r>
    </w:p>
    <w:p>
      <w:pPr>
        <w:spacing w:line="480" w:lineRule="exact"/>
        <w:ind w:firstLine="482" w:firstLineChars="200"/>
        <w:jc w:val="both"/>
        <w:rPr>
          <w:rFonts w:hint="default" w:ascii="Times New Roman" w:hAnsi="Times New Roman" w:eastAsia="宋体" w:cs="Times New Roman"/>
          <w:color w:val="auto"/>
        </w:rPr>
      </w:pPr>
      <w:r>
        <w:rPr>
          <w:rFonts w:hint="default" w:ascii="Times New Roman" w:hAnsi="Times New Roman" w:eastAsia="宋体" w:cs="Times New Roman"/>
          <w:b/>
          <w:bCs/>
          <w:color w:val="auto"/>
        </w:rPr>
        <w:t>规划目标：</w:t>
      </w:r>
      <w:bookmarkStart w:id="174" w:name="OLE_LINK77"/>
      <w:bookmarkStart w:id="175" w:name="OLE_LINK76"/>
      <w:bookmarkStart w:id="176" w:name="OLE_LINK78"/>
      <w:r>
        <w:rPr>
          <w:rFonts w:hint="default" w:ascii="Times New Roman" w:hAnsi="Times New Roman" w:eastAsia="宋体" w:cs="Times New Roman"/>
          <w:color w:val="auto"/>
        </w:rPr>
        <w:t>城镇污水处理率近期达到95%，远期达到95%以上；农村生活污水处理率近期达到60%，远期达到80%。城镇污水处理厂再生水回用率近期达到12%，远期达到30%；太湖水源保护区范围内及附近岛屿再生水回用率达到100%。</w:t>
      </w:r>
      <w:bookmarkEnd w:id="174"/>
      <w:bookmarkEnd w:id="175"/>
      <w:bookmarkEnd w:id="176"/>
    </w:p>
    <w:p>
      <w:pPr>
        <w:spacing w:line="480" w:lineRule="exact"/>
        <w:ind w:firstLine="482" w:firstLineChars="200"/>
        <w:jc w:val="both"/>
        <w:rPr>
          <w:rFonts w:hint="default" w:ascii="Times New Roman" w:hAnsi="Times New Roman" w:eastAsia="宋体" w:cs="Times New Roman"/>
          <w:color w:val="auto"/>
        </w:rPr>
      </w:pPr>
      <w:r>
        <w:rPr>
          <w:rFonts w:hint="default" w:ascii="Times New Roman" w:hAnsi="Times New Roman" w:eastAsia="宋体" w:cs="Times New Roman"/>
          <w:b/>
          <w:bCs/>
          <w:color w:val="auto"/>
        </w:rPr>
        <w:t>排水体制：</w:t>
      </w:r>
      <w:r>
        <w:rPr>
          <w:rFonts w:hint="default" w:ascii="Times New Roman" w:hAnsi="Times New Roman" w:eastAsia="宋体" w:cs="Times New Roman"/>
          <w:color w:val="auto"/>
        </w:rPr>
        <w:t>规划度假区采用雨污分流制，老镇区近期可采用截流式雨污合流制，远期逐步改造为雨污分流制。</w:t>
      </w:r>
    </w:p>
    <w:p>
      <w:pPr>
        <w:spacing w:line="480" w:lineRule="exact"/>
        <w:ind w:firstLine="482" w:firstLineChars="200"/>
        <w:jc w:val="both"/>
        <w:rPr>
          <w:rFonts w:hint="default" w:ascii="Times New Roman" w:hAnsi="Times New Roman" w:eastAsia="宋体" w:cs="Times New Roman"/>
          <w:color w:val="auto"/>
        </w:rPr>
      </w:pPr>
      <w:r>
        <w:rPr>
          <w:rFonts w:hint="default" w:ascii="Times New Roman" w:hAnsi="Times New Roman" w:eastAsia="宋体" w:cs="Times New Roman"/>
          <w:b/>
          <w:bCs/>
          <w:color w:val="auto"/>
        </w:rPr>
        <w:t>污水处理系统：</w:t>
      </w:r>
      <w:r>
        <w:rPr>
          <w:rFonts w:hint="default" w:ascii="Times New Roman" w:hAnsi="Times New Roman" w:eastAsia="宋体" w:cs="Times New Roman"/>
          <w:color w:val="auto"/>
        </w:rPr>
        <w:t>以分区或连片相对集中处理为主。</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中心区及光福镇污水纳入光福镇污水处理厂（现迁建、更名为科福污水厂）集中处理，远期规模扩至6万立方米/日，原污水厂改造为提升泵站；尾水执行一级A标准，并加快提标改造，改造后执行《苏州特别排放限值标准》，经浒光运河排入京杭运河，不进入太湖。</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金庭镇区污水纳入金庭镇污水处理厂集中处理。现状规模1万立方米/日，远期规模为1.5万立方米/日；尾水执行《苏州特别排放限值标准》，经后堡江排入太湖。</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农村及岛屿采用分散处理方式，自建小型污水处理站。保留长沙岛、叶山岛小型污水处理设施，增加深度处理工艺，尾水全部回用。控制漫山岛、阴山岛、横山岛开发强度，各</w:t>
      </w:r>
      <w:r>
        <w:rPr>
          <w:rFonts w:hint="default" w:ascii="Times New Roman" w:hAnsi="Times New Roman" w:eastAsia="宋体" w:cs="Times New Roman"/>
          <w:color w:val="auto"/>
          <w:lang w:eastAsia="zh-CN"/>
        </w:rPr>
        <w:t>改建</w:t>
      </w:r>
      <w:r>
        <w:rPr>
          <w:rFonts w:hint="default" w:ascii="Times New Roman" w:hAnsi="Times New Roman" w:eastAsia="宋体" w:cs="Times New Roman"/>
          <w:color w:val="auto"/>
        </w:rPr>
        <w:t>1座小型污水处理设施，污水深度处理，部分回用于农田灌溉，绿化喷灌、道路浇洒，其余排入区内河道。</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污水厂污泥送至热电厂或垃圾焚烧厂焚烧。</w:t>
      </w:r>
    </w:p>
    <w:p>
      <w:pPr>
        <w:spacing w:line="480" w:lineRule="exact"/>
        <w:ind w:firstLine="482" w:firstLineChars="200"/>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现状：</w:t>
      </w:r>
    </w:p>
    <w:tbl>
      <w:tblPr>
        <w:tblStyle w:val="5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29"/>
        <w:gridCol w:w="1179"/>
        <w:gridCol w:w="1873"/>
        <w:gridCol w:w="1130"/>
        <w:gridCol w:w="1505"/>
        <w:gridCol w:w="15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0" w:type="pct"/>
            <w:tcBorders>
              <w:tl2br w:val="nil"/>
              <w:tr2bl w:val="nil"/>
            </w:tcBorders>
            <w:shd w:val="clear" w:color="auto" w:fill="auto"/>
            <w:vAlign w:val="center"/>
          </w:tcPr>
          <w:p>
            <w:pPr>
              <w:pStyle w:val="421"/>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名称</w:t>
            </w:r>
          </w:p>
        </w:tc>
        <w:tc>
          <w:tcPr>
            <w:tcW w:w="665" w:type="pct"/>
            <w:tcBorders>
              <w:tl2br w:val="nil"/>
              <w:tr2bl w:val="nil"/>
            </w:tcBorders>
            <w:shd w:val="clear" w:color="auto" w:fill="auto"/>
            <w:vAlign w:val="center"/>
          </w:tcPr>
          <w:p>
            <w:pPr>
              <w:pStyle w:val="421"/>
              <w:rPr>
                <w:rFonts w:hint="default" w:ascii="Times New Roman" w:hAnsi="Times New Roman" w:eastAsia="宋体" w:cs="Times New Roman"/>
                <w:b/>
                <w:bCs/>
                <w:color w:val="auto"/>
              </w:rPr>
            </w:pPr>
            <w:r>
              <w:rPr>
                <w:rFonts w:hint="default" w:ascii="Times New Roman" w:hAnsi="Times New Roman" w:eastAsia="宋体" w:cs="Times New Roman"/>
                <w:b/>
                <w:bCs/>
                <w:color w:val="auto"/>
              </w:rPr>
              <w:t>位置</w:t>
            </w:r>
          </w:p>
        </w:tc>
        <w:tc>
          <w:tcPr>
            <w:tcW w:w="1057" w:type="pct"/>
            <w:tcBorders>
              <w:tl2br w:val="nil"/>
              <w:tr2bl w:val="nil"/>
            </w:tcBorders>
            <w:shd w:val="clear" w:color="auto" w:fill="auto"/>
            <w:vAlign w:val="center"/>
          </w:tcPr>
          <w:p>
            <w:pPr>
              <w:pStyle w:val="421"/>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规模</w:t>
            </w:r>
          </w:p>
        </w:tc>
        <w:tc>
          <w:tcPr>
            <w:tcW w:w="637" w:type="pct"/>
            <w:tcBorders>
              <w:tl2br w:val="nil"/>
              <w:tr2bl w:val="nil"/>
            </w:tcBorders>
            <w:shd w:val="clear" w:color="auto" w:fill="auto"/>
            <w:vAlign w:val="center"/>
          </w:tcPr>
          <w:p>
            <w:pPr>
              <w:pStyle w:val="421"/>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占地面积</w:t>
            </w:r>
          </w:p>
        </w:tc>
        <w:tc>
          <w:tcPr>
            <w:tcW w:w="849" w:type="pct"/>
            <w:tcBorders>
              <w:tl2br w:val="nil"/>
              <w:tr2bl w:val="nil"/>
            </w:tcBorders>
            <w:shd w:val="clear" w:color="auto" w:fill="auto"/>
            <w:vAlign w:val="center"/>
          </w:tcPr>
          <w:p>
            <w:pPr>
              <w:pStyle w:val="421"/>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尾水标准</w:t>
            </w:r>
          </w:p>
        </w:tc>
        <w:tc>
          <w:tcPr>
            <w:tcW w:w="869" w:type="pct"/>
            <w:tcBorders>
              <w:tl2br w:val="nil"/>
              <w:tr2bl w:val="nil"/>
            </w:tcBorders>
            <w:shd w:val="clear" w:color="auto" w:fill="auto"/>
            <w:vAlign w:val="center"/>
          </w:tcPr>
          <w:p>
            <w:pPr>
              <w:pStyle w:val="421"/>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尾水去向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0" w:type="pct"/>
            <w:tcBorders>
              <w:tl2br w:val="nil"/>
              <w:tr2bl w:val="nil"/>
            </w:tcBorders>
            <w:shd w:val="clear" w:color="auto" w:fill="auto"/>
            <w:vAlign w:val="center"/>
          </w:tcPr>
          <w:p>
            <w:pPr>
              <w:pStyle w:val="421"/>
              <w:rPr>
                <w:rFonts w:hint="default" w:ascii="Times New Roman" w:hAnsi="Times New Roman" w:eastAsia="宋体" w:cs="Times New Roman"/>
                <w:color w:val="auto"/>
              </w:rPr>
            </w:pPr>
            <w:r>
              <w:rPr>
                <w:rFonts w:hint="default" w:ascii="Times New Roman" w:hAnsi="Times New Roman" w:eastAsia="宋体" w:cs="Times New Roman"/>
                <w:color w:val="auto"/>
              </w:rPr>
              <w:t>金庭镇污水处理有限公司</w:t>
            </w:r>
          </w:p>
        </w:tc>
        <w:tc>
          <w:tcPr>
            <w:tcW w:w="665" w:type="pct"/>
            <w:tcBorders>
              <w:tl2br w:val="nil"/>
              <w:tr2bl w:val="nil"/>
            </w:tcBorders>
            <w:shd w:val="clear" w:color="auto" w:fill="auto"/>
            <w:vAlign w:val="center"/>
          </w:tcPr>
          <w:p>
            <w:pPr>
              <w:pStyle w:val="421"/>
              <w:rPr>
                <w:rFonts w:hint="default" w:ascii="Times New Roman" w:hAnsi="Times New Roman" w:eastAsia="宋体" w:cs="Times New Roman"/>
                <w:color w:val="auto"/>
              </w:rPr>
            </w:pPr>
            <w:r>
              <w:rPr>
                <w:rFonts w:hint="default" w:ascii="Times New Roman" w:hAnsi="Times New Roman" w:eastAsia="宋体" w:cs="Times New Roman"/>
                <w:color w:val="auto"/>
              </w:rPr>
              <w:t>金庭镇</w:t>
            </w:r>
          </w:p>
        </w:tc>
        <w:tc>
          <w:tcPr>
            <w:tcW w:w="1057" w:type="pct"/>
            <w:tcBorders>
              <w:tl2br w:val="nil"/>
              <w:tr2bl w:val="nil"/>
            </w:tcBorders>
            <w:shd w:val="clear" w:color="auto" w:fill="auto"/>
            <w:vAlign w:val="center"/>
          </w:tcPr>
          <w:p>
            <w:pPr>
              <w:pStyle w:val="421"/>
              <w:rPr>
                <w:rFonts w:hint="default" w:ascii="Times New Roman" w:hAnsi="Times New Roman" w:eastAsia="宋体" w:cs="Times New Roman"/>
                <w:color w:val="auto"/>
              </w:rPr>
            </w:pPr>
            <w:r>
              <w:rPr>
                <w:rFonts w:hint="default" w:ascii="Times New Roman" w:hAnsi="Times New Roman" w:eastAsia="宋体" w:cs="Times New Roman"/>
                <w:color w:val="auto"/>
              </w:rPr>
              <w:t>1.0万m³/d，中水回用10%</w:t>
            </w:r>
          </w:p>
        </w:tc>
        <w:tc>
          <w:tcPr>
            <w:tcW w:w="637" w:type="pct"/>
            <w:tcBorders>
              <w:tl2br w:val="nil"/>
              <w:tr2bl w:val="nil"/>
            </w:tcBorders>
            <w:shd w:val="clear" w:color="auto" w:fill="auto"/>
            <w:vAlign w:val="center"/>
          </w:tcPr>
          <w:p>
            <w:pPr>
              <w:pStyle w:val="421"/>
              <w:rPr>
                <w:rFonts w:hint="default" w:ascii="Times New Roman" w:hAnsi="Times New Roman" w:eastAsia="宋体" w:cs="Times New Roman"/>
                <w:color w:val="auto"/>
              </w:rPr>
            </w:pPr>
            <w:r>
              <w:rPr>
                <w:rFonts w:hint="default" w:ascii="Times New Roman" w:hAnsi="Times New Roman" w:eastAsia="宋体" w:cs="Times New Roman"/>
                <w:color w:val="auto"/>
              </w:rPr>
              <w:t>19491m</w:t>
            </w:r>
            <w:r>
              <w:rPr>
                <w:rFonts w:hint="default" w:ascii="Times New Roman" w:hAnsi="Times New Roman" w:eastAsia="宋体" w:cs="Times New Roman"/>
                <w:color w:val="auto"/>
                <w:vertAlign w:val="superscript"/>
              </w:rPr>
              <w:t>2</w:t>
            </w:r>
          </w:p>
        </w:tc>
        <w:tc>
          <w:tcPr>
            <w:tcW w:w="849" w:type="pct"/>
            <w:tcBorders>
              <w:tl2br w:val="nil"/>
              <w:tr2bl w:val="nil"/>
            </w:tcBorders>
            <w:shd w:val="clear" w:color="auto" w:fill="auto"/>
            <w:vAlign w:val="center"/>
          </w:tcPr>
          <w:p>
            <w:pPr>
              <w:pStyle w:val="421"/>
              <w:rPr>
                <w:rFonts w:hint="default" w:ascii="Times New Roman" w:hAnsi="Times New Roman" w:eastAsia="宋体" w:cs="Times New Roman"/>
                <w:color w:val="auto"/>
              </w:rPr>
            </w:pPr>
            <w:r>
              <w:rPr>
                <w:rFonts w:hint="default" w:ascii="Times New Roman" w:hAnsi="Times New Roman" w:eastAsia="宋体" w:cs="Times New Roman"/>
                <w:color w:val="auto"/>
              </w:rPr>
              <w:t>2020年1月起，执行准Ⅳ类标准</w:t>
            </w:r>
          </w:p>
        </w:tc>
        <w:tc>
          <w:tcPr>
            <w:tcW w:w="869" w:type="pct"/>
            <w:tcBorders>
              <w:tl2br w:val="nil"/>
              <w:tr2bl w:val="nil"/>
            </w:tcBorders>
            <w:shd w:val="clear" w:color="auto" w:fill="auto"/>
            <w:vAlign w:val="center"/>
          </w:tcPr>
          <w:p>
            <w:pPr>
              <w:pStyle w:val="421"/>
              <w:rPr>
                <w:rFonts w:hint="default" w:ascii="Times New Roman" w:hAnsi="Times New Roman" w:eastAsia="宋体" w:cs="Times New Roman"/>
                <w:color w:val="auto"/>
              </w:rPr>
            </w:pPr>
            <w:r>
              <w:rPr>
                <w:rFonts w:hint="default" w:ascii="Times New Roman" w:hAnsi="Times New Roman" w:eastAsia="宋体" w:cs="Times New Roman"/>
                <w:color w:val="auto"/>
                <w:kern w:val="0"/>
              </w:rPr>
              <w:t>战备江-后堡江-太湖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0" w:type="pct"/>
            <w:tcBorders>
              <w:tl2br w:val="nil"/>
              <w:tr2bl w:val="nil"/>
            </w:tcBorders>
            <w:shd w:val="clear" w:color="auto" w:fill="auto"/>
            <w:vAlign w:val="center"/>
          </w:tcPr>
          <w:p>
            <w:pPr>
              <w:pStyle w:val="421"/>
              <w:rPr>
                <w:rFonts w:hint="default" w:ascii="Times New Roman" w:hAnsi="Times New Roman" w:eastAsia="宋体" w:cs="Times New Roman"/>
                <w:color w:val="auto"/>
              </w:rPr>
            </w:pPr>
            <w:r>
              <w:rPr>
                <w:rFonts w:hint="default" w:ascii="Times New Roman" w:hAnsi="Times New Roman" w:eastAsia="宋体" w:cs="Times New Roman"/>
                <w:color w:val="auto"/>
              </w:rPr>
              <w:t>科福污水处理厂（原光福污水处理厂改造为提升泵站）</w:t>
            </w:r>
          </w:p>
        </w:tc>
        <w:tc>
          <w:tcPr>
            <w:tcW w:w="665" w:type="pct"/>
            <w:tcBorders>
              <w:tl2br w:val="nil"/>
              <w:tr2bl w:val="nil"/>
            </w:tcBorders>
            <w:shd w:val="clear" w:color="auto" w:fill="auto"/>
            <w:vAlign w:val="center"/>
          </w:tcPr>
          <w:p>
            <w:pPr>
              <w:pStyle w:val="421"/>
              <w:rPr>
                <w:rFonts w:hint="default" w:ascii="Times New Roman" w:hAnsi="Times New Roman" w:eastAsia="宋体" w:cs="Times New Roman"/>
                <w:color w:val="auto"/>
              </w:rPr>
            </w:pPr>
            <w:r>
              <w:rPr>
                <w:rFonts w:hint="default" w:ascii="Times New Roman" w:hAnsi="Times New Roman" w:eastAsia="宋体" w:cs="Times New Roman"/>
                <w:color w:val="auto"/>
              </w:rPr>
              <w:t>光福镇</w:t>
            </w:r>
          </w:p>
        </w:tc>
        <w:tc>
          <w:tcPr>
            <w:tcW w:w="1057" w:type="pct"/>
            <w:tcBorders>
              <w:tl2br w:val="nil"/>
              <w:tr2bl w:val="nil"/>
            </w:tcBorders>
            <w:shd w:val="clear" w:color="auto" w:fill="auto"/>
            <w:vAlign w:val="center"/>
          </w:tcPr>
          <w:p>
            <w:pPr>
              <w:pStyle w:val="421"/>
              <w:rPr>
                <w:rFonts w:hint="default" w:ascii="Times New Roman" w:hAnsi="Times New Roman" w:eastAsia="宋体" w:cs="Times New Roman"/>
                <w:color w:val="auto"/>
              </w:rPr>
            </w:pPr>
            <w:bookmarkStart w:id="177" w:name="_Hlk25090865"/>
            <w:r>
              <w:rPr>
                <w:rFonts w:hint="default" w:ascii="Times New Roman" w:hAnsi="Times New Roman" w:eastAsia="宋体" w:cs="Times New Roman"/>
                <w:color w:val="auto"/>
              </w:rPr>
              <w:t>3万t/d</w:t>
            </w:r>
            <w:bookmarkEnd w:id="177"/>
            <w:r>
              <w:rPr>
                <w:rFonts w:hint="default" w:ascii="Times New Roman" w:hAnsi="Times New Roman" w:eastAsia="宋体" w:cs="Times New Roman"/>
                <w:color w:val="auto"/>
              </w:rPr>
              <w:t>，回用率10%</w:t>
            </w:r>
          </w:p>
        </w:tc>
        <w:tc>
          <w:tcPr>
            <w:tcW w:w="637" w:type="pct"/>
            <w:tcBorders>
              <w:tl2br w:val="nil"/>
              <w:tr2bl w:val="nil"/>
            </w:tcBorders>
            <w:shd w:val="clear" w:color="auto" w:fill="auto"/>
            <w:vAlign w:val="center"/>
          </w:tcPr>
          <w:p>
            <w:pPr>
              <w:pStyle w:val="421"/>
              <w:rPr>
                <w:rFonts w:hint="default" w:ascii="Times New Roman" w:hAnsi="Times New Roman" w:eastAsia="宋体" w:cs="Times New Roman"/>
                <w:color w:val="auto"/>
              </w:rPr>
            </w:pPr>
            <w:r>
              <w:rPr>
                <w:rFonts w:hint="default" w:ascii="Times New Roman" w:hAnsi="Times New Roman" w:eastAsia="宋体" w:cs="Times New Roman"/>
                <w:color w:val="auto"/>
              </w:rPr>
              <w:t>36666.7m</w:t>
            </w:r>
            <w:r>
              <w:rPr>
                <w:rFonts w:hint="default" w:ascii="Times New Roman" w:hAnsi="Times New Roman" w:eastAsia="宋体" w:cs="Times New Roman"/>
                <w:color w:val="auto"/>
                <w:vertAlign w:val="superscript"/>
              </w:rPr>
              <w:t>2</w:t>
            </w:r>
          </w:p>
        </w:tc>
        <w:tc>
          <w:tcPr>
            <w:tcW w:w="849" w:type="pct"/>
            <w:tcBorders>
              <w:tl2br w:val="nil"/>
              <w:tr2bl w:val="nil"/>
            </w:tcBorders>
            <w:shd w:val="clear" w:color="auto" w:fill="auto"/>
            <w:vAlign w:val="center"/>
          </w:tcPr>
          <w:p>
            <w:pPr>
              <w:pStyle w:val="421"/>
              <w:rPr>
                <w:rFonts w:hint="default" w:ascii="Times New Roman" w:hAnsi="Times New Roman" w:eastAsia="宋体" w:cs="Times New Roman"/>
                <w:color w:val="auto"/>
              </w:rPr>
            </w:pPr>
            <w:r>
              <w:rPr>
                <w:rFonts w:hint="default" w:ascii="Times New Roman" w:hAnsi="Times New Roman" w:eastAsia="宋体" w:cs="Times New Roman"/>
                <w:color w:val="auto"/>
              </w:rPr>
              <w:t>执行一级A排放标准，目前正在进行准Ⅳ类改造</w:t>
            </w:r>
          </w:p>
        </w:tc>
        <w:tc>
          <w:tcPr>
            <w:tcW w:w="869" w:type="pct"/>
            <w:tcBorders>
              <w:tl2br w:val="nil"/>
              <w:tr2bl w:val="nil"/>
            </w:tcBorders>
            <w:shd w:val="clear" w:color="auto" w:fill="auto"/>
            <w:vAlign w:val="center"/>
          </w:tcPr>
          <w:p>
            <w:pPr>
              <w:pStyle w:val="421"/>
              <w:rPr>
                <w:rFonts w:hint="default" w:ascii="Times New Roman" w:hAnsi="Times New Roman" w:eastAsia="宋体" w:cs="Times New Roman"/>
                <w:color w:val="auto"/>
              </w:rPr>
            </w:pPr>
            <w:bookmarkStart w:id="178" w:name="_Hlk25091053"/>
            <w:r>
              <w:rPr>
                <w:rFonts w:hint="default" w:ascii="Times New Roman" w:hAnsi="Times New Roman" w:eastAsia="宋体" w:cs="Times New Roman"/>
                <w:color w:val="auto"/>
              </w:rPr>
              <w:t>府巷浜-浒光运河</w:t>
            </w:r>
            <w:bookmarkEnd w:id="178"/>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0" w:type="pct"/>
            <w:tcBorders>
              <w:tl2br w:val="nil"/>
              <w:tr2bl w:val="nil"/>
            </w:tcBorders>
            <w:shd w:val="clear" w:color="auto" w:fill="auto"/>
            <w:vAlign w:val="center"/>
          </w:tcPr>
          <w:p>
            <w:pPr>
              <w:pStyle w:val="421"/>
              <w:rPr>
                <w:rFonts w:hint="default" w:ascii="Times New Roman" w:hAnsi="Times New Roman" w:eastAsia="宋体" w:cs="Times New Roman"/>
                <w:color w:val="auto"/>
              </w:rPr>
            </w:pPr>
            <w:r>
              <w:rPr>
                <w:rFonts w:hint="default" w:ascii="Times New Roman" w:hAnsi="Times New Roman" w:eastAsia="宋体" w:cs="Times New Roman"/>
                <w:color w:val="auto"/>
              </w:rPr>
              <w:t>叶山小型污水处理设施</w:t>
            </w:r>
          </w:p>
        </w:tc>
        <w:tc>
          <w:tcPr>
            <w:tcW w:w="665" w:type="pct"/>
            <w:tcBorders>
              <w:tl2br w:val="nil"/>
              <w:tr2bl w:val="nil"/>
            </w:tcBorders>
            <w:shd w:val="clear" w:color="auto" w:fill="auto"/>
            <w:vAlign w:val="center"/>
          </w:tcPr>
          <w:p>
            <w:pPr>
              <w:pStyle w:val="421"/>
              <w:rPr>
                <w:rFonts w:hint="default" w:ascii="Times New Roman" w:hAnsi="Times New Roman" w:eastAsia="宋体" w:cs="Times New Roman"/>
                <w:color w:val="auto"/>
              </w:rPr>
            </w:pPr>
            <w:r>
              <w:rPr>
                <w:rFonts w:hint="default" w:ascii="Times New Roman" w:hAnsi="Times New Roman" w:eastAsia="宋体" w:cs="Times New Roman"/>
                <w:color w:val="auto"/>
              </w:rPr>
              <w:t>度假区叶山岛内</w:t>
            </w:r>
          </w:p>
        </w:tc>
        <w:tc>
          <w:tcPr>
            <w:tcW w:w="1057" w:type="pct"/>
            <w:tcBorders>
              <w:tl2br w:val="nil"/>
              <w:tr2bl w:val="nil"/>
            </w:tcBorders>
            <w:shd w:val="clear" w:color="auto" w:fill="auto"/>
            <w:vAlign w:val="center"/>
          </w:tcPr>
          <w:p>
            <w:pPr>
              <w:pStyle w:val="421"/>
              <w:rPr>
                <w:rFonts w:hint="default" w:ascii="Times New Roman" w:hAnsi="Times New Roman" w:eastAsia="宋体" w:cs="Times New Roman"/>
                <w:color w:val="auto"/>
              </w:rPr>
            </w:pPr>
            <w:r>
              <w:rPr>
                <w:rFonts w:hint="default" w:ascii="Times New Roman" w:hAnsi="Times New Roman" w:eastAsia="宋体" w:cs="Times New Roman"/>
                <w:color w:val="auto"/>
              </w:rPr>
              <w:t>设计处理规模：200t/d，实际运行规模：约80t/d，</w:t>
            </w:r>
          </w:p>
        </w:tc>
        <w:tc>
          <w:tcPr>
            <w:tcW w:w="637" w:type="pct"/>
            <w:tcBorders>
              <w:tl2br w:val="nil"/>
              <w:tr2bl w:val="nil"/>
            </w:tcBorders>
            <w:shd w:val="clear" w:color="auto" w:fill="auto"/>
            <w:vAlign w:val="center"/>
          </w:tcPr>
          <w:p>
            <w:pPr>
              <w:pStyle w:val="421"/>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849" w:type="pct"/>
            <w:tcBorders>
              <w:tl2br w:val="nil"/>
              <w:tr2bl w:val="nil"/>
            </w:tcBorders>
            <w:shd w:val="clear" w:color="auto" w:fill="auto"/>
            <w:vAlign w:val="center"/>
          </w:tcPr>
          <w:p>
            <w:pPr>
              <w:pStyle w:val="421"/>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869" w:type="pct"/>
            <w:tcBorders>
              <w:tl2br w:val="nil"/>
              <w:tr2bl w:val="nil"/>
            </w:tcBorders>
            <w:shd w:val="clear" w:color="auto" w:fill="auto"/>
            <w:vAlign w:val="center"/>
          </w:tcPr>
          <w:p>
            <w:pPr>
              <w:pStyle w:val="421"/>
              <w:rPr>
                <w:rFonts w:hint="default" w:ascii="Times New Roman" w:hAnsi="Times New Roman" w:eastAsia="宋体" w:cs="Times New Roman"/>
                <w:color w:val="auto"/>
              </w:rPr>
            </w:pPr>
            <w:r>
              <w:rPr>
                <w:rFonts w:hint="default" w:ascii="Times New Roman" w:hAnsi="Times New Roman" w:eastAsia="宋体" w:cs="Times New Roman"/>
                <w:color w:val="auto"/>
              </w:rPr>
              <w:t>岛内小河排放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0" w:type="pct"/>
            <w:tcBorders>
              <w:tl2br w:val="nil"/>
              <w:tr2bl w:val="nil"/>
            </w:tcBorders>
            <w:shd w:val="clear" w:color="auto" w:fill="auto"/>
            <w:vAlign w:val="center"/>
          </w:tcPr>
          <w:p>
            <w:pPr>
              <w:pStyle w:val="421"/>
              <w:rPr>
                <w:rFonts w:hint="default" w:ascii="Times New Roman" w:hAnsi="Times New Roman" w:eastAsia="宋体" w:cs="Times New Roman"/>
                <w:color w:val="auto"/>
              </w:rPr>
            </w:pPr>
            <w:r>
              <w:rPr>
                <w:rFonts w:hint="default" w:ascii="Times New Roman" w:hAnsi="Times New Roman" w:eastAsia="宋体" w:cs="Times New Roman"/>
                <w:color w:val="auto"/>
              </w:rPr>
              <w:t>长沙农村生活污水处理项目</w:t>
            </w:r>
          </w:p>
        </w:tc>
        <w:tc>
          <w:tcPr>
            <w:tcW w:w="665" w:type="pct"/>
            <w:tcBorders>
              <w:tl2br w:val="nil"/>
              <w:tr2bl w:val="nil"/>
            </w:tcBorders>
            <w:shd w:val="clear" w:color="auto" w:fill="auto"/>
            <w:vAlign w:val="center"/>
          </w:tcPr>
          <w:p>
            <w:pPr>
              <w:pStyle w:val="421"/>
              <w:rPr>
                <w:rFonts w:hint="default" w:ascii="Times New Roman" w:hAnsi="Times New Roman" w:eastAsia="宋体" w:cs="Times New Roman"/>
                <w:color w:val="auto"/>
              </w:rPr>
            </w:pPr>
            <w:r>
              <w:rPr>
                <w:rFonts w:hint="default" w:ascii="Times New Roman" w:hAnsi="Times New Roman" w:eastAsia="宋体" w:cs="Times New Roman"/>
                <w:color w:val="auto"/>
              </w:rPr>
              <w:t>度假区长沙岛内</w:t>
            </w:r>
          </w:p>
        </w:tc>
        <w:tc>
          <w:tcPr>
            <w:tcW w:w="1057" w:type="pct"/>
            <w:tcBorders>
              <w:tl2br w:val="nil"/>
              <w:tr2bl w:val="nil"/>
            </w:tcBorders>
            <w:shd w:val="clear" w:color="auto" w:fill="auto"/>
            <w:vAlign w:val="center"/>
          </w:tcPr>
          <w:p>
            <w:pPr>
              <w:pStyle w:val="421"/>
              <w:rPr>
                <w:rFonts w:hint="default" w:ascii="Times New Roman" w:hAnsi="Times New Roman" w:eastAsia="宋体" w:cs="Times New Roman"/>
                <w:color w:val="auto"/>
              </w:rPr>
            </w:pPr>
            <w:r>
              <w:rPr>
                <w:rFonts w:hint="default" w:ascii="Times New Roman" w:hAnsi="Times New Roman" w:eastAsia="宋体" w:cs="Times New Roman"/>
                <w:color w:val="auto"/>
              </w:rPr>
              <w:t>1200t/d，实际运行规模：约400t/d</w:t>
            </w:r>
          </w:p>
        </w:tc>
        <w:tc>
          <w:tcPr>
            <w:tcW w:w="637" w:type="pct"/>
            <w:tcBorders>
              <w:tl2br w:val="nil"/>
              <w:tr2bl w:val="nil"/>
            </w:tcBorders>
            <w:shd w:val="clear" w:color="auto" w:fill="auto"/>
            <w:vAlign w:val="center"/>
          </w:tcPr>
          <w:p>
            <w:pPr>
              <w:pStyle w:val="421"/>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849" w:type="pct"/>
            <w:tcBorders>
              <w:tl2br w:val="nil"/>
              <w:tr2bl w:val="nil"/>
            </w:tcBorders>
            <w:shd w:val="clear" w:color="auto" w:fill="auto"/>
            <w:vAlign w:val="center"/>
          </w:tcPr>
          <w:p>
            <w:pPr>
              <w:pStyle w:val="421"/>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869" w:type="pct"/>
            <w:tcBorders>
              <w:tl2br w:val="nil"/>
              <w:tr2bl w:val="nil"/>
            </w:tcBorders>
            <w:shd w:val="clear" w:color="auto" w:fill="auto"/>
            <w:vAlign w:val="center"/>
          </w:tcPr>
          <w:p>
            <w:pPr>
              <w:pStyle w:val="421"/>
              <w:rPr>
                <w:rFonts w:hint="default" w:ascii="Times New Roman" w:hAnsi="Times New Roman" w:eastAsia="宋体" w:cs="Times New Roman"/>
                <w:color w:val="auto"/>
              </w:rPr>
            </w:pPr>
            <w:bookmarkStart w:id="179" w:name="_Hlk25091069"/>
            <w:r>
              <w:rPr>
                <w:rFonts w:hint="default" w:ascii="Times New Roman" w:hAnsi="Times New Roman" w:eastAsia="宋体" w:cs="Times New Roman"/>
                <w:color w:val="auto"/>
              </w:rPr>
              <w:t>长沙人工湿地</w:t>
            </w:r>
            <w:bookmarkEnd w:id="179"/>
            <w:r>
              <w:rPr>
                <w:rFonts w:hint="default" w:ascii="Times New Roman" w:hAnsi="Times New Roman" w:eastAsia="宋体" w:cs="Times New Roman"/>
                <w:color w:val="auto"/>
              </w:rPr>
              <w:t>后内部循环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0" w:type="pct"/>
            <w:tcBorders>
              <w:tl2br w:val="nil"/>
              <w:tr2bl w:val="nil"/>
            </w:tcBorders>
            <w:shd w:val="clear" w:color="auto" w:fill="auto"/>
            <w:vAlign w:val="center"/>
          </w:tcPr>
          <w:p>
            <w:pPr>
              <w:pStyle w:val="421"/>
              <w:rPr>
                <w:rFonts w:hint="default" w:ascii="Times New Roman" w:hAnsi="Times New Roman" w:eastAsia="宋体" w:cs="Times New Roman"/>
                <w:color w:val="auto"/>
              </w:rPr>
            </w:pPr>
            <w:r>
              <w:rPr>
                <w:rFonts w:hint="default" w:ascii="Times New Roman" w:hAnsi="Times New Roman" w:eastAsia="宋体" w:cs="Times New Roman"/>
                <w:color w:val="auto"/>
              </w:rPr>
              <w:t>农村小型污水处理设施</w:t>
            </w:r>
          </w:p>
        </w:tc>
        <w:tc>
          <w:tcPr>
            <w:tcW w:w="665" w:type="pct"/>
            <w:tcBorders>
              <w:tl2br w:val="nil"/>
              <w:tr2bl w:val="nil"/>
            </w:tcBorders>
            <w:shd w:val="clear" w:color="auto" w:fill="auto"/>
            <w:vAlign w:val="center"/>
          </w:tcPr>
          <w:p>
            <w:pPr>
              <w:pStyle w:val="421"/>
              <w:rPr>
                <w:rFonts w:hint="default" w:ascii="Times New Roman" w:hAnsi="Times New Roman" w:eastAsia="宋体" w:cs="Times New Roman"/>
                <w:color w:val="auto"/>
              </w:rPr>
            </w:pPr>
            <w:r>
              <w:rPr>
                <w:rFonts w:hint="default" w:ascii="Times New Roman" w:hAnsi="Times New Roman" w:eastAsia="宋体" w:cs="Times New Roman"/>
                <w:color w:val="auto"/>
              </w:rPr>
              <w:t>光福建有69座，金庭建有44座</w:t>
            </w:r>
          </w:p>
        </w:tc>
        <w:tc>
          <w:tcPr>
            <w:tcW w:w="1057" w:type="pct"/>
            <w:tcBorders>
              <w:tl2br w:val="nil"/>
              <w:tr2bl w:val="nil"/>
            </w:tcBorders>
            <w:shd w:val="clear" w:color="auto" w:fill="auto"/>
            <w:vAlign w:val="center"/>
          </w:tcPr>
          <w:p>
            <w:pPr>
              <w:pStyle w:val="421"/>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637" w:type="pct"/>
            <w:tcBorders>
              <w:tl2br w:val="nil"/>
              <w:tr2bl w:val="nil"/>
            </w:tcBorders>
            <w:shd w:val="clear" w:color="auto" w:fill="auto"/>
            <w:vAlign w:val="center"/>
          </w:tcPr>
          <w:p>
            <w:pPr>
              <w:pStyle w:val="421"/>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849" w:type="pct"/>
            <w:tcBorders>
              <w:tl2br w:val="nil"/>
              <w:tr2bl w:val="nil"/>
            </w:tcBorders>
            <w:shd w:val="clear" w:color="auto" w:fill="auto"/>
            <w:vAlign w:val="center"/>
          </w:tcPr>
          <w:p>
            <w:pPr>
              <w:pStyle w:val="421"/>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869" w:type="pct"/>
            <w:tcBorders>
              <w:tl2br w:val="nil"/>
              <w:tr2bl w:val="nil"/>
            </w:tcBorders>
            <w:shd w:val="clear" w:color="auto" w:fill="auto"/>
            <w:vAlign w:val="center"/>
          </w:tcPr>
          <w:p>
            <w:pPr>
              <w:pStyle w:val="421"/>
              <w:rPr>
                <w:rFonts w:hint="default" w:ascii="Times New Roman" w:hAnsi="Times New Roman" w:eastAsia="宋体" w:cs="Times New Roman"/>
                <w:color w:val="auto"/>
              </w:rPr>
            </w:pPr>
            <w:r>
              <w:rPr>
                <w:rFonts w:hint="default" w:ascii="Times New Roman" w:hAnsi="Times New Roman" w:eastAsia="宋体" w:cs="Times New Roman"/>
                <w:color w:val="auto"/>
              </w:rPr>
              <w:t>尾水就近排入附近小河或人工湿地，最终排入太湖</w:t>
            </w:r>
          </w:p>
        </w:tc>
      </w:tr>
    </w:tbl>
    <w:p>
      <w:pPr>
        <w:adjustRightInd w:val="0"/>
        <w:snapToGrid w:val="0"/>
        <w:spacing w:line="480" w:lineRule="exact"/>
        <w:ind w:firstLine="480" w:firstLineChars="200"/>
        <w:jc w:val="both"/>
        <w:rPr>
          <w:rFonts w:hint="default" w:ascii="Times New Roman" w:hAnsi="Times New Roman" w:eastAsia="宋体" w:cs="Times New Roman"/>
          <w:color w:val="auto"/>
        </w:rPr>
      </w:pPr>
      <w:bookmarkStart w:id="180" w:name="_Hlk36216625"/>
      <w:r>
        <w:rPr>
          <w:rFonts w:hint="eastAsia" w:cs="Times New Roman"/>
          <w:color w:val="auto"/>
          <w:lang w:val="en-US" w:eastAsia="zh-CN"/>
        </w:rPr>
        <w:t>A.</w:t>
      </w:r>
      <w:r>
        <w:rPr>
          <w:rFonts w:hint="default" w:ascii="Times New Roman" w:hAnsi="Times New Roman" w:eastAsia="宋体" w:cs="Times New Roman"/>
          <w:color w:val="auto"/>
        </w:rPr>
        <w:t>苏州太湖国家旅游度假区科福污水处理有限公司（搬迁前为光福镇污水处理厂）成立于2011年11月9日，位于苏州市吴中区230省道与银矿路交叉口西南侧，主要接纳国家旅游度假区光福镇、度假区中心区、度假区科技产业园区的各类废水。其中光福镇（老镇区）污水管网服务面积约5.64k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，接纳污水量0.7万m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/d；苏州太湖国家旅游度假区中心区（香山片区）污水管网服务面积约24.78km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，接纳污水量1.4万m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/d；苏州太湖科技产业园污水管网服务面积约7.52km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，接纳污水量0.9万m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/d，总污水处理能力3.0万m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/d（其中生活污水占78%；工业废水占22%，即收水范围内的工业企业产生的生活污水）。</w:t>
      </w:r>
      <w:bookmarkEnd w:id="180"/>
    </w:p>
    <w:p>
      <w:pPr>
        <w:adjustRightInd w:val="0"/>
        <w:snapToGrid w:val="0"/>
        <w:spacing w:line="480" w:lineRule="exact"/>
        <w:ind w:firstLine="480" w:firstLineChars="200"/>
        <w:jc w:val="both"/>
        <w:rPr>
          <w:rFonts w:hint="default" w:ascii="Times New Roman" w:hAnsi="Times New Roman" w:eastAsia="宋体" w:cs="Times New Roman"/>
          <w:color w:val="0000FF"/>
        </w:rPr>
      </w:pPr>
      <w:r>
        <w:rPr>
          <w:rFonts w:hint="default" w:ascii="Times New Roman" w:hAnsi="Times New Roman" w:eastAsia="宋体" w:cs="Times New Roman"/>
          <w:color w:val="auto"/>
        </w:rPr>
        <w:t>污水处理主要工艺采用</w:t>
      </w:r>
      <w:r>
        <w:rPr>
          <w:color w:val="auto"/>
          <w:sz w:val="24"/>
        </w:rPr>
        <w:t>A</w:t>
      </w:r>
      <w:r>
        <w:rPr>
          <w:color w:val="auto"/>
          <w:sz w:val="24"/>
          <w:vertAlign w:val="superscript"/>
        </w:rPr>
        <w:t>2</w:t>
      </w:r>
      <w:r>
        <w:rPr>
          <w:color w:val="auto"/>
          <w:sz w:val="24"/>
        </w:rPr>
        <w:t>/O氧化沟工艺+混凝沉淀过滤+紫外消毒的二级生化处理工艺</w:t>
      </w:r>
      <w:r>
        <w:rPr>
          <w:rFonts w:hint="default" w:ascii="Times New Roman" w:hAnsi="Times New Roman" w:eastAsia="宋体" w:cs="Times New Roman"/>
          <w:color w:val="auto"/>
        </w:rPr>
        <w:t>，其具体工艺流程为：粗格栅及污水提升泵房----细格栅及曝气沉沙池----A</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/O生化池----二沉池----混凝沉淀池过滤消毒池----</w:t>
      </w:r>
      <w:r>
        <w:rPr>
          <w:rFonts w:hint="eastAsia" w:cs="Times New Roman"/>
          <w:color w:val="auto"/>
          <w:lang w:val="en-US" w:eastAsia="zh-CN"/>
        </w:rPr>
        <w:t>紫外消毒池</w:t>
      </w:r>
      <w:r>
        <w:rPr>
          <w:rFonts w:hint="default" w:ascii="Times New Roman" w:hAnsi="Times New Roman" w:eastAsia="宋体" w:cs="Times New Roman"/>
          <w:color w:val="auto"/>
        </w:rPr>
        <w:t>----</w:t>
      </w:r>
      <w:r>
        <w:rPr>
          <w:rFonts w:hint="eastAsia" w:cs="Times New Roman"/>
          <w:color w:val="auto"/>
          <w:lang w:val="en-US" w:eastAsia="zh-CN"/>
        </w:rPr>
        <w:t>达标排放</w:t>
      </w:r>
      <w:r>
        <w:rPr>
          <w:rFonts w:hint="default" w:ascii="Times New Roman" w:hAnsi="Times New Roman" w:eastAsia="宋体" w:cs="Times New Roman"/>
          <w:color w:val="auto"/>
        </w:rPr>
        <w:t>。</w:t>
      </w:r>
    </w:p>
    <w:p>
      <w:pPr>
        <w:adjustRightInd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污泥处理采用重力浓缩池+离心脱水工艺，其工艺流程为：剩余污泥----</w:t>
      </w:r>
      <w:r>
        <w:rPr>
          <w:rFonts w:hint="eastAsia" w:cs="Times New Roman"/>
          <w:color w:val="auto"/>
          <w:lang w:val="en-US" w:eastAsia="zh-CN"/>
        </w:rPr>
        <w:t>储泥池</w:t>
      </w:r>
      <w:r>
        <w:rPr>
          <w:rFonts w:hint="default" w:ascii="Times New Roman" w:hAnsi="Times New Roman" w:eastAsia="宋体" w:cs="Times New Roman"/>
          <w:color w:val="auto"/>
        </w:rPr>
        <w:t>----污泥</w:t>
      </w:r>
      <w:r>
        <w:rPr>
          <w:rFonts w:hint="eastAsia" w:cs="Times New Roman"/>
          <w:color w:val="auto"/>
          <w:lang w:val="en-US" w:eastAsia="zh-CN"/>
        </w:rPr>
        <w:t>浓缩</w:t>
      </w:r>
      <w:r>
        <w:rPr>
          <w:rFonts w:hint="default" w:ascii="Times New Roman" w:hAnsi="Times New Roman" w:eastAsia="宋体" w:cs="Times New Roman"/>
          <w:color w:val="auto"/>
        </w:rPr>
        <w:t>脱水----泥</w:t>
      </w:r>
      <w:r>
        <w:rPr>
          <w:rFonts w:hint="eastAsia" w:cs="Times New Roman"/>
          <w:color w:val="auto"/>
          <w:lang w:val="en-US" w:eastAsia="zh-CN"/>
        </w:rPr>
        <w:t>料仓库</w:t>
      </w:r>
      <w:r>
        <w:rPr>
          <w:rFonts w:hint="default" w:ascii="Times New Roman" w:hAnsi="Times New Roman" w:eastAsia="宋体" w:cs="Times New Roman"/>
          <w:color w:val="auto"/>
        </w:rPr>
        <w:t>----</w:t>
      </w:r>
      <w:r>
        <w:rPr>
          <w:rFonts w:hint="eastAsia" w:cs="Times New Roman"/>
          <w:color w:val="auto"/>
          <w:lang w:val="en-US" w:eastAsia="zh-CN"/>
        </w:rPr>
        <w:t>干污泥委外处置</w:t>
      </w:r>
      <w:r>
        <w:rPr>
          <w:rFonts w:hint="default" w:ascii="Times New Roman" w:hAnsi="Times New Roman" w:eastAsia="宋体" w:cs="Times New Roman"/>
          <w:color w:val="auto"/>
        </w:rPr>
        <w:t>。</w:t>
      </w:r>
    </w:p>
    <w:p>
      <w:pPr>
        <w:adjustRightInd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苏州太湖国家旅游度假区科福污水处理厂尾水排放水质COD、氨氮、总氮、总磷达</w:t>
      </w:r>
      <w:r>
        <w:rPr>
          <w:rFonts w:hint="eastAsia" w:cs="Times New Roman"/>
          <w:color w:val="auto"/>
          <w:lang w:eastAsia="zh-CN"/>
        </w:rPr>
        <w:t>“</w:t>
      </w:r>
      <w:r>
        <w:rPr>
          <w:rFonts w:hint="default" w:ascii="Times New Roman" w:hAnsi="Times New Roman" w:eastAsia="宋体" w:cs="Times New Roman"/>
          <w:color w:val="auto"/>
        </w:rPr>
        <w:t>苏州特别排放限值标准</w:t>
      </w:r>
      <w:r>
        <w:rPr>
          <w:rFonts w:hint="eastAsia" w:cs="Times New Roman"/>
          <w:color w:val="auto"/>
          <w:lang w:eastAsia="zh-CN"/>
        </w:rPr>
        <w:t>”</w:t>
      </w:r>
      <w:r>
        <w:rPr>
          <w:rFonts w:hint="default" w:ascii="Times New Roman" w:hAnsi="Times New Roman" w:eastAsia="宋体" w:cs="Times New Roman"/>
          <w:color w:val="auto"/>
        </w:rPr>
        <w:t>要求，其余指标达《城镇污水处理厂污染物排放标准》（GB18918-2002）表1 一级A 标准，尾水排入府巷浜，最终进入浒光运河。</w:t>
      </w:r>
    </w:p>
    <w:p>
      <w:pPr>
        <w:adjustRightInd w:val="0"/>
        <w:snapToGrid w:val="0"/>
        <w:spacing w:line="480" w:lineRule="exact"/>
        <w:ind w:firstLine="480" w:firstLineChars="200"/>
        <w:jc w:val="both"/>
        <w:rPr>
          <w:rFonts w:hint="default" w:ascii="Times New Roman" w:hAnsi="Times New Roman" w:cs="Times New Roman"/>
          <w:color w:val="auto"/>
        </w:rPr>
      </w:pPr>
      <w:r>
        <w:rPr>
          <w:rFonts w:hint="eastAsia" w:ascii="Times New Roman" w:hAnsi="Times New Roman" w:cs="Times New Roman"/>
          <w:color w:val="auto"/>
          <w:lang w:val="en-US" w:eastAsia="zh-CN"/>
        </w:rPr>
        <w:t>B.</w:t>
      </w:r>
      <w:r>
        <w:rPr>
          <w:rFonts w:hint="default" w:ascii="Times New Roman" w:hAnsi="Times New Roman" w:cs="Times New Roman"/>
          <w:color w:val="auto"/>
        </w:rPr>
        <w:t>由苏州吴中水务发展集团有限公司建设的“</w:t>
      </w:r>
      <w:bookmarkStart w:id="181" w:name="_Hlk36216610"/>
      <w:r>
        <w:rPr>
          <w:rFonts w:hint="default" w:ascii="Times New Roman" w:hAnsi="Times New Roman" w:cs="Times New Roman"/>
          <w:color w:val="auto"/>
        </w:rPr>
        <w:t>金庭镇污水处理有限公司</w:t>
      </w:r>
      <w:bookmarkEnd w:id="181"/>
      <w:r>
        <w:rPr>
          <w:rFonts w:hint="default" w:ascii="Times New Roman" w:hAnsi="Times New Roman" w:cs="Times New Roman"/>
          <w:color w:val="auto"/>
        </w:rPr>
        <w:t>”总投资10616.42万元，占地面积19491m</w:t>
      </w:r>
      <w:r>
        <w:rPr>
          <w:rFonts w:hint="default" w:ascii="Times New Roman" w:hAnsi="Times New Roman" w:cs="Times New Roman"/>
          <w:color w:val="auto"/>
          <w:vertAlign w:val="superscript"/>
        </w:rPr>
        <w:t>2</w:t>
      </w:r>
      <w:r>
        <w:rPr>
          <w:rFonts w:hint="default" w:ascii="Times New Roman" w:hAnsi="Times New Roman" w:cs="Times New Roman"/>
          <w:color w:val="auto"/>
        </w:rPr>
        <w:t>，规模1.0万m³/d，于2017年12月开始试运行，实际处理污水约5000t/d，服务范围为金庭镇区及周边有条件接管的农村地区（包括庭山、蒋东、元山、林屋、秉常、东河、东蔡7个行政村），污水接管率约63%，其余生活污水接管至各农村小型污水处理设施。</w:t>
      </w:r>
    </w:p>
    <w:p>
      <w:pPr>
        <w:adjustRightInd w:val="0"/>
        <w:snapToGrid w:val="0"/>
        <w:spacing w:line="480" w:lineRule="exact"/>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污水处理主要工艺采用曝气沉沙池+倒置A</w:t>
      </w:r>
      <w:r>
        <w:rPr>
          <w:rFonts w:hint="default" w:ascii="Times New Roman" w:hAnsi="Times New Roman" w:cs="Times New Roman"/>
          <w:color w:val="auto"/>
          <w:vertAlign w:val="superscript"/>
        </w:rPr>
        <w:t>2</w:t>
      </w:r>
      <w:r>
        <w:rPr>
          <w:rFonts w:hint="default" w:ascii="Times New Roman" w:hAnsi="Times New Roman" w:cs="Times New Roman"/>
          <w:color w:val="auto"/>
        </w:rPr>
        <w:t>/O工艺+二沉池+混凝沉淀+滤布滤池，其具体工艺流程为：粗格栅及污水提升泵房----细格栅及曝气沉沙池----A</w:t>
      </w:r>
      <w:r>
        <w:rPr>
          <w:rFonts w:hint="default" w:ascii="Times New Roman" w:hAnsi="Times New Roman" w:cs="Times New Roman"/>
          <w:color w:val="auto"/>
          <w:vertAlign w:val="superscript"/>
        </w:rPr>
        <w:t>2</w:t>
      </w:r>
      <w:r>
        <w:rPr>
          <w:rFonts w:hint="default" w:ascii="Times New Roman" w:hAnsi="Times New Roman" w:cs="Times New Roman"/>
          <w:color w:val="auto"/>
        </w:rPr>
        <w:t>/O生化池----二沉池----混凝沉淀池过滤消毒池----湿地----战备江。</w:t>
      </w:r>
    </w:p>
    <w:p>
      <w:pPr>
        <w:adjustRightInd w:val="0"/>
        <w:snapToGrid w:val="0"/>
        <w:spacing w:line="480" w:lineRule="exact"/>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污泥处理采用重力浓缩池+离心脱水工艺，其工艺流程为：剩余污泥----污泥浓缩池----污泥脱水机房----泥棚----泥饼外运，由江远热电厂焚烧处理。</w:t>
      </w:r>
    </w:p>
    <w:p>
      <w:pPr>
        <w:adjustRightInd w:val="0"/>
        <w:snapToGrid w:val="0"/>
        <w:spacing w:line="480" w:lineRule="exact"/>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金庭镇污水处理厂尾水原执行《城镇污水处理厂污染物排放标准》（GB18918-2002）表1中一级A标准，经</w:t>
      </w:r>
      <w:bookmarkStart w:id="182" w:name="OLE_LINK24"/>
      <w:bookmarkStart w:id="183" w:name="OLE_LINK22"/>
      <w:bookmarkStart w:id="184" w:name="OLE_LINK25"/>
      <w:bookmarkStart w:id="185" w:name="OLE_LINK23"/>
      <w:r>
        <w:rPr>
          <w:rFonts w:hint="default" w:ascii="Times New Roman" w:hAnsi="Times New Roman" w:cs="Times New Roman"/>
          <w:color w:val="auto"/>
        </w:rPr>
        <w:t>战备江、后堡江</w:t>
      </w:r>
      <w:bookmarkEnd w:id="182"/>
      <w:bookmarkEnd w:id="183"/>
      <w:bookmarkEnd w:id="184"/>
      <w:bookmarkEnd w:id="185"/>
      <w:r>
        <w:rPr>
          <w:rFonts w:hint="default" w:ascii="Times New Roman" w:hAnsi="Times New Roman" w:cs="Times New Roman"/>
          <w:color w:val="auto"/>
        </w:rPr>
        <w:t>排入太湖，2021.1.1起执行苏州市特别排放限值标准；尾水稳定达标排放。中水回用率10%，未建设中水回用管网，主要用于镇区绿化灌溉、道路洒水、内部回用等。</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③供热工程规划</w:t>
      </w:r>
    </w:p>
    <w:p>
      <w:pPr>
        <w:spacing w:line="480" w:lineRule="exact"/>
        <w:ind w:firstLine="482" w:firstLineChars="200"/>
        <w:jc w:val="both"/>
        <w:rPr>
          <w:rFonts w:hint="default" w:ascii="Times New Roman" w:hAnsi="Times New Roman" w:eastAsia="宋体" w:cs="Times New Roman"/>
          <w:color w:val="auto"/>
        </w:rPr>
      </w:pPr>
      <w:r>
        <w:rPr>
          <w:rFonts w:hint="default" w:ascii="Times New Roman" w:hAnsi="Times New Roman" w:eastAsia="宋体" w:cs="Times New Roman"/>
          <w:b/>
          <w:bCs/>
          <w:color w:val="auto"/>
        </w:rPr>
        <w:t>规划：</w:t>
      </w:r>
      <w:r>
        <w:rPr>
          <w:rFonts w:hint="default" w:ascii="Times New Roman" w:hAnsi="Times New Roman" w:eastAsia="宋体" w:cs="Times New Roman"/>
          <w:color w:val="auto"/>
        </w:rPr>
        <w:t>度假区规划不实施集中供热。</w:t>
      </w:r>
    </w:p>
    <w:p>
      <w:pPr>
        <w:spacing w:line="480" w:lineRule="exact"/>
        <w:ind w:firstLine="482" w:firstLineChars="200"/>
        <w:jc w:val="both"/>
        <w:rPr>
          <w:rFonts w:hint="eastAsia" w:ascii="Times New Roman" w:hAnsi="Times New Roman" w:eastAsia="宋体" w:cs="Times New Roman"/>
          <w:color w:val="auto"/>
          <w:lang w:eastAsia="zh-CN"/>
        </w:rPr>
      </w:pPr>
      <w:r>
        <w:rPr>
          <w:rFonts w:hint="default" w:ascii="Times New Roman" w:hAnsi="Times New Roman" w:eastAsia="宋体" w:cs="Times New Roman"/>
          <w:b/>
          <w:bCs/>
          <w:color w:val="auto"/>
        </w:rPr>
        <w:t>现状：</w:t>
      </w:r>
      <w:r>
        <w:rPr>
          <w:rFonts w:hint="default" w:ascii="Times New Roman" w:hAnsi="Times New Roman" w:eastAsia="宋体" w:cs="Times New Roman"/>
          <w:color w:val="auto"/>
        </w:rPr>
        <w:t>未实施集中供热，现有锅炉主要采用生物质、燃气和柴油</w:t>
      </w:r>
      <w:r>
        <w:rPr>
          <w:rFonts w:hint="eastAsia" w:cs="Times New Roman"/>
          <w:color w:val="auto"/>
          <w:lang w:eastAsia="zh-CN"/>
        </w:rPr>
        <w:t>。</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④燃气工程规划</w:t>
      </w:r>
    </w:p>
    <w:p>
      <w:pPr>
        <w:spacing w:line="480" w:lineRule="exact"/>
        <w:ind w:firstLine="482" w:firstLineChars="200"/>
        <w:jc w:val="both"/>
        <w:rPr>
          <w:rFonts w:hint="default" w:ascii="Times New Roman" w:hAnsi="Times New Roman" w:eastAsia="宋体" w:cs="Times New Roman"/>
          <w:color w:val="auto"/>
        </w:rPr>
      </w:pPr>
      <w:bookmarkStart w:id="186" w:name="OLE_LINK81"/>
      <w:r>
        <w:rPr>
          <w:rFonts w:hint="default" w:ascii="Times New Roman" w:hAnsi="Times New Roman" w:eastAsia="宋体" w:cs="Times New Roman"/>
          <w:b/>
          <w:bCs/>
          <w:color w:val="auto"/>
        </w:rPr>
        <w:t>规划：</w:t>
      </w:r>
      <w:r>
        <w:rPr>
          <w:rFonts w:hint="default" w:ascii="Times New Roman" w:hAnsi="Times New Roman" w:eastAsia="宋体" w:cs="Times New Roman"/>
          <w:color w:val="auto"/>
        </w:rPr>
        <w:t>中心区以天然气为主要气源，天然气管网与苏州中心城区管网相连通。在产业园西北角西临230省道、北接苏州科技城科灵路附近</w:t>
      </w:r>
      <w:r>
        <w:rPr>
          <w:rFonts w:hint="default" w:ascii="Times New Roman" w:hAnsi="Times New Roman" w:eastAsia="宋体" w:cs="Times New Roman"/>
          <w:color w:val="auto"/>
          <w:lang w:eastAsia="zh-CN"/>
        </w:rPr>
        <w:t>改建</w:t>
      </w:r>
      <w:r>
        <w:rPr>
          <w:rFonts w:hint="default" w:ascii="Times New Roman" w:hAnsi="Times New Roman" w:eastAsia="宋体" w:cs="Times New Roman"/>
          <w:color w:val="auto"/>
        </w:rPr>
        <w:t>光福高中压调压站，主供光福及周边地区。金庭镇区以天然气为主要气源。长沙岛、叶山岛以液化石油气为主要气源，采用瓶组气化方式供气。瓶装液化石油气作为必要的补充气源。</w:t>
      </w:r>
      <w:bookmarkEnd w:id="186"/>
    </w:p>
    <w:p>
      <w:pPr>
        <w:spacing w:line="480" w:lineRule="exact"/>
        <w:ind w:firstLine="482" w:firstLineChars="200"/>
        <w:jc w:val="both"/>
        <w:rPr>
          <w:rFonts w:hint="default" w:ascii="Times New Roman" w:hAnsi="Times New Roman" w:eastAsia="宋体" w:cs="Times New Roman"/>
          <w:color w:val="auto"/>
        </w:rPr>
      </w:pPr>
      <w:r>
        <w:rPr>
          <w:rFonts w:hint="default" w:ascii="Times New Roman" w:hAnsi="Times New Roman" w:eastAsia="宋体" w:cs="Times New Roman"/>
          <w:b/>
          <w:bCs/>
          <w:color w:val="auto"/>
        </w:rPr>
        <w:t>现状：</w:t>
      </w:r>
      <w:r>
        <w:rPr>
          <w:rFonts w:hint="default" w:ascii="Times New Roman" w:hAnsi="Times New Roman" w:eastAsia="宋体" w:cs="Times New Roman"/>
          <w:color w:val="auto"/>
        </w:rPr>
        <w:t>度假区中心区以天然气为主要气源，天然气管网与苏州中心城区管网相连通；金庭镇区、长沙岛、叶山岛以天然气为主要气源。</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⑤环卫工程</w:t>
      </w:r>
    </w:p>
    <w:p>
      <w:pPr>
        <w:spacing w:line="480" w:lineRule="exact"/>
        <w:ind w:firstLine="482" w:firstLineChars="200"/>
        <w:jc w:val="both"/>
        <w:rPr>
          <w:rFonts w:hint="default" w:ascii="Times New Roman" w:hAnsi="Times New Roman" w:eastAsia="宋体" w:cs="Times New Roman"/>
          <w:color w:val="auto"/>
        </w:rPr>
      </w:pPr>
      <w:r>
        <w:rPr>
          <w:rFonts w:hint="default" w:ascii="Times New Roman" w:hAnsi="Times New Roman" w:eastAsia="宋体" w:cs="Times New Roman"/>
          <w:b/>
          <w:bCs/>
          <w:color w:val="auto"/>
        </w:rPr>
        <w:t>规划：</w:t>
      </w:r>
      <w:r>
        <w:rPr>
          <w:rFonts w:hint="default" w:ascii="Times New Roman" w:hAnsi="Times New Roman" w:eastAsia="宋体" w:cs="Times New Roman"/>
          <w:color w:val="auto"/>
        </w:rPr>
        <w:t>建立健全</w:t>
      </w:r>
      <w:r>
        <w:rPr>
          <w:rFonts w:hint="eastAsia" w:cs="Times New Roman"/>
          <w:color w:val="auto"/>
          <w:lang w:eastAsia="zh-CN"/>
        </w:rPr>
        <w:t>“</w:t>
      </w:r>
      <w:r>
        <w:rPr>
          <w:rFonts w:hint="default" w:ascii="Times New Roman" w:hAnsi="Times New Roman" w:eastAsia="宋体" w:cs="Times New Roman"/>
          <w:color w:val="auto"/>
        </w:rPr>
        <w:t>村收集，镇转运，市处理</w:t>
      </w:r>
      <w:r>
        <w:rPr>
          <w:rFonts w:hint="eastAsia" w:cs="Times New Roman"/>
          <w:color w:val="auto"/>
          <w:lang w:eastAsia="zh-CN"/>
        </w:rPr>
        <w:t>”</w:t>
      </w:r>
      <w:r>
        <w:rPr>
          <w:rFonts w:hint="default" w:ascii="Times New Roman" w:hAnsi="Times New Roman" w:eastAsia="宋体" w:cs="Times New Roman"/>
          <w:color w:val="auto"/>
        </w:rPr>
        <w:t>的生活垃圾收运处置体系，生活垃圾机械化收集率、密闭化运输率、无害化处理率达到100%。垃圾分类收集覆盖率达到100%，生活垃圾分类回收利用率达到35%。</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生活垃圾近期均送至七子山生活垃圾填埋场和苏能垃圾焚烧发电厂集中处理；远期由规划</w:t>
      </w:r>
      <w:r>
        <w:rPr>
          <w:rFonts w:hint="default" w:ascii="Times New Roman" w:hAnsi="Times New Roman" w:eastAsia="宋体" w:cs="Times New Roman"/>
          <w:color w:val="auto"/>
          <w:lang w:eastAsia="zh-CN"/>
        </w:rPr>
        <w:t>改建</w:t>
      </w:r>
      <w:r>
        <w:rPr>
          <w:rFonts w:hint="default" w:ascii="Times New Roman" w:hAnsi="Times New Roman" w:eastAsia="宋体" w:cs="Times New Roman"/>
          <w:color w:val="auto"/>
        </w:rPr>
        <w:t>的通安垃圾焚烧厂集中处理。规划共设置3座垃圾转运站，中心区、光福镇区、金庭镇区分别设置1座。</w:t>
      </w:r>
    </w:p>
    <w:p>
      <w:pPr>
        <w:spacing w:line="480" w:lineRule="exact"/>
        <w:ind w:firstLine="482" w:firstLineChars="200"/>
        <w:jc w:val="both"/>
        <w:rPr>
          <w:rFonts w:hint="default" w:ascii="Times New Roman" w:hAnsi="Times New Roman" w:eastAsia="宋体" w:cs="Times New Roman"/>
          <w:color w:val="auto"/>
        </w:rPr>
      </w:pPr>
      <w:r>
        <w:rPr>
          <w:rFonts w:hint="default" w:ascii="Times New Roman" w:hAnsi="Times New Roman" w:eastAsia="宋体" w:cs="Times New Roman"/>
          <w:b/>
          <w:bCs/>
          <w:color w:val="auto"/>
        </w:rPr>
        <w:t>现状：</w:t>
      </w:r>
      <w:r>
        <w:rPr>
          <w:rFonts w:hint="default" w:ascii="Times New Roman" w:hAnsi="Times New Roman" w:eastAsia="宋体" w:cs="Times New Roman"/>
          <w:color w:val="auto"/>
        </w:rPr>
        <w:t>建立并健全了</w:t>
      </w:r>
      <w:r>
        <w:rPr>
          <w:rFonts w:hint="eastAsia" w:cs="Times New Roman"/>
          <w:color w:val="auto"/>
          <w:lang w:eastAsia="zh-CN"/>
        </w:rPr>
        <w:t>“</w:t>
      </w:r>
      <w:r>
        <w:rPr>
          <w:rFonts w:hint="default" w:ascii="Times New Roman" w:hAnsi="Times New Roman" w:eastAsia="宋体" w:cs="Times New Roman"/>
          <w:color w:val="auto"/>
        </w:rPr>
        <w:t>村收集，镇转运，市处理</w:t>
      </w:r>
      <w:r>
        <w:rPr>
          <w:rFonts w:hint="eastAsia" w:cs="Times New Roman"/>
          <w:color w:val="auto"/>
          <w:lang w:eastAsia="zh-CN"/>
        </w:rPr>
        <w:t>”</w:t>
      </w:r>
      <w:r>
        <w:rPr>
          <w:rFonts w:hint="default" w:ascii="Times New Roman" w:hAnsi="Times New Roman" w:eastAsia="宋体" w:cs="Times New Roman"/>
          <w:color w:val="auto"/>
        </w:rPr>
        <w:t>的生活垃圾收运处置体系，生活垃圾分类设施覆盖率达到60%，城乡生活垃圾无害化处理率达到98%。</w:t>
      </w:r>
    </w:p>
    <w:p>
      <w:pPr>
        <w:spacing w:line="480" w:lineRule="exact"/>
        <w:ind w:firstLine="482" w:firstLineChars="200"/>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本项目工程范围在太湖水域范围内，不在本次规划范围内。因此，本项目建设</w:t>
      </w:r>
      <w:r>
        <w:rPr>
          <w:rFonts w:hint="default" w:ascii="Times New Roman" w:hAnsi="Times New Roman" w:eastAsia="宋体" w:cs="Times New Roman"/>
          <w:b/>
          <w:bCs/>
          <w:color w:val="auto"/>
        </w:rPr>
        <w:t>不违背《苏州太湖国家旅游度假区总体规划环境影响跟踪评价报告书》中相关要求。</w:t>
      </w:r>
    </w:p>
    <w:p>
      <w:pPr>
        <w:pStyle w:val="5"/>
        <w:tabs>
          <w:tab w:val="left" w:pos="4860"/>
          <w:tab w:val="clear" w:pos="980"/>
        </w:tabs>
        <w:spacing w:before="196" w:beforeLines="50" w:after="196" w:afterLines="50"/>
        <w:jc w:val="both"/>
        <w:rPr>
          <w:rFonts w:hint="default" w:ascii="Times New Roman" w:hAnsi="Times New Roman" w:eastAsia="宋体" w:cs="Times New Roman"/>
          <w:color w:val="auto"/>
        </w:rPr>
      </w:pPr>
      <w:bookmarkStart w:id="187" w:name="_Toc8031"/>
      <w:r>
        <w:rPr>
          <w:rFonts w:hint="default" w:ascii="Times New Roman" w:hAnsi="Times New Roman" w:eastAsia="宋体" w:cs="Times New Roman"/>
          <w:color w:val="auto"/>
        </w:rPr>
        <w:t>2.</w:t>
      </w:r>
      <w:r>
        <w:rPr>
          <w:rFonts w:hint="eastAsia" w:cs="Times New Roman"/>
          <w:color w:val="auto"/>
          <w:lang w:val="en-US" w:eastAsia="zh-CN"/>
        </w:rPr>
        <w:t>5</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《太湖风景名胜区总体规划（2001-2030年）》</w:t>
      </w:r>
      <w:bookmarkEnd w:id="187"/>
      <w:r>
        <w:rPr>
          <w:rFonts w:hint="default" w:ascii="Times New Roman" w:hAnsi="Times New Roman" w:eastAsia="宋体" w:cs="Times New Roman"/>
          <w:color w:val="auto"/>
        </w:rPr>
        <w:t xml:space="preserve"> </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江苏省住房和城乡建设厅、江苏省太湖风景名胜区管理委员会办公室组织，由江苏省城市规划设计院编制了《太湖风景名胜区总体规划（2001-2030年）》，该规划概况具体如下：</w:t>
      </w:r>
    </w:p>
    <w:p>
      <w:pPr>
        <w:numPr>
          <w:ilvl w:val="0"/>
          <w:numId w:val="11"/>
        </w:num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规划范围与面积</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规划范围包括太湖风景名胜区和保护地带两个部分，总面积约3190.00平方公里。</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太湖风景名胜区由苏州市的木渎、石湖、光福、东山、西山、甪直、同里景区；常熟市的虞山景区；无锡市的锡惠、蠡湖、梅梁湖、马山景区；宜兴市的阳羡景区共计13个景区和无锡市的泰伯庙、泰伯墓2 个独立景点所组成。总面积为902.23 平方公里，其中景区陆域面积为390.79 平方公里；太湖水域面积为511.44平方公里。</w:t>
      </w:r>
    </w:p>
    <w:p>
      <w:pPr>
        <w:spacing w:line="480" w:lineRule="exact"/>
        <w:ind w:firstLine="480" w:firstLineChars="200"/>
        <w:jc w:val="both"/>
        <w:rPr>
          <w:rFonts w:hint="default" w:ascii="Times New Roman" w:hAnsi="Times New Roman" w:eastAsia="宋体" w:cs="Times New Roman"/>
          <w:color w:val="auto"/>
          <w:sz w:val="20"/>
        </w:rPr>
      </w:pPr>
      <w:r>
        <w:rPr>
          <w:rFonts w:hint="default" w:ascii="Times New Roman" w:hAnsi="Times New Roman" w:eastAsia="宋体" w:cs="Times New Roman"/>
          <w:color w:val="auto"/>
        </w:rPr>
        <w:t>太湖风景名胜区保护地带面积约2287.77 平方公里，包括三部分：景区陆域周边的保护地带，面积为175.72平方公里；环太湖沿岸200米～500米陆域范围，面积约181.05平方公里；以及景区范围外的其他太湖水域（包括散列岛屿），面积为1931.00平方公里。</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风景名胜区范围内划定一级保护区、二级保护区、三级保护区三个层次，实施分级保护与控制。</w:t>
      </w:r>
    </w:p>
    <w:p>
      <w:pPr>
        <w:spacing w:line="480" w:lineRule="exact"/>
        <w:ind w:firstLine="482" w:firstLineChars="200"/>
        <w:jc w:val="both"/>
        <w:rPr>
          <w:rFonts w:hint="default" w:ascii="Times New Roman" w:hAnsi="Times New Roman" w:eastAsia="宋体" w:cs="Times New Roman"/>
          <w:color w:val="auto"/>
        </w:rPr>
      </w:pPr>
      <w:r>
        <w:rPr>
          <w:rFonts w:hint="default" w:ascii="Times New Roman" w:hAnsi="Times New Roman" w:eastAsia="宋体" w:cs="Times New Roman"/>
          <w:b/>
          <w:bCs/>
          <w:color w:val="auto"/>
        </w:rPr>
        <w:t>一级保护区</w:t>
      </w:r>
      <w:r>
        <w:rPr>
          <w:rFonts w:hint="default" w:ascii="Times New Roman" w:hAnsi="Times New Roman" w:eastAsia="宋体" w:cs="Times New Roman"/>
          <w:color w:val="auto"/>
        </w:rPr>
        <w:t>（核心景区—严格禁止建设范围）</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一级保护区即核心景区，包括生态保护区、自然景观保护区、史迹保护区以及一级风景游览区，规划面积146.43 平方公里。具体包括生态敏感度及景观品质高的太湖沿岸区域、全部的内湖水体及内湖滨水陆域50米范围、重要的自然山体及湖中岛屿、历史文化名镇名村的核心保护范围以及价值较高的散列文物和史迹遗址。</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一级保护区以保护资源、维护和提升景观品质为主要目标，加强对自然山形地貌、湖泊水域、动植物以及人文景观的严格保护。保护以香雪海、梅园、木荷林以及竹海茶园为代表的山林景观，以鼋头渚、龙头渚、石公山、三山岛、蠡湖等为代表的山湾水渚湖岛景观；保护以同里、甪直、明月湾、陆巷等为代表的古镇古村风貌，以退思园、寄畅园等为代表的历史名园，以灵岩寺、光福寺、灵山等为代表的宗教文化景观，以泰伯墓、言子墓、仲雍墓以及阖闾城遗址、吴王避暑宫遗址等为代表的吴越文化遗迹。</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适度开展观光游览、生态休闲活动，应严格控制游客容量，尽量避免对木荷林等生态保护区的人工干扰，加强保护物质文化遗存的真实性、景观环境的整体性。严禁违反风景名胜区规划建设宾馆、招待所、培训中心、疗养院以及与风景名胜资源保护无关的其他建筑物；已经建设的，应当按照风景名胜区规划逐步迁出；严格控制外来机动交通进入保护区。</w:t>
      </w:r>
    </w:p>
    <w:p>
      <w:pPr>
        <w:spacing w:line="480" w:lineRule="exact"/>
        <w:ind w:firstLine="482" w:firstLineChars="200"/>
        <w:jc w:val="both"/>
        <w:rPr>
          <w:rFonts w:hint="default" w:ascii="Times New Roman" w:hAnsi="Times New Roman" w:eastAsia="宋体" w:cs="Times New Roman"/>
          <w:color w:val="auto"/>
        </w:rPr>
      </w:pPr>
      <w:r>
        <w:rPr>
          <w:rFonts w:hint="default" w:ascii="Times New Roman" w:hAnsi="Times New Roman" w:eastAsia="宋体" w:cs="Times New Roman"/>
          <w:b/>
          <w:bCs/>
          <w:color w:val="auto"/>
        </w:rPr>
        <w:t>二级保护区</w:t>
      </w:r>
      <w:r>
        <w:rPr>
          <w:rFonts w:hint="default" w:ascii="Times New Roman" w:hAnsi="Times New Roman" w:eastAsia="宋体" w:cs="Times New Roman"/>
          <w:color w:val="auto"/>
        </w:rPr>
        <w:t>（严格限制建设范围）</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二级保护区包括二、三级风景游览区和风景恢复区，规划面积191.69 平方公里。</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二级保护区以风景游赏和风景恢复为主，鼓励风景游览区建设，合理扩大其规模，进一步提高风景林地、园地、耕地等空间的游赏功能，依托以同里、虞山、西山景区为代表的典型江南田园风光开展游赏活动。对已被破坏的风景资源实施景观和生态恢复，重点开展木渎、西山、阳羡等景区宕口的生态修复。严格控制旅游服务设施规模，合理引导其建筑风格。严格控制旅游服务设施规模，合理引导其建筑风格。限制与风景游赏无关的建设，控制外来机动交通进入。</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其中，针对环太湖地区生态、景观敏感的特性要求，环太湖200 米范围内不得新增与生态保护和景点建设无关的建筑物，原有建筑对景观环境有影响的，应进行景观改造或搬迁。</w:t>
      </w:r>
    </w:p>
    <w:p>
      <w:pPr>
        <w:spacing w:line="480" w:lineRule="exact"/>
        <w:ind w:firstLine="482" w:firstLineChars="200"/>
        <w:jc w:val="both"/>
        <w:rPr>
          <w:rFonts w:hint="default" w:ascii="Times New Roman" w:hAnsi="Times New Roman" w:eastAsia="宋体" w:cs="Times New Roman"/>
          <w:color w:val="auto"/>
        </w:rPr>
      </w:pPr>
      <w:r>
        <w:rPr>
          <w:rFonts w:hint="default" w:ascii="Times New Roman" w:hAnsi="Times New Roman" w:eastAsia="宋体" w:cs="Times New Roman"/>
          <w:b/>
          <w:bCs/>
          <w:color w:val="auto"/>
        </w:rPr>
        <w:t>三级保护区</w:t>
      </w:r>
      <w:r>
        <w:rPr>
          <w:rFonts w:hint="default" w:ascii="Times New Roman" w:hAnsi="Times New Roman" w:eastAsia="宋体" w:cs="Times New Roman"/>
          <w:color w:val="auto"/>
        </w:rPr>
        <w:t>（限制建设范围）</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三级保护区即发展控制区，是在一、二级保护区以外的区域，规划面积52.67 平方公里。</w:t>
      </w:r>
    </w:p>
    <w:p>
      <w:pPr>
        <w:spacing w:line="480" w:lineRule="exact"/>
        <w:ind w:firstLine="480" w:firstLineChars="200"/>
        <w:jc w:val="both"/>
        <w:rPr>
          <w:rFonts w:hint="default" w:ascii="Times New Roman" w:hAnsi="Times New Roman" w:eastAsia="宋体" w:cs="Times New Roman"/>
          <w:color w:val="auto"/>
          <w:sz w:val="20"/>
        </w:rPr>
      </w:pPr>
      <w:r>
        <w:rPr>
          <w:rFonts w:hint="default" w:ascii="Times New Roman" w:hAnsi="Times New Roman" w:eastAsia="宋体" w:cs="Times New Roman"/>
          <w:color w:val="auto"/>
        </w:rPr>
        <w:t>三级保护区内应维护当地居民正常生产生活，建设应注重与景区景观风貌相协调，严格控制建设范围、规模和建筑风貌，游览设施和居民点建设必须严格履行风景名胜区和城乡规划建设等法定的审批程序，进一步优化用地结构和空间布局。</w:t>
      </w:r>
    </w:p>
    <w:p>
      <w:pPr>
        <w:spacing w:line="480" w:lineRule="exact"/>
        <w:ind w:firstLine="482" w:firstLineChars="200"/>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本项目不违背《太湖风景名胜区总体规划（2001-2030年）》相关要求。</w:t>
      </w:r>
    </w:p>
    <w:p>
      <w:pPr>
        <w:pStyle w:val="5"/>
        <w:tabs>
          <w:tab w:val="left" w:pos="4860"/>
          <w:tab w:val="clear" w:pos="980"/>
        </w:tabs>
        <w:spacing w:before="196" w:beforeLines="50" w:after="196" w:afterLines="50"/>
        <w:jc w:val="both"/>
        <w:rPr>
          <w:rFonts w:hint="default" w:ascii="Times New Roman" w:hAnsi="Times New Roman" w:eastAsia="宋体" w:cs="Times New Roman"/>
          <w:color w:val="auto"/>
        </w:rPr>
      </w:pPr>
      <w:bookmarkStart w:id="188" w:name="_Toc21538"/>
      <w:r>
        <w:rPr>
          <w:rFonts w:hint="default" w:ascii="Times New Roman" w:hAnsi="Times New Roman" w:eastAsia="宋体" w:cs="Times New Roman"/>
          <w:color w:val="auto"/>
          <w:lang w:val="en-US" w:eastAsia="zh-CN"/>
        </w:rPr>
        <w:t>2.</w:t>
      </w:r>
      <w:r>
        <w:rPr>
          <w:rFonts w:hint="eastAsia" w:cs="Times New Roman"/>
          <w:color w:val="auto"/>
          <w:lang w:val="en-US" w:eastAsia="zh-CN"/>
        </w:rPr>
        <w:t>5</w:t>
      </w:r>
      <w:r>
        <w:rPr>
          <w:rFonts w:hint="default" w:ascii="Times New Roman" w:hAnsi="Times New Roman" w:eastAsia="宋体" w:cs="Times New Roman"/>
          <w:color w:val="auto"/>
          <w:lang w:val="en-US" w:eastAsia="zh-CN"/>
        </w:rPr>
        <w:t>.</w:t>
      </w:r>
      <w:r>
        <w:rPr>
          <w:rFonts w:hint="eastAsia" w:cs="Times New Roman"/>
          <w:color w:val="auto"/>
          <w:lang w:val="en-US" w:eastAsia="zh-CN"/>
        </w:rPr>
        <w:t>3</w:t>
      </w:r>
      <w:r>
        <w:rPr>
          <w:rFonts w:hint="default" w:ascii="Times New Roman" w:hAnsi="Times New Roman" w:eastAsia="宋体" w:cs="Times New Roman"/>
          <w:color w:val="auto"/>
        </w:rPr>
        <w:t>工程与《苏南现代化建设示范区规划》协调性分析</w:t>
      </w:r>
      <w:bookmarkEnd w:id="188"/>
    </w:p>
    <w:p>
      <w:pPr>
        <w:pStyle w:val="8"/>
        <w:snapToGrid w:val="0"/>
        <w:spacing w:line="48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《苏南现代化建设示范区规划》生态文明建设中写道</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加强生态保护与修复优化城市绿地布局，推进城市景观林、城区公共绿地、环城绿带和沿江、沿湖、沿河、沿路生态防护林建设，开展绿色村庄建设活动，建设绿色苏南。推进山体保护复绿，综合整治关停宕口，实施工矿废弃地恢复治理工程，加快镇江国家级矿山地质环境治理示范工程建设。加大滆湖、长荡湖、石臼湖、固城湖生态环境保护力度，确保河湖生态安全。科学开展太湖底泥生态清淤，建设环太湖湖滨缓冲带。加强河流生态修复，加快城市河道连通工程建设。</w:t>
      </w:r>
      <w:r>
        <w:rPr>
          <w:rFonts w:hint="eastAsia" w:cs="Times New Roman"/>
          <w:color w:val="auto"/>
          <w:sz w:val="24"/>
          <w:szCs w:val="24"/>
          <w:lang w:eastAsia="zh-CN"/>
        </w:rPr>
        <w:t>”</w:t>
      </w:r>
    </w:p>
    <w:p>
      <w:pPr>
        <w:pStyle w:val="8"/>
        <w:snapToGrid w:val="0"/>
        <w:spacing w:line="48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rPr>
        <w:t>工程为</w:t>
      </w:r>
      <w:r>
        <w:rPr>
          <w:rFonts w:hint="default" w:ascii="Times New Roman" w:hAnsi="Times New Roman" w:eastAsia="宋体" w:cs="Times New Roman"/>
          <w:color w:val="auto"/>
          <w:sz w:val="24"/>
          <w:szCs w:val="24"/>
          <w:lang w:val="en-US" w:eastAsia="zh-CN"/>
        </w:rPr>
        <w:t>生态修复工程</w:t>
      </w:r>
      <w:r>
        <w:rPr>
          <w:rFonts w:hint="default" w:ascii="Times New Roman" w:hAnsi="Times New Roman" w:eastAsia="宋体" w:cs="Times New Roman"/>
          <w:color w:val="auto"/>
          <w:sz w:val="24"/>
          <w:szCs w:val="24"/>
        </w:rPr>
        <w:t>，工程实施后，</w:t>
      </w:r>
      <w:r>
        <w:rPr>
          <w:rFonts w:hint="default" w:ascii="Times New Roman" w:hAnsi="Times New Roman" w:eastAsia="宋体" w:cs="Times New Roman"/>
          <w:color w:val="auto"/>
          <w:sz w:val="24"/>
          <w:szCs w:val="24"/>
          <w:lang w:val="en-US" w:eastAsia="zh-CN"/>
        </w:rPr>
        <w:t>可</w:t>
      </w:r>
      <w:r>
        <w:rPr>
          <w:rFonts w:hint="default" w:ascii="Times New Roman" w:hAnsi="Times New Roman" w:eastAsia="宋体" w:cs="Times New Roman"/>
          <w:color w:val="auto"/>
          <w:sz w:val="24"/>
          <w:szCs w:val="24"/>
        </w:rPr>
        <w:t>促进</w:t>
      </w:r>
      <w:r>
        <w:rPr>
          <w:rFonts w:hint="default" w:ascii="Times New Roman" w:hAnsi="Times New Roman" w:eastAsia="宋体" w:cs="Times New Roman"/>
          <w:color w:val="auto"/>
          <w:sz w:val="24"/>
          <w:szCs w:val="24"/>
          <w:lang w:val="en-US" w:eastAsia="zh-CN"/>
        </w:rPr>
        <w:t>太湖</w:t>
      </w:r>
      <w:r>
        <w:rPr>
          <w:rFonts w:hint="default" w:ascii="Times New Roman" w:hAnsi="Times New Roman" w:eastAsia="宋体" w:cs="Times New Roman"/>
          <w:color w:val="auto"/>
          <w:sz w:val="24"/>
          <w:szCs w:val="24"/>
        </w:rPr>
        <w:t>水体的流动与交换，加强近岸带生态修复，确保河湖生态安全，与</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十三五</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环保规划的水环境治理任务和工程相符合。</w:t>
      </w:r>
    </w:p>
    <w:p>
      <w:pPr>
        <w:pStyle w:val="5"/>
        <w:tabs>
          <w:tab w:val="left" w:pos="4860"/>
          <w:tab w:val="clear" w:pos="980"/>
        </w:tabs>
        <w:spacing w:before="196" w:beforeLines="50" w:after="196" w:afterLines="50"/>
        <w:jc w:val="both"/>
        <w:rPr>
          <w:rFonts w:hint="default" w:ascii="Times New Roman" w:hAnsi="Times New Roman" w:eastAsia="宋体" w:cs="Times New Roman"/>
          <w:color w:val="auto"/>
        </w:rPr>
      </w:pPr>
      <w:bookmarkStart w:id="189" w:name="_Toc19006"/>
      <w:r>
        <w:rPr>
          <w:rFonts w:hint="default" w:ascii="Times New Roman" w:hAnsi="Times New Roman" w:eastAsia="宋体" w:cs="Times New Roman"/>
          <w:color w:val="auto"/>
          <w:lang w:val="en-US" w:eastAsia="zh-CN"/>
        </w:rPr>
        <w:t>2.</w:t>
      </w:r>
      <w:r>
        <w:rPr>
          <w:rFonts w:hint="eastAsia" w:cs="Times New Roman"/>
          <w:color w:val="auto"/>
          <w:lang w:val="en-US" w:eastAsia="zh-CN"/>
        </w:rPr>
        <w:t>5</w:t>
      </w:r>
      <w:r>
        <w:rPr>
          <w:rFonts w:hint="default" w:ascii="Times New Roman" w:hAnsi="Times New Roman" w:eastAsia="宋体" w:cs="Times New Roman"/>
          <w:color w:val="auto"/>
          <w:lang w:val="en-US" w:eastAsia="zh-CN"/>
        </w:rPr>
        <w:t>.4工程与水利改革发展</w:t>
      </w:r>
      <w:r>
        <w:rPr>
          <w:rFonts w:hint="eastAsia" w:cs="Times New Roman"/>
          <w:color w:val="auto"/>
          <w:lang w:val="en-US" w:eastAsia="zh-CN"/>
        </w:rPr>
        <w:t>“</w:t>
      </w:r>
      <w:r>
        <w:rPr>
          <w:rFonts w:hint="default" w:ascii="Times New Roman" w:hAnsi="Times New Roman" w:eastAsia="宋体" w:cs="Times New Roman"/>
          <w:color w:val="auto"/>
          <w:lang w:val="en-US" w:eastAsia="zh-CN"/>
        </w:rPr>
        <w:t>十三五</w:t>
      </w:r>
      <w:r>
        <w:rPr>
          <w:rFonts w:hint="eastAsia" w:cs="Times New Roman"/>
          <w:color w:val="auto"/>
          <w:lang w:val="en-US" w:eastAsia="zh-CN"/>
        </w:rPr>
        <w:t>”</w:t>
      </w:r>
      <w:r>
        <w:rPr>
          <w:rFonts w:hint="default" w:ascii="Times New Roman" w:hAnsi="Times New Roman" w:eastAsia="宋体" w:cs="Times New Roman"/>
          <w:color w:val="auto"/>
          <w:lang w:val="en-US" w:eastAsia="zh-CN"/>
        </w:rPr>
        <w:t>规划协调性分析</w:t>
      </w:r>
      <w:bookmarkEnd w:id="189"/>
    </w:p>
    <w:p>
      <w:pPr>
        <w:pStyle w:val="8"/>
        <w:snapToGrid w:val="0"/>
        <w:spacing w:line="48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《水利改革发展</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十三五</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规划》（公开稿）规划要求：</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提高城市排水防涝和防洪能力，保障城市排水出路通畅。保护山、水、林、田、湖等自然生态要素的完整性，结合自然生态空间格局，构建和完善城市泄洪排水通道。加强对城市坑塘、河湖、湿地等水体自然形态的保护和恢复，禁止填湖造地、截弯取直、过度渠化硬化河道等侵占河湖、破坏水生态的行为。加强河道系统整治，因势利导改造渠化河道，恢复和保持河湖水系的自然连通，构建城市良性水循环系统，保障城市排水出路。</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加强重点河湖水生态修复与治理:严格河湖生态空间管控，划定河湖管理和保护范围，加强河湖水域岸线保护，严格限制占用水域，系统整治江河流域，有序推动河湖休养生息，保护和恢复河湖生态系统及功能。通过退耕还湖还湿、退养还滩、封育保护、水源涵养等措施，强化重要生态功能区、江河源头区、自然保护区生态保护。以京津冀</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六河五湖</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 xml:space="preserve"> （永定河、滦河、北运河、大清河、潮白河、南运河和白洋淀、衡水湖、七里海、南大港、北大港）、西北内陆河、重要湿地等为重点，综合运用强化水资源统一配置与管理、河道治理、清淤疏浚、生物控制、自然修复、截污治污等措施，推进生态敏感区、生态脆弱区、重要生境和生态功能受损河湖的生态修复。因势利导改造渠化河道，重塑健康自然的弯曲河岸线，营造自然深潭浅滩和泛洪漫滩，为生物提供多样性生境，加强水生生物资源养护。加强农村河道堰塘整治，改善农村人居环境和河流生态。尊重自然规律和经济规律，在保护生态的前提下，以自然河湖水系、调蓄工程和引排工程为依托，科学规划、合理布局，因地制宜实施河湖水系连通工程。</w:t>
      </w:r>
      <w:r>
        <w:rPr>
          <w:rFonts w:hint="eastAsia" w:cs="Times New Roman"/>
          <w:color w:val="auto"/>
          <w:sz w:val="24"/>
          <w:szCs w:val="24"/>
          <w:lang w:eastAsia="zh-CN"/>
        </w:rPr>
        <w:t>”</w:t>
      </w:r>
    </w:p>
    <w:p>
      <w:pPr>
        <w:pStyle w:val="8"/>
        <w:snapToGrid w:val="0"/>
        <w:spacing w:line="48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rPr>
        <w:t>工程为</w:t>
      </w:r>
      <w:r>
        <w:rPr>
          <w:rFonts w:hint="default" w:ascii="Times New Roman" w:hAnsi="Times New Roman" w:eastAsia="宋体" w:cs="Times New Roman"/>
          <w:color w:val="auto"/>
          <w:sz w:val="24"/>
          <w:szCs w:val="24"/>
          <w:lang w:val="en-US" w:eastAsia="zh-CN"/>
        </w:rPr>
        <w:t>生态修复工程</w:t>
      </w:r>
      <w:r>
        <w:rPr>
          <w:rFonts w:hint="default" w:ascii="Times New Roman" w:hAnsi="Times New Roman" w:eastAsia="宋体" w:cs="Times New Roman"/>
          <w:color w:val="auto"/>
          <w:sz w:val="24"/>
          <w:szCs w:val="24"/>
        </w:rPr>
        <w:t>，工程实施后，</w:t>
      </w:r>
      <w:r>
        <w:rPr>
          <w:rFonts w:hint="default" w:ascii="Times New Roman" w:hAnsi="Times New Roman" w:eastAsia="宋体" w:cs="Times New Roman"/>
          <w:color w:val="auto"/>
          <w:sz w:val="24"/>
          <w:szCs w:val="24"/>
          <w:lang w:val="en-US" w:eastAsia="zh-CN"/>
        </w:rPr>
        <w:t>可</w:t>
      </w:r>
      <w:r>
        <w:rPr>
          <w:rFonts w:hint="default" w:ascii="Times New Roman" w:hAnsi="Times New Roman" w:eastAsia="宋体" w:cs="Times New Roman"/>
          <w:color w:val="auto"/>
          <w:sz w:val="24"/>
          <w:szCs w:val="24"/>
        </w:rPr>
        <w:t>促进太湖水体的流动与交换，加强近岸带生态修复，保证水源地水量、水质安全，加强太湖水域岸线保护，与《水利改革发展</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十三五</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规划》（公开稿）规划内容相符合。</w:t>
      </w:r>
    </w:p>
    <w:p>
      <w:pPr>
        <w:pStyle w:val="5"/>
        <w:tabs>
          <w:tab w:val="left" w:pos="4860"/>
          <w:tab w:val="clear" w:pos="980"/>
        </w:tabs>
        <w:spacing w:before="196" w:beforeLines="50" w:after="196" w:afterLines="50"/>
        <w:jc w:val="both"/>
        <w:rPr>
          <w:rFonts w:hint="default" w:ascii="Times New Roman" w:hAnsi="Times New Roman" w:eastAsia="宋体" w:cs="Times New Roman"/>
          <w:color w:val="auto"/>
        </w:rPr>
      </w:pPr>
      <w:bookmarkStart w:id="190" w:name="_Toc7023"/>
      <w:r>
        <w:rPr>
          <w:rFonts w:hint="default" w:ascii="Times New Roman" w:hAnsi="Times New Roman" w:eastAsia="宋体" w:cs="Times New Roman"/>
          <w:color w:val="auto"/>
          <w:lang w:val="en-US" w:eastAsia="zh-CN"/>
        </w:rPr>
        <w:t>2.</w:t>
      </w:r>
      <w:r>
        <w:rPr>
          <w:rFonts w:hint="eastAsia" w:cs="Times New Roman"/>
          <w:color w:val="auto"/>
          <w:lang w:val="en-US" w:eastAsia="zh-CN"/>
        </w:rPr>
        <w:t>5</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工程与江苏省</w:t>
      </w:r>
      <w:r>
        <w:rPr>
          <w:rFonts w:hint="eastAsia" w:cs="Times New Roman"/>
          <w:color w:val="auto"/>
          <w:lang w:eastAsia="zh-CN"/>
        </w:rPr>
        <w:t>“</w:t>
      </w:r>
      <w:r>
        <w:rPr>
          <w:rFonts w:hint="default" w:ascii="Times New Roman" w:hAnsi="Times New Roman" w:eastAsia="宋体" w:cs="Times New Roman"/>
          <w:color w:val="auto"/>
        </w:rPr>
        <w:t>十三五</w:t>
      </w:r>
      <w:r>
        <w:rPr>
          <w:rFonts w:hint="eastAsia" w:cs="Times New Roman"/>
          <w:color w:val="auto"/>
          <w:lang w:eastAsia="zh-CN"/>
        </w:rPr>
        <w:t>”</w:t>
      </w:r>
      <w:r>
        <w:rPr>
          <w:rFonts w:hint="default" w:ascii="Times New Roman" w:hAnsi="Times New Roman" w:eastAsia="宋体" w:cs="Times New Roman"/>
          <w:color w:val="auto"/>
        </w:rPr>
        <w:t>水利发展规划协调性分析</w:t>
      </w:r>
      <w:bookmarkEnd w:id="190"/>
    </w:p>
    <w:p>
      <w:pPr>
        <w:pStyle w:val="8"/>
        <w:snapToGrid w:val="0"/>
        <w:spacing w:line="480" w:lineRule="exact"/>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《江苏省</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十三五</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水利发展规划》（苏政办发〔2016〕139号）发展目标提出：</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防洪减灾。太湖流域巩固50年一遇防洪标准。除涝标准，太湖流域片，武澄锡虞、阳澄淀泖、浦南地区达到20年一遇、湖西地区达到10~20年一遇。</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水生态保护。集中式饮用水水源地达标建设全面完成，水功能区达标建设全面实施，重要河湖清障、退圩还湖与生态修复大力推进。</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主要任务提到：</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水生态环境工程建设。按照生态文明建设要求，根据不同区域主体功能定位和生态红线保护要求，立足山水林田湖生命共同体，加强流域水系为单元的水资源保护，实施《水污染防治行动计划》，推进河湖水环境综合治理与水生态保护修复，为城乡居民提供优质水源和良好生态环境，积极创建各类水生态文明建设载体。湖泊退圩还湖工程。大力实施湖泊退圩退湖工程建设，恢复湖泊调蓄能力，重点推进洪泽湖、射阳湖等湖泊退圩还湖工程，继续实施滆湖、白马湖、长荡湖、固城湖、里下河湖泊湖荡等退圩还湖工程。</w:t>
      </w:r>
      <w:r>
        <w:rPr>
          <w:rFonts w:hint="eastAsia" w:cs="Times New Roman"/>
          <w:color w:val="auto"/>
          <w:sz w:val="24"/>
          <w:szCs w:val="24"/>
          <w:lang w:val="en-US" w:eastAsia="zh-CN"/>
        </w:rPr>
        <w:t>”</w:t>
      </w:r>
    </w:p>
    <w:p>
      <w:pPr>
        <w:pStyle w:val="8"/>
        <w:snapToGrid w:val="0"/>
        <w:spacing w:line="480" w:lineRule="exact"/>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本项目为《江苏省</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十三五</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水利发展规划》发展目标以及主要任务中提到大力推进的生态修复工程，项目实施后可促进太湖水体的流动与交换，加强近岸带生态修复，保证水源地水量、水质安全，推进太湖水生态的保护修复，与《江苏省</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十三五</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水利发展规划》规划内容相符合。</w:t>
      </w:r>
    </w:p>
    <w:p>
      <w:pPr>
        <w:pStyle w:val="5"/>
        <w:tabs>
          <w:tab w:val="left" w:pos="4860"/>
          <w:tab w:val="clear" w:pos="980"/>
        </w:tabs>
        <w:spacing w:before="196" w:beforeLines="50" w:after="196" w:afterLines="50"/>
        <w:jc w:val="both"/>
        <w:rPr>
          <w:rFonts w:hint="default" w:ascii="Times New Roman" w:hAnsi="Times New Roman" w:eastAsia="宋体" w:cs="Times New Roman"/>
          <w:color w:val="auto"/>
        </w:rPr>
      </w:pPr>
      <w:bookmarkStart w:id="191" w:name="_Toc31555"/>
      <w:r>
        <w:rPr>
          <w:rFonts w:hint="default" w:ascii="Times New Roman" w:hAnsi="Times New Roman" w:eastAsia="宋体" w:cs="Times New Roman"/>
          <w:color w:val="auto"/>
        </w:rPr>
        <w:t>2.</w:t>
      </w:r>
      <w:r>
        <w:rPr>
          <w:rFonts w:hint="eastAsia" w:cs="Times New Roman"/>
          <w:color w:val="auto"/>
          <w:lang w:val="en-US" w:eastAsia="zh-CN"/>
        </w:rPr>
        <w:t>5</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 xml:space="preserve"> 相关政策及符合性分析</w:t>
      </w:r>
      <w:bookmarkEnd w:id="191"/>
    </w:p>
    <w:bookmarkEnd w:id="152"/>
    <w:bookmarkEnd w:id="153"/>
    <w:bookmarkEnd w:id="154"/>
    <w:bookmarkEnd w:id="155"/>
    <w:bookmarkEnd w:id="156"/>
    <w:bookmarkEnd w:id="157"/>
    <w:bookmarkEnd w:id="158"/>
    <w:p>
      <w:pPr>
        <w:pStyle w:val="8"/>
        <w:snapToGrid w:val="0"/>
        <w:spacing w:line="480" w:lineRule="exact"/>
        <w:ind w:firstLine="482" w:firstLineChars="200"/>
        <w:jc w:val="both"/>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1、与《中华人民共和国水污染防治法》（2017修订）相符性</w:t>
      </w:r>
    </w:p>
    <w:p>
      <w:pPr>
        <w:pStyle w:val="8"/>
        <w:snapToGrid w:val="0"/>
        <w:spacing w:line="480" w:lineRule="exact"/>
        <w:ind w:firstLine="480" w:firstLineChars="200"/>
        <w:jc w:val="both"/>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《水污染防治法》规定</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第六十四条在饮用水水源保护区内，禁止设置排污口</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第六十五条禁止在饮用水水源一级保护区内新建、改建、扩建与供水设施和保护水源无关的建设项目；已建成的与供水设施和保护水源无关的建设项目，由县级以上人民政府责令拆除或者关闭。禁止在饮用水水源一级保护区内从事网箱养殖、旅游、游泳、垂钓或者其他可能污染饮用水水体的活动。</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第六十六条禁止在饮用水水源二级保护区内新建、改建、扩建排放污染物的建设项目；已建成的排放污染物的建设项目，由县级以上人民政府责令拆除或者关闭。在饮用水水源二级保护区内从事网箱养殖、旅游等活动的，应当按照规定采取措施，防止污染饮用水水体。</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 xml:space="preserve"> </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第六十七条 禁止在饮用水水源准保护区内新建、扩建对水体污染严重的建设项目；改建建设项目，不得增加排污量。</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第六十八条 县级以上地方人民政府应当根据保护饮用水水源的实际需要，在准保护区内采取工程措施或者建造湿地、水源涵养林等生态保护措施，防止水污染物直接排入饮用水水体，确保饮用水安全。第七十五条在风景名胜区水体、重要渔业水体和其他具有特殊经济文化价值的水体的保护区内，不得新建排污口。在保护区附近新建排污口，应当保证保护区水体不受污染。</w:t>
      </w:r>
      <w:r>
        <w:rPr>
          <w:rFonts w:hint="eastAsia" w:cs="Times New Roman"/>
          <w:color w:val="auto"/>
          <w:sz w:val="24"/>
          <w:szCs w:val="24"/>
          <w:lang w:eastAsia="zh-CN"/>
        </w:rPr>
        <w:t>”</w:t>
      </w:r>
    </w:p>
    <w:p>
      <w:pPr>
        <w:pStyle w:val="8"/>
        <w:snapToGrid w:val="0"/>
        <w:spacing w:line="48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工程属于生态工程，不属于《水污染防治法》禁止的与保护水源无关的项目，也不从事《水污染防治法》禁止的可能污染饮用水水体的活动，也不属于对水体污染严重的项目。本项目不新建排污口，采取合理措施保障饮用水安全。与《水污染防治法》的规定相符合。</w:t>
      </w:r>
    </w:p>
    <w:p>
      <w:pPr>
        <w:pStyle w:val="8"/>
        <w:snapToGrid w:val="0"/>
        <w:spacing w:line="480" w:lineRule="exact"/>
        <w:ind w:firstLine="482" w:firstLineChars="200"/>
        <w:jc w:val="both"/>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2、工程与水污染防治行动计划（水十条）相符性</w:t>
      </w:r>
    </w:p>
    <w:p>
      <w:pPr>
        <w:pStyle w:val="8"/>
        <w:snapToGrid w:val="0"/>
        <w:spacing w:line="480" w:lineRule="exact"/>
        <w:ind w:firstLine="480" w:firstLineChars="200"/>
        <w:jc w:val="both"/>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《水污染防治行动计划》（国发〔2015〕17号）（</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水十条</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）提出：</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八、全力保障水生态环境安全。保障饮用水水源安全。从水源到水龙头全过程监管饮用水安全。地方各级人民政府及供水单位应定期监测、检测和评估本行政区域内饮用水水源、供水厂出水和用户水龙头水质等饮水安全状况。强化饮用水水源环境保护。开展饮用水水源规范化建设，依法清理饮用水水源保护区内违法建筑和排污口。</w:t>
      </w:r>
      <w:r>
        <w:rPr>
          <w:rFonts w:hint="eastAsia" w:cs="Times New Roman"/>
          <w:color w:val="auto"/>
          <w:sz w:val="24"/>
          <w:szCs w:val="24"/>
          <w:lang w:eastAsia="zh-CN"/>
        </w:rPr>
        <w:t>”</w:t>
      </w:r>
    </w:p>
    <w:p>
      <w:pPr>
        <w:pStyle w:val="8"/>
        <w:snapToGrid w:val="0"/>
        <w:spacing w:line="48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本项目为</w:t>
      </w:r>
      <w:r>
        <w:rPr>
          <w:rFonts w:hint="default" w:ascii="Times New Roman" w:hAnsi="Times New Roman" w:eastAsia="宋体" w:cs="Times New Roman"/>
          <w:color w:val="auto"/>
          <w:sz w:val="24"/>
          <w:szCs w:val="24"/>
          <w:lang w:val="en-US" w:eastAsia="zh-CN"/>
        </w:rPr>
        <w:t>生态修复</w:t>
      </w:r>
      <w:r>
        <w:rPr>
          <w:rFonts w:hint="default" w:ascii="Times New Roman" w:hAnsi="Times New Roman" w:eastAsia="宋体" w:cs="Times New Roman"/>
          <w:color w:val="auto"/>
          <w:sz w:val="24"/>
          <w:szCs w:val="24"/>
        </w:rPr>
        <w:t>工程项目，项目位于太湖</w:t>
      </w:r>
      <w:r>
        <w:rPr>
          <w:rFonts w:hint="default" w:ascii="Times New Roman" w:hAnsi="Times New Roman" w:eastAsia="宋体" w:cs="Times New Roman"/>
          <w:color w:val="auto"/>
          <w:sz w:val="24"/>
          <w:szCs w:val="24"/>
          <w:lang w:val="en-US" w:eastAsia="zh-CN"/>
        </w:rPr>
        <w:t>渔洋山</w:t>
      </w:r>
      <w:r>
        <w:rPr>
          <w:rFonts w:hint="default" w:ascii="Times New Roman" w:hAnsi="Times New Roman" w:eastAsia="宋体" w:cs="Times New Roman"/>
          <w:color w:val="auto"/>
          <w:sz w:val="24"/>
          <w:szCs w:val="24"/>
        </w:rPr>
        <w:t>饮用水水源保护区范围内，项目实施后能将逐步改善太湖水质，推进太湖水生态的保护修复，保证水源地水量、水质安全，从源头保障饮用水的水源安全，与《水污染防治行动计划》内容相符合。</w:t>
      </w:r>
    </w:p>
    <w:p>
      <w:pPr>
        <w:pStyle w:val="8"/>
        <w:snapToGrid w:val="0"/>
        <w:spacing w:line="480" w:lineRule="exact"/>
        <w:ind w:firstLine="482" w:firstLineChars="200"/>
        <w:jc w:val="both"/>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3、工程与《江苏省水污染防治工作方案》相符性</w:t>
      </w:r>
    </w:p>
    <w:p>
      <w:pPr>
        <w:pStyle w:val="8"/>
        <w:snapToGrid w:val="0"/>
        <w:spacing w:line="48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《江苏省水污染防治工作方案》(苏政发〔2015〕175号)主要指标中提出：</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到2020年，地表水国控断面水质优良（达到或优于Ⅲ类）比例达到70.2%，县级以上集中式饮用水水源水质达到或优于Ⅲ类比例总体高于98%，到2030年，地表水水质优良比例达到75%以上，县级以上集中式饮用水水源水质达到或优于Ⅲ类比例达到100%。</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三十六）切实保障饮用水水源安全。强化饮用水水源保护。开展饮用水水源规范化建设，定期开展县级以上集中式饮用水水源地环境状况调查评估，深入实施饮用水水源地专项整治，全面清理保护区内的违法设施和排污口，加强有毒有害物质管控（省环保厅负责）。按照</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水量保证、水质达标、应急保障</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的要求，加强饮用水水源地达标建设。</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 xml:space="preserve"> 江苏省县级以上集中式饮用水水源清单中太湖</w:t>
      </w:r>
      <w:r>
        <w:rPr>
          <w:rFonts w:hint="default" w:ascii="Times New Roman" w:hAnsi="Times New Roman" w:eastAsia="宋体" w:cs="Times New Roman"/>
          <w:color w:val="auto"/>
          <w:sz w:val="24"/>
          <w:szCs w:val="24"/>
          <w:lang w:val="en-US" w:eastAsia="zh-CN"/>
        </w:rPr>
        <w:t>渔洋山</w:t>
      </w:r>
      <w:r>
        <w:rPr>
          <w:rFonts w:hint="default" w:ascii="Times New Roman" w:hAnsi="Times New Roman" w:eastAsia="宋体" w:cs="Times New Roman"/>
          <w:color w:val="auto"/>
          <w:sz w:val="24"/>
          <w:szCs w:val="24"/>
        </w:rPr>
        <w:t>水源地水质目标为Ⅱ类。</w:t>
      </w:r>
    </w:p>
    <w:p>
      <w:pPr>
        <w:pStyle w:val="8"/>
        <w:snapToGrid w:val="0"/>
        <w:spacing w:line="48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本项目涉及太湖</w:t>
      </w:r>
      <w:r>
        <w:rPr>
          <w:rFonts w:hint="default" w:ascii="Times New Roman" w:hAnsi="Times New Roman" w:eastAsia="宋体" w:cs="Times New Roman"/>
          <w:color w:val="auto"/>
          <w:sz w:val="24"/>
          <w:szCs w:val="24"/>
          <w:lang w:val="en-US" w:eastAsia="zh-CN"/>
        </w:rPr>
        <w:t>渔洋山</w:t>
      </w:r>
      <w:r>
        <w:rPr>
          <w:rFonts w:hint="default" w:ascii="Times New Roman" w:hAnsi="Times New Roman" w:eastAsia="宋体" w:cs="Times New Roman"/>
          <w:color w:val="auto"/>
          <w:sz w:val="24"/>
          <w:szCs w:val="24"/>
        </w:rPr>
        <w:t>饮用水水源地，工程位于太湖</w:t>
      </w:r>
      <w:r>
        <w:rPr>
          <w:rFonts w:hint="default" w:ascii="Times New Roman" w:hAnsi="Times New Roman" w:eastAsia="宋体" w:cs="Times New Roman"/>
          <w:color w:val="auto"/>
          <w:sz w:val="24"/>
          <w:szCs w:val="24"/>
          <w:lang w:val="en-US" w:eastAsia="zh-CN"/>
        </w:rPr>
        <w:t>渔洋山</w:t>
      </w:r>
      <w:r>
        <w:rPr>
          <w:rFonts w:hint="default" w:ascii="Times New Roman" w:hAnsi="Times New Roman" w:eastAsia="宋体" w:cs="Times New Roman"/>
          <w:color w:val="auto"/>
          <w:sz w:val="24"/>
          <w:szCs w:val="24"/>
        </w:rPr>
        <w:t>饮用水水源地管控区范围内。工程实施后，可以促进水体的流动与交换，保障太湖饮用水取水口的水质以及取水口的安全。与《江苏省水污染防治工作方案》相符合。</w:t>
      </w:r>
    </w:p>
    <w:p>
      <w:pPr>
        <w:pStyle w:val="8"/>
        <w:snapToGrid w:val="0"/>
        <w:spacing w:line="480" w:lineRule="exact"/>
        <w:ind w:firstLine="482"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rPr>
        <w:t>与《饮用水水源保护区污染防治管理规定》相符性</w:t>
      </w:r>
    </w:p>
    <w:p>
      <w:pPr>
        <w:pStyle w:val="8"/>
        <w:snapToGrid w:val="0"/>
        <w:spacing w:line="48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本项目与《饮用水水源保护区污染防治管理规定》（2010修改）符合性分析见下表。</w:t>
      </w:r>
    </w:p>
    <w:p>
      <w:pPr>
        <w:snapToGrid w:val="0"/>
        <w:spacing w:line="480" w:lineRule="exact"/>
        <w:ind w:firstLine="482" w:firstLineChars="20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表2.</w:t>
      </w:r>
      <w:r>
        <w:rPr>
          <w:rFonts w:hint="eastAsia" w:cs="Times New Roman"/>
          <w:b/>
          <w:bCs/>
          <w:color w:val="auto"/>
          <w:lang w:val="en-US" w:eastAsia="zh-CN"/>
        </w:rPr>
        <w:t>5</w:t>
      </w:r>
      <w:r>
        <w:rPr>
          <w:rFonts w:hint="default" w:ascii="Times New Roman" w:hAnsi="Times New Roman" w:eastAsia="宋体" w:cs="Times New Roman"/>
          <w:b/>
          <w:bCs/>
          <w:color w:val="auto"/>
          <w:lang w:val="en-US" w:eastAsia="zh-CN"/>
        </w:rPr>
        <w:t>-1 与《饮用水水源保护区污染防治管理规定》（2010修改）相符性</w:t>
      </w:r>
    </w:p>
    <w:tbl>
      <w:tblPr>
        <w:tblStyle w:val="5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2"/>
        <w:gridCol w:w="850"/>
        <w:gridCol w:w="950"/>
        <w:gridCol w:w="2513"/>
        <w:gridCol w:w="2775"/>
        <w:gridCol w:w="9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2" w:type="dxa"/>
            <w:tcBorders>
              <w:tl2br w:val="nil"/>
              <w:tr2bl w:val="nil"/>
            </w:tcBorders>
            <w:vAlign w:val="center"/>
          </w:tcPr>
          <w:p>
            <w:pPr>
              <w:pStyle w:val="421"/>
              <w:widowControl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文件名称</w:t>
            </w:r>
          </w:p>
        </w:tc>
        <w:tc>
          <w:tcPr>
            <w:tcW w:w="4313" w:type="dxa"/>
            <w:gridSpan w:val="3"/>
            <w:tcBorders>
              <w:tl2br w:val="nil"/>
              <w:tr2bl w:val="nil"/>
            </w:tcBorders>
            <w:vAlign w:val="center"/>
          </w:tcPr>
          <w:p>
            <w:pPr>
              <w:pStyle w:val="421"/>
              <w:widowControl w:val="0"/>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内容要求</w:t>
            </w:r>
          </w:p>
        </w:tc>
        <w:tc>
          <w:tcPr>
            <w:tcW w:w="2775" w:type="dxa"/>
            <w:tcBorders>
              <w:tl2br w:val="nil"/>
              <w:tr2bl w:val="nil"/>
            </w:tcBorders>
            <w:vAlign w:val="center"/>
          </w:tcPr>
          <w:p>
            <w:pPr>
              <w:pStyle w:val="421"/>
              <w:widowControl w:val="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本项目情况</w:t>
            </w:r>
          </w:p>
        </w:tc>
        <w:tc>
          <w:tcPr>
            <w:tcW w:w="956" w:type="dxa"/>
            <w:tcBorders>
              <w:tl2br w:val="nil"/>
              <w:tr2bl w:val="nil"/>
            </w:tcBorders>
            <w:vAlign w:val="center"/>
          </w:tcPr>
          <w:p>
            <w:pPr>
              <w:pStyle w:val="421"/>
              <w:widowControl w:val="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812" w:type="dxa"/>
            <w:vMerge w:val="restart"/>
            <w:tcBorders>
              <w:tl2br w:val="nil"/>
              <w:tr2bl w:val="nil"/>
            </w:tcBorders>
            <w:vAlign w:val="center"/>
          </w:tcPr>
          <w:p>
            <w:pPr>
              <w:pStyle w:val="421"/>
              <w:widowControl w:val="0"/>
              <w:rPr>
                <w:rFonts w:hint="default" w:ascii="Times New Roman" w:hAnsi="Times New Roman" w:eastAsia="宋体" w:cs="Times New Roman"/>
                <w:color w:val="auto"/>
              </w:rPr>
            </w:pPr>
            <w:r>
              <w:rPr>
                <w:rFonts w:hint="default" w:ascii="Times New Roman" w:hAnsi="Times New Roman" w:eastAsia="宋体" w:cs="Times New Roman"/>
                <w:color w:val="auto"/>
              </w:rPr>
              <w:t>《饮用水水源保护区污染防治管理规定》（2010修改）</w:t>
            </w:r>
          </w:p>
        </w:tc>
        <w:tc>
          <w:tcPr>
            <w:tcW w:w="850" w:type="dxa"/>
            <w:vMerge w:val="restart"/>
            <w:tcBorders>
              <w:tl2br w:val="nil"/>
              <w:tr2bl w:val="nil"/>
            </w:tcBorders>
            <w:vAlign w:val="center"/>
          </w:tcPr>
          <w:p>
            <w:pPr>
              <w:pStyle w:val="421"/>
              <w:widowControl w:val="0"/>
              <w:rPr>
                <w:rFonts w:hint="default" w:ascii="Times New Roman" w:hAnsi="Times New Roman" w:eastAsia="宋体" w:cs="Times New Roman"/>
                <w:color w:val="auto"/>
              </w:rPr>
            </w:pPr>
            <w:r>
              <w:rPr>
                <w:rFonts w:hint="default" w:ascii="Times New Roman" w:hAnsi="Times New Roman" w:eastAsia="宋体" w:cs="Times New Roman"/>
                <w:color w:val="auto"/>
              </w:rPr>
              <w:t>第二章 饮用水地表水水源保护区的划分和防护中第十一条</w:t>
            </w:r>
          </w:p>
        </w:tc>
        <w:tc>
          <w:tcPr>
            <w:tcW w:w="3463" w:type="dxa"/>
            <w:gridSpan w:val="2"/>
            <w:tcBorders>
              <w:tl2br w:val="nil"/>
              <w:tr2bl w:val="nil"/>
            </w:tcBorders>
            <w:vAlign w:val="center"/>
          </w:tcPr>
          <w:p>
            <w:pPr>
              <w:pStyle w:val="421"/>
              <w:widowControl w:val="0"/>
              <w:jc w:val="left"/>
              <w:rPr>
                <w:rFonts w:hint="default" w:ascii="Times New Roman" w:hAnsi="Times New Roman" w:eastAsia="宋体" w:cs="Times New Roman"/>
                <w:color w:val="auto"/>
              </w:rPr>
            </w:pPr>
            <w:r>
              <w:rPr>
                <w:rFonts w:hint="default" w:ascii="Times New Roman" w:hAnsi="Times New Roman" w:eastAsia="宋体" w:cs="Times New Roman"/>
                <w:color w:val="auto"/>
              </w:rPr>
              <w:t>一、禁止一切破坏水环境生态平衡的活动以及破坏水源林、护岸林、与水源保护相关植被的活动</w:t>
            </w:r>
          </w:p>
        </w:tc>
        <w:tc>
          <w:tcPr>
            <w:tcW w:w="2775"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本项目工程</w:t>
            </w:r>
            <w:r>
              <w:rPr>
                <w:rFonts w:hint="default" w:ascii="Times New Roman" w:hAnsi="Times New Roman" w:eastAsia="宋体" w:cs="Times New Roman"/>
                <w:color w:val="auto"/>
                <w:lang w:val="en-US" w:eastAsia="zh-CN"/>
              </w:rPr>
              <w:t>施工</w:t>
            </w:r>
            <w:r>
              <w:rPr>
                <w:rFonts w:hint="eastAsia" w:cs="Times New Roman"/>
                <w:color w:val="auto"/>
                <w:lang w:val="en-US" w:eastAsia="zh-CN"/>
              </w:rPr>
              <w:t>时</w:t>
            </w:r>
            <w:r>
              <w:rPr>
                <w:rFonts w:hint="default" w:ascii="Times New Roman" w:hAnsi="Times New Roman" w:eastAsia="宋体" w:cs="Times New Roman"/>
                <w:color w:val="auto"/>
              </w:rPr>
              <w:t>会对太湖</w:t>
            </w:r>
            <w:r>
              <w:rPr>
                <w:rFonts w:hint="default" w:ascii="Times New Roman" w:hAnsi="Times New Roman" w:eastAsia="宋体" w:cs="Times New Roman"/>
                <w:color w:val="auto"/>
                <w:lang w:val="en-US" w:eastAsia="zh-CN"/>
              </w:rPr>
              <w:t>渔洋山</w:t>
            </w:r>
            <w:r>
              <w:rPr>
                <w:rFonts w:hint="default" w:ascii="Times New Roman" w:hAnsi="Times New Roman" w:eastAsia="宋体" w:cs="Times New Roman"/>
                <w:color w:val="auto"/>
              </w:rPr>
              <w:t>饮用水水源地水质和水环境及生态平衡造成一定的影响，这些影响是暂时的，随着施工的结束影响也随之消失。</w:t>
            </w:r>
            <w:r>
              <w:rPr>
                <w:rFonts w:hint="eastAsia" w:cs="Times New Roman"/>
                <w:color w:val="auto"/>
                <w:lang w:val="en-US" w:eastAsia="zh-CN"/>
              </w:rPr>
              <w:t>项目</w:t>
            </w:r>
            <w:r>
              <w:rPr>
                <w:rFonts w:hint="default" w:ascii="Times New Roman" w:hAnsi="Times New Roman" w:eastAsia="宋体" w:cs="Times New Roman"/>
                <w:color w:val="auto"/>
                <w:lang w:val="en-US" w:eastAsia="zh-CN"/>
              </w:rPr>
              <w:t>生态修复有益于维护区域生态安全，提高水体自净能力，有利于改善水环境质量和水环境生态系统性能，对水源地有保护作用</w:t>
            </w:r>
            <w:r>
              <w:rPr>
                <w:rFonts w:hint="eastAsia" w:cs="Times New Roman"/>
                <w:color w:val="auto"/>
                <w:lang w:val="en-US" w:eastAsia="zh-CN"/>
              </w:rPr>
              <w:t>。</w:t>
            </w:r>
          </w:p>
        </w:tc>
        <w:tc>
          <w:tcPr>
            <w:tcW w:w="956" w:type="dxa"/>
            <w:tcBorders>
              <w:tl2br w:val="nil"/>
              <w:tr2bl w:val="nil"/>
            </w:tcBorders>
            <w:vAlign w:val="center"/>
          </w:tcPr>
          <w:p>
            <w:pPr>
              <w:pStyle w:val="421"/>
              <w:widowControl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812"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850"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3463" w:type="dxa"/>
            <w:gridSpan w:val="2"/>
            <w:tcBorders>
              <w:tl2br w:val="nil"/>
              <w:tr2bl w:val="nil"/>
            </w:tcBorders>
            <w:vAlign w:val="center"/>
          </w:tcPr>
          <w:p>
            <w:pPr>
              <w:pStyle w:val="421"/>
              <w:widowControl w:val="0"/>
              <w:jc w:val="left"/>
              <w:rPr>
                <w:rFonts w:hint="default" w:ascii="Times New Roman" w:hAnsi="Times New Roman" w:eastAsia="宋体" w:cs="Times New Roman"/>
                <w:color w:val="auto"/>
              </w:rPr>
            </w:pPr>
            <w:r>
              <w:rPr>
                <w:rFonts w:hint="default" w:ascii="Times New Roman" w:hAnsi="Times New Roman" w:eastAsia="宋体" w:cs="Times New Roman"/>
                <w:color w:val="auto"/>
              </w:rPr>
              <w:t>二、禁止向水域倾倒工业废渣、城市垃圾、粪便及其它废弃物</w:t>
            </w:r>
          </w:p>
        </w:tc>
        <w:tc>
          <w:tcPr>
            <w:tcW w:w="2775" w:type="dxa"/>
            <w:tcBorders>
              <w:tl2br w:val="nil"/>
              <w:tr2bl w:val="nil"/>
            </w:tcBorders>
            <w:vAlign w:val="center"/>
          </w:tcPr>
          <w:p>
            <w:pPr>
              <w:pStyle w:val="421"/>
              <w:widowControl w:val="0"/>
              <w:jc w:val="both"/>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项目施工过程中产生的施工废物均在收集后，按要求清运至指定地点进行处理；施工人员产生的生活垃圾均经生活垃圾收集点收集后委托环卫部门清运；本项目在施工过程中不向水体倾倒任何废弃物</w:t>
            </w:r>
            <w:r>
              <w:rPr>
                <w:rFonts w:hint="eastAsia" w:cs="Times New Roman"/>
                <w:color w:val="auto"/>
                <w:lang w:eastAsia="zh-CN"/>
              </w:rPr>
              <w:t>。</w:t>
            </w:r>
          </w:p>
        </w:tc>
        <w:tc>
          <w:tcPr>
            <w:tcW w:w="956" w:type="dxa"/>
            <w:tcBorders>
              <w:tl2br w:val="nil"/>
              <w:tr2bl w:val="nil"/>
            </w:tcBorders>
            <w:vAlign w:val="center"/>
          </w:tcPr>
          <w:p>
            <w:pPr>
              <w:pStyle w:val="421"/>
              <w:widowControl w:val="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812"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850"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3463" w:type="dxa"/>
            <w:gridSpan w:val="2"/>
            <w:tcBorders>
              <w:tl2br w:val="nil"/>
              <w:tr2bl w:val="nil"/>
            </w:tcBorders>
            <w:vAlign w:val="center"/>
          </w:tcPr>
          <w:p>
            <w:pPr>
              <w:pStyle w:val="421"/>
              <w:widowControl w:val="0"/>
              <w:jc w:val="left"/>
              <w:rPr>
                <w:rFonts w:hint="default" w:ascii="Times New Roman" w:hAnsi="Times New Roman" w:eastAsia="宋体" w:cs="Times New Roman"/>
                <w:color w:val="auto"/>
              </w:rPr>
            </w:pPr>
            <w:r>
              <w:rPr>
                <w:rFonts w:hint="default" w:ascii="Times New Roman" w:hAnsi="Times New Roman" w:eastAsia="宋体" w:cs="Times New Roman"/>
                <w:color w:val="auto"/>
              </w:rPr>
              <w:t>三、运输有毒有害物质、油类、粪便的船舶和车辆一般不准进入保护区，必须进入者应事先申请并经有关部门批准、登记并设置防渗、防溢、防漏设施</w:t>
            </w:r>
          </w:p>
        </w:tc>
        <w:tc>
          <w:tcPr>
            <w:tcW w:w="2775" w:type="dxa"/>
            <w:tcBorders>
              <w:tl2br w:val="nil"/>
              <w:tr2bl w:val="nil"/>
            </w:tcBorders>
            <w:vAlign w:val="center"/>
          </w:tcPr>
          <w:p>
            <w:pPr>
              <w:pStyle w:val="421"/>
              <w:widowControl w:val="0"/>
              <w:jc w:val="both"/>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本项目在施工过程中所需材料运输、车辆、施工设备等均经相关批准，并按要求设置相关的防渗、防溢、防漏设施</w:t>
            </w:r>
            <w:r>
              <w:rPr>
                <w:rFonts w:hint="eastAsia" w:cs="Times New Roman"/>
                <w:color w:val="auto"/>
                <w:lang w:eastAsia="zh-CN"/>
              </w:rPr>
              <w:t>。</w:t>
            </w:r>
          </w:p>
        </w:tc>
        <w:tc>
          <w:tcPr>
            <w:tcW w:w="956" w:type="dxa"/>
            <w:tcBorders>
              <w:tl2br w:val="nil"/>
              <w:tr2bl w:val="nil"/>
            </w:tcBorders>
            <w:vAlign w:val="center"/>
          </w:tcPr>
          <w:p>
            <w:pPr>
              <w:pStyle w:val="421"/>
              <w:widowControl w:val="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812"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850"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3463" w:type="dxa"/>
            <w:gridSpan w:val="2"/>
            <w:tcBorders>
              <w:tl2br w:val="nil"/>
              <w:tr2bl w:val="nil"/>
            </w:tcBorders>
            <w:vAlign w:val="center"/>
          </w:tcPr>
          <w:p>
            <w:pPr>
              <w:pStyle w:val="421"/>
              <w:widowControl w:val="0"/>
              <w:jc w:val="left"/>
              <w:rPr>
                <w:rFonts w:hint="default" w:ascii="Times New Roman" w:hAnsi="Times New Roman" w:eastAsia="宋体" w:cs="Times New Roman"/>
                <w:color w:val="auto"/>
              </w:rPr>
            </w:pPr>
            <w:r>
              <w:rPr>
                <w:rFonts w:hint="default" w:ascii="Times New Roman" w:hAnsi="Times New Roman" w:eastAsia="宋体" w:cs="Times New Roman"/>
                <w:color w:val="auto"/>
              </w:rPr>
              <w:t>四、禁止使用剧毒和高残留农药，不得滥用化肥，不得使用炸药、毒品捕杀鱼类。</w:t>
            </w:r>
          </w:p>
        </w:tc>
        <w:tc>
          <w:tcPr>
            <w:tcW w:w="2775"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本项目不使用剧毒和高残留农药，不滥用化肥，不使用炸药、毒品捕杀鱼类。</w:t>
            </w:r>
          </w:p>
        </w:tc>
        <w:tc>
          <w:tcPr>
            <w:tcW w:w="956" w:type="dxa"/>
            <w:tcBorders>
              <w:tl2br w:val="nil"/>
              <w:tr2bl w:val="nil"/>
            </w:tcBorders>
            <w:vAlign w:val="center"/>
          </w:tcPr>
          <w:p>
            <w:pPr>
              <w:pStyle w:val="421"/>
              <w:widowControl w:val="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12"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850" w:type="dxa"/>
            <w:vMerge w:val="restart"/>
            <w:tcBorders>
              <w:tl2br w:val="nil"/>
              <w:tr2bl w:val="nil"/>
            </w:tcBorders>
            <w:vAlign w:val="center"/>
          </w:tcPr>
          <w:p>
            <w:pPr>
              <w:pStyle w:val="421"/>
              <w:widowControl w:val="0"/>
              <w:rPr>
                <w:rFonts w:hint="default" w:ascii="Times New Roman" w:hAnsi="Times New Roman" w:eastAsia="宋体" w:cs="Times New Roman"/>
                <w:color w:val="auto"/>
              </w:rPr>
            </w:pPr>
            <w:r>
              <w:rPr>
                <w:rFonts w:hint="default" w:ascii="Times New Roman" w:hAnsi="Times New Roman" w:eastAsia="宋体" w:cs="Times New Roman"/>
                <w:color w:val="auto"/>
              </w:rPr>
              <w:t>第二章 饮用水地表水水源保护区的划分和防护中第十</w:t>
            </w:r>
            <w:r>
              <w:rPr>
                <w:rFonts w:hint="default" w:ascii="Times New Roman" w:hAnsi="Times New Roman" w:eastAsia="宋体" w:cs="Times New Roman"/>
                <w:color w:val="auto"/>
                <w:lang w:val="en-US" w:eastAsia="zh-CN"/>
              </w:rPr>
              <w:t>二</w:t>
            </w:r>
            <w:r>
              <w:rPr>
                <w:rFonts w:hint="default" w:ascii="Times New Roman" w:hAnsi="Times New Roman" w:eastAsia="宋体" w:cs="Times New Roman"/>
                <w:color w:val="auto"/>
              </w:rPr>
              <w:t>条</w:t>
            </w:r>
          </w:p>
        </w:tc>
        <w:tc>
          <w:tcPr>
            <w:tcW w:w="950" w:type="dxa"/>
            <w:vMerge w:val="restart"/>
            <w:tcBorders>
              <w:tl2br w:val="nil"/>
              <w:tr2bl w:val="nil"/>
            </w:tcBorders>
            <w:vAlign w:val="center"/>
          </w:tcPr>
          <w:p>
            <w:pPr>
              <w:pStyle w:val="421"/>
              <w:widowControl w:val="0"/>
              <w:rPr>
                <w:rFonts w:hint="default" w:ascii="Times New Roman" w:hAnsi="Times New Roman" w:eastAsia="宋体" w:cs="Times New Roman"/>
                <w:color w:val="auto"/>
              </w:rPr>
            </w:pPr>
            <w:r>
              <w:rPr>
                <w:rFonts w:hint="default" w:ascii="Times New Roman" w:hAnsi="Times New Roman" w:eastAsia="宋体" w:cs="Times New Roman"/>
                <w:color w:val="auto"/>
              </w:rPr>
              <w:t>一级保护区内</w:t>
            </w:r>
          </w:p>
        </w:tc>
        <w:tc>
          <w:tcPr>
            <w:tcW w:w="2513" w:type="dxa"/>
            <w:tcBorders>
              <w:tl2br w:val="nil"/>
              <w:tr2bl w:val="nil"/>
            </w:tcBorders>
            <w:vAlign w:val="center"/>
          </w:tcPr>
          <w:p>
            <w:pPr>
              <w:pStyle w:val="421"/>
              <w:widowControl w:val="0"/>
              <w:jc w:val="left"/>
              <w:rPr>
                <w:rFonts w:hint="default" w:ascii="Times New Roman" w:hAnsi="Times New Roman" w:eastAsia="宋体" w:cs="Times New Roman"/>
                <w:color w:val="auto"/>
              </w:rPr>
            </w:pPr>
            <w:r>
              <w:rPr>
                <w:rFonts w:hint="default" w:ascii="Times New Roman" w:hAnsi="Times New Roman" w:eastAsia="宋体" w:cs="Times New Roman"/>
                <w:color w:val="auto"/>
              </w:rPr>
              <w:t>禁止新建、扩建与供水设施和保护水源无关的建设项目</w:t>
            </w:r>
          </w:p>
        </w:tc>
        <w:tc>
          <w:tcPr>
            <w:tcW w:w="2775" w:type="dxa"/>
            <w:tcBorders>
              <w:tl2br w:val="nil"/>
              <w:tr2bl w:val="nil"/>
            </w:tcBorders>
            <w:vAlign w:val="center"/>
          </w:tcPr>
          <w:p>
            <w:pPr>
              <w:pStyle w:val="421"/>
              <w:widowControl w:val="0"/>
              <w:jc w:val="both"/>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本项目</w:t>
            </w:r>
            <w:r>
              <w:rPr>
                <w:rFonts w:hint="default" w:ascii="Times New Roman" w:hAnsi="Times New Roman" w:eastAsia="宋体" w:cs="Times New Roman"/>
                <w:color w:val="auto"/>
                <w:lang w:val="en-US" w:eastAsia="zh-CN"/>
              </w:rPr>
              <w:t>为渔洋山水源地生态修复工程，</w:t>
            </w:r>
            <w:r>
              <w:rPr>
                <w:rFonts w:hint="default" w:ascii="Times New Roman" w:hAnsi="Times New Roman" w:eastAsia="宋体" w:cs="Times New Roman"/>
                <w:color w:val="auto"/>
              </w:rPr>
              <w:t>不属于保护水源无关的建设项目</w:t>
            </w:r>
            <w:r>
              <w:rPr>
                <w:rFonts w:hint="eastAsia" w:cs="Times New Roman"/>
                <w:color w:val="auto"/>
                <w:lang w:eastAsia="zh-CN"/>
              </w:rPr>
              <w:t>。</w:t>
            </w:r>
          </w:p>
        </w:tc>
        <w:tc>
          <w:tcPr>
            <w:tcW w:w="956" w:type="dxa"/>
            <w:tcBorders>
              <w:tl2br w:val="nil"/>
              <w:tr2bl w:val="nil"/>
            </w:tcBorders>
            <w:vAlign w:val="center"/>
          </w:tcPr>
          <w:p>
            <w:pPr>
              <w:pStyle w:val="421"/>
              <w:widowControl w:val="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12"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850"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950"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2513" w:type="dxa"/>
            <w:tcBorders>
              <w:tl2br w:val="nil"/>
              <w:tr2bl w:val="nil"/>
            </w:tcBorders>
            <w:vAlign w:val="center"/>
          </w:tcPr>
          <w:p>
            <w:pPr>
              <w:pStyle w:val="421"/>
              <w:widowControl w:val="0"/>
              <w:jc w:val="left"/>
              <w:rPr>
                <w:rFonts w:hint="default" w:ascii="Times New Roman" w:hAnsi="Times New Roman" w:eastAsia="宋体" w:cs="Times New Roman"/>
                <w:color w:val="auto"/>
              </w:rPr>
            </w:pPr>
            <w:r>
              <w:rPr>
                <w:rFonts w:hint="default" w:ascii="Times New Roman" w:hAnsi="Times New Roman" w:eastAsia="宋体" w:cs="Times New Roman"/>
                <w:color w:val="auto"/>
              </w:rPr>
              <w:t>禁止向水域排放污水，已设置的排污口必须拆除</w:t>
            </w:r>
          </w:p>
        </w:tc>
        <w:tc>
          <w:tcPr>
            <w:tcW w:w="2775" w:type="dxa"/>
            <w:tcBorders>
              <w:tl2br w:val="nil"/>
              <w:tr2bl w:val="nil"/>
            </w:tcBorders>
            <w:vAlign w:val="center"/>
          </w:tcPr>
          <w:p>
            <w:pPr>
              <w:pStyle w:val="421"/>
              <w:widowControl w:val="0"/>
              <w:jc w:val="both"/>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本项目不向饮用水源保护区内排放废水，施工过程中不在向饮用水源保护区内设置排污口</w:t>
            </w:r>
            <w:r>
              <w:rPr>
                <w:rFonts w:hint="eastAsia" w:cs="Times New Roman"/>
                <w:color w:val="auto"/>
                <w:lang w:eastAsia="zh-CN"/>
              </w:rPr>
              <w:t>。</w:t>
            </w:r>
          </w:p>
        </w:tc>
        <w:tc>
          <w:tcPr>
            <w:tcW w:w="956" w:type="dxa"/>
            <w:tcBorders>
              <w:tl2br w:val="nil"/>
              <w:tr2bl w:val="nil"/>
            </w:tcBorders>
            <w:vAlign w:val="center"/>
          </w:tcPr>
          <w:p>
            <w:pPr>
              <w:pStyle w:val="421"/>
              <w:widowControl w:val="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12"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850"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950"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2513" w:type="dxa"/>
            <w:tcBorders>
              <w:tl2br w:val="nil"/>
              <w:tr2bl w:val="nil"/>
            </w:tcBorders>
            <w:vAlign w:val="center"/>
          </w:tcPr>
          <w:p>
            <w:pPr>
              <w:pStyle w:val="421"/>
              <w:widowControl w:val="0"/>
              <w:jc w:val="left"/>
              <w:rPr>
                <w:rFonts w:hint="default" w:ascii="Times New Roman" w:hAnsi="Times New Roman" w:eastAsia="宋体" w:cs="Times New Roman"/>
                <w:color w:val="auto"/>
              </w:rPr>
            </w:pPr>
            <w:r>
              <w:rPr>
                <w:rFonts w:hint="default" w:ascii="Times New Roman" w:hAnsi="Times New Roman" w:eastAsia="宋体" w:cs="Times New Roman"/>
                <w:color w:val="auto"/>
              </w:rPr>
              <w:t>不得设置与供水需要无关的码头，禁止停靠船舶</w:t>
            </w:r>
          </w:p>
        </w:tc>
        <w:tc>
          <w:tcPr>
            <w:tcW w:w="2775" w:type="dxa"/>
            <w:tcBorders>
              <w:tl2br w:val="nil"/>
              <w:tr2bl w:val="nil"/>
            </w:tcBorders>
            <w:vAlign w:val="center"/>
          </w:tcPr>
          <w:p>
            <w:pPr>
              <w:pStyle w:val="421"/>
              <w:widowControl w:val="0"/>
              <w:jc w:val="both"/>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本项目不涉及码头建设</w:t>
            </w:r>
            <w:r>
              <w:rPr>
                <w:rFonts w:hint="eastAsia" w:cs="Times New Roman"/>
                <w:color w:val="auto"/>
                <w:lang w:eastAsia="zh-CN"/>
              </w:rPr>
              <w:t>。</w:t>
            </w:r>
          </w:p>
        </w:tc>
        <w:tc>
          <w:tcPr>
            <w:tcW w:w="956" w:type="dxa"/>
            <w:tcBorders>
              <w:tl2br w:val="nil"/>
              <w:tr2bl w:val="nil"/>
            </w:tcBorders>
            <w:vAlign w:val="center"/>
          </w:tcPr>
          <w:p>
            <w:pPr>
              <w:pStyle w:val="421"/>
              <w:widowControl w:val="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12"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850"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950"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2513" w:type="dxa"/>
            <w:tcBorders>
              <w:tl2br w:val="nil"/>
              <w:tr2bl w:val="nil"/>
            </w:tcBorders>
            <w:vAlign w:val="center"/>
          </w:tcPr>
          <w:p>
            <w:pPr>
              <w:pStyle w:val="421"/>
              <w:widowControl w:val="0"/>
              <w:jc w:val="left"/>
              <w:rPr>
                <w:rFonts w:hint="default" w:ascii="Times New Roman" w:hAnsi="Times New Roman" w:eastAsia="宋体" w:cs="Times New Roman"/>
                <w:color w:val="auto"/>
              </w:rPr>
            </w:pPr>
            <w:r>
              <w:rPr>
                <w:rFonts w:hint="default" w:ascii="Times New Roman" w:hAnsi="Times New Roman" w:eastAsia="宋体" w:cs="Times New Roman"/>
                <w:color w:val="auto"/>
              </w:rPr>
              <w:t>禁止堆置和存放工业废渣、城市垃圾、粪便和其他废弃物</w:t>
            </w:r>
          </w:p>
        </w:tc>
        <w:tc>
          <w:tcPr>
            <w:tcW w:w="2775"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本项目不在一级饮用水源保护区内堆置和存放工业废渣、城市垃圾、粪便和其他废弃物，且项目施工期各种堆场均不在一级饮用水源保护区内。</w:t>
            </w:r>
          </w:p>
        </w:tc>
        <w:tc>
          <w:tcPr>
            <w:tcW w:w="956" w:type="dxa"/>
            <w:tcBorders>
              <w:tl2br w:val="nil"/>
              <w:tr2bl w:val="nil"/>
            </w:tcBorders>
            <w:vAlign w:val="center"/>
          </w:tcPr>
          <w:p>
            <w:pPr>
              <w:pStyle w:val="421"/>
              <w:widowControl w:val="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12"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850"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950"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2513" w:type="dxa"/>
            <w:tcBorders>
              <w:tl2br w:val="nil"/>
              <w:tr2bl w:val="nil"/>
            </w:tcBorders>
            <w:vAlign w:val="center"/>
          </w:tcPr>
          <w:p>
            <w:pPr>
              <w:pStyle w:val="421"/>
              <w:widowControl w:val="0"/>
              <w:jc w:val="left"/>
              <w:rPr>
                <w:rFonts w:hint="default" w:ascii="Times New Roman" w:hAnsi="Times New Roman" w:eastAsia="宋体" w:cs="Times New Roman"/>
                <w:color w:val="auto"/>
              </w:rPr>
            </w:pPr>
            <w:r>
              <w:rPr>
                <w:rFonts w:hint="default" w:ascii="Times New Roman" w:hAnsi="Times New Roman" w:eastAsia="宋体" w:cs="Times New Roman"/>
                <w:color w:val="auto"/>
              </w:rPr>
              <w:t>禁止设置油库</w:t>
            </w:r>
          </w:p>
        </w:tc>
        <w:tc>
          <w:tcPr>
            <w:tcW w:w="2775"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本项目不设置油库。</w:t>
            </w:r>
          </w:p>
        </w:tc>
        <w:tc>
          <w:tcPr>
            <w:tcW w:w="956" w:type="dxa"/>
            <w:tcBorders>
              <w:tl2br w:val="nil"/>
              <w:tr2bl w:val="nil"/>
            </w:tcBorders>
            <w:vAlign w:val="center"/>
          </w:tcPr>
          <w:p>
            <w:pPr>
              <w:pStyle w:val="421"/>
              <w:widowControl w:val="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12"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850"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950"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2513" w:type="dxa"/>
            <w:tcBorders>
              <w:tl2br w:val="nil"/>
              <w:tr2bl w:val="nil"/>
            </w:tcBorders>
            <w:vAlign w:val="center"/>
          </w:tcPr>
          <w:p>
            <w:pPr>
              <w:pStyle w:val="421"/>
              <w:widowControl w:val="0"/>
              <w:jc w:val="left"/>
              <w:rPr>
                <w:rFonts w:hint="default" w:ascii="Times New Roman" w:hAnsi="Times New Roman" w:eastAsia="宋体" w:cs="Times New Roman"/>
                <w:color w:val="auto"/>
              </w:rPr>
            </w:pPr>
            <w:r>
              <w:rPr>
                <w:rFonts w:hint="default" w:ascii="Times New Roman" w:hAnsi="Times New Roman" w:eastAsia="宋体" w:cs="Times New Roman"/>
                <w:color w:val="auto"/>
              </w:rPr>
              <w:t>禁止从事种植、放养禽畜和网箱养殖活动</w:t>
            </w:r>
          </w:p>
        </w:tc>
        <w:tc>
          <w:tcPr>
            <w:tcW w:w="2775"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本项目不在一级饮用水源保护区内从事禁止从事种植、放养禽畜和网箱养殖活动。</w:t>
            </w:r>
          </w:p>
        </w:tc>
        <w:tc>
          <w:tcPr>
            <w:tcW w:w="956" w:type="dxa"/>
            <w:tcBorders>
              <w:tl2br w:val="nil"/>
              <w:tr2bl w:val="nil"/>
            </w:tcBorders>
            <w:vAlign w:val="center"/>
          </w:tcPr>
          <w:p>
            <w:pPr>
              <w:pStyle w:val="421"/>
              <w:widowControl w:val="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12"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850"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950"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2513" w:type="dxa"/>
            <w:tcBorders>
              <w:tl2br w:val="nil"/>
              <w:tr2bl w:val="nil"/>
            </w:tcBorders>
            <w:vAlign w:val="center"/>
          </w:tcPr>
          <w:p>
            <w:pPr>
              <w:pStyle w:val="421"/>
              <w:widowControl w:val="0"/>
              <w:jc w:val="left"/>
              <w:rPr>
                <w:rFonts w:hint="default" w:ascii="Times New Roman" w:hAnsi="Times New Roman" w:eastAsia="宋体" w:cs="Times New Roman"/>
                <w:color w:val="auto"/>
              </w:rPr>
            </w:pPr>
            <w:r>
              <w:rPr>
                <w:rFonts w:hint="default" w:ascii="Times New Roman" w:hAnsi="Times New Roman" w:eastAsia="宋体" w:cs="Times New Roman"/>
                <w:color w:val="auto"/>
              </w:rPr>
              <w:t>禁止可能污染水源的旅游活动和其他活动</w:t>
            </w:r>
          </w:p>
        </w:tc>
        <w:tc>
          <w:tcPr>
            <w:tcW w:w="2775"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工程施工期间会对水源地水质、水环境生态环境造成一定的影响，但是这些影响是暂时的，随着施工的结束影响也随之消失；且施工结束后有益于维护区域生态安全，提高水体自净能力，有利于改善水环境质量和水环境生态系统性能，对水源地有保护作用。</w:t>
            </w:r>
          </w:p>
        </w:tc>
        <w:tc>
          <w:tcPr>
            <w:tcW w:w="956" w:type="dxa"/>
            <w:tcBorders>
              <w:tl2br w:val="nil"/>
              <w:tr2bl w:val="nil"/>
            </w:tcBorders>
            <w:vAlign w:val="center"/>
          </w:tcPr>
          <w:p>
            <w:pPr>
              <w:pStyle w:val="421"/>
              <w:widowControl w:val="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12"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850"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950" w:type="dxa"/>
            <w:vMerge w:val="restart"/>
            <w:tcBorders>
              <w:tl2br w:val="nil"/>
              <w:tr2bl w:val="nil"/>
            </w:tcBorders>
            <w:vAlign w:val="center"/>
          </w:tcPr>
          <w:p>
            <w:pPr>
              <w:pStyle w:val="421"/>
              <w:widowControl w:val="0"/>
              <w:rPr>
                <w:rFonts w:hint="default" w:ascii="Times New Roman" w:hAnsi="Times New Roman" w:eastAsia="宋体" w:cs="Times New Roman"/>
                <w:color w:val="auto"/>
              </w:rPr>
            </w:pPr>
            <w:r>
              <w:rPr>
                <w:rFonts w:hint="default" w:ascii="Times New Roman" w:hAnsi="Times New Roman" w:eastAsia="宋体" w:cs="Times New Roman"/>
                <w:color w:val="auto"/>
              </w:rPr>
              <w:t>二级保护区内</w:t>
            </w:r>
          </w:p>
        </w:tc>
        <w:tc>
          <w:tcPr>
            <w:tcW w:w="2513" w:type="dxa"/>
            <w:tcBorders>
              <w:tl2br w:val="nil"/>
              <w:tr2bl w:val="nil"/>
            </w:tcBorders>
            <w:vAlign w:val="center"/>
          </w:tcPr>
          <w:p>
            <w:pPr>
              <w:pStyle w:val="421"/>
              <w:widowControl w:val="0"/>
              <w:jc w:val="left"/>
              <w:rPr>
                <w:rFonts w:hint="default" w:ascii="Times New Roman" w:hAnsi="Times New Roman" w:eastAsia="宋体" w:cs="Times New Roman"/>
                <w:color w:val="auto"/>
              </w:rPr>
            </w:pPr>
            <w:r>
              <w:rPr>
                <w:rFonts w:hint="default" w:ascii="Times New Roman" w:hAnsi="Times New Roman" w:eastAsia="宋体" w:cs="Times New Roman"/>
                <w:color w:val="auto"/>
              </w:rPr>
              <w:t>禁止新建、改建、扩建排放污染物的建设项目</w:t>
            </w:r>
          </w:p>
        </w:tc>
        <w:tc>
          <w:tcPr>
            <w:tcW w:w="2775"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本项目不在二级饮用水源保护区内设置排放口排放污染物</w:t>
            </w:r>
          </w:p>
        </w:tc>
        <w:tc>
          <w:tcPr>
            <w:tcW w:w="956" w:type="dxa"/>
            <w:tcBorders>
              <w:tl2br w:val="nil"/>
              <w:tr2bl w:val="nil"/>
            </w:tcBorders>
            <w:vAlign w:val="center"/>
          </w:tcPr>
          <w:p>
            <w:pPr>
              <w:pStyle w:val="421"/>
              <w:widowControl w:val="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12"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850"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950"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2513" w:type="dxa"/>
            <w:tcBorders>
              <w:tl2br w:val="nil"/>
              <w:tr2bl w:val="nil"/>
            </w:tcBorders>
            <w:vAlign w:val="center"/>
          </w:tcPr>
          <w:p>
            <w:pPr>
              <w:pStyle w:val="421"/>
              <w:widowControl w:val="0"/>
              <w:jc w:val="left"/>
              <w:rPr>
                <w:rFonts w:hint="default" w:ascii="Times New Roman" w:hAnsi="Times New Roman" w:eastAsia="宋体" w:cs="Times New Roman"/>
                <w:color w:val="auto"/>
              </w:rPr>
            </w:pPr>
            <w:r>
              <w:rPr>
                <w:rFonts w:hint="default" w:ascii="Times New Roman" w:hAnsi="Times New Roman" w:eastAsia="宋体" w:cs="Times New Roman"/>
                <w:color w:val="auto"/>
              </w:rPr>
              <w:t>原有排污口依法拆除或者关闭</w:t>
            </w:r>
          </w:p>
        </w:tc>
        <w:tc>
          <w:tcPr>
            <w:tcW w:w="2775" w:type="dxa"/>
            <w:tcBorders>
              <w:tl2br w:val="nil"/>
              <w:tr2bl w:val="nil"/>
            </w:tcBorders>
            <w:vAlign w:val="center"/>
          </w:tcPr>
          <w:p>
            <w:pPr>
              <w:pStyle w:val="421"/>
              <w:widowControl w:val="0"/>
              <w:jc w:val="both"/>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本项目不涉及</w:t>
            </w:r>
            <w:r>
              <w:rPr>
                <w:rFonts w:hint="eastAsia" w:cs="Times New Roman"/>
                <w:color w:val="auto"/>
                <w:lang w:eastAsia="zh-CN"/>
              </w:rPr>
              <w:t>。</w:t>
            </w:r>
          </w:p>
        </w:tc>
        <w:tc>
          <w:tcPr>
            <w:tcW w:w="956" w:type="dxa"/>
            <w:tcBorders>
              <w:tl2br w:val="nil"/>
              <w:tr2bl w:val="nil"/>
            </w:tcBorders>
            <w:vAlign w:val="center"/>
          </w:tcPr>
          <w:p>
            <w:pPr>
              <w:pStyle w:val="421"/>
              <w:widowControl w:val="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12"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850"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950"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2513" w:type="dxa"/>
            <w:tcBorders>
              <w:tl2br w:val="nil"/>
              <w:tr2bl w:val="nil"/>
            </w:tcBorders>
            <w:vAlign w:val="center"/>
          </w:tcPr>
          <w:p>
            <w:pPr>
              <w:pStyle w:val="421"/>
              <w:widowControl w:val="0"/>
              <w:jc w:val="left"/>
              <w:rPr>
                <w:rFonts w:hint="default" w:ascii="Times New Roman" w:hAnsi="Times New Roman" w:eastAsia="宋体" w:cs="Times New Roman"/>
                <w:color w:val="auto"/>
              </w:rPr>
            </w:pPr>
            <w:r>
              <w:rPr>
                <w:rFonts w:hint="default" w:ascii="Times New Roman" w:hAnsi="Times New Roman" w:eastAsia="宋体" w:cs="Times New Roman"/>
                <w:color w:val="auto"/>
              </w:rPr>
              <w:t>禁止设立装卸垃圾、粪便、油类和有毒物品的码头</w:t>
            </w:r>
          </w:p>
        </w:tc>
        <w:tc>
          <w:tcPr>
            <w:tcW w:w="2775" w:type="dxa"/>
            <w:tcBorders>
              <w:tl2br w:val="nil"/>
              <w:tr2bl w:val="nil"/>
            </w:tcBorders>
            <w:vAlign w:val="center"/>
          </w:tcPr>
          <w:p>
            <w:pPr>
              <w:pStyle w:val="421"/>
              <w:widowControl w:val="0"/>
              <w:jc w:val="both"/>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本项目不设置装卸垃圾、粪便、油类和有毒物品的码头</w:t>
            </w:r>
            <w:r>
              <w:rPr>
                <w:rFonts w:hint="eastAsia" w:cs="Times New Roman"/>
                <w:color w:val="auto"/>
                <w:lang w:eastAsia="zh-CN"/>
              </w:rPr>
              <w:t>。</w:t>
            </w:r>
          </w:p>
        </w:tc>
        <w:tc>
          <w:tcPr>
            <w:tcW w:w="956" w:type="dxa"/>
            <w:tcBorders>
              <w:tl2br w:val="nil"/>
              <w:tr2bl w:val="nil"/>
            </w:tcBorders>
            <w:vAlign w:val="center"/>
          </w:tcPr>
          <w:p>
            <w:pPr>
              <w:pStyle w:val="421"/>
              <w:widowControl w:val="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12"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850"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950" w:type="dxa"/>
            <w:tcBorders>
              <w:tl2br w:val="nil"/>
              <w:tr2bl w:val="nil"/>
            </w:tcBorders>
            <w:vAlign w:val="center"/>
          </w:tcPr>
          <w:p>
            <w:pPr>
              <w:pStyle w:val="421"/>
              <w:widowControl w:val="0"/>
              <w:rPr>
                <w:rFonts w:hint="default" w:ascii="Times New Roman" w:hAnsi="Times New Roman" w:eastAsia="宋体" w:cs="Times New Roman"/>
                <w:color w:val="auto"/>
              </w:rPr>
            </w:pPr>
            <w:r>
              <w:rPr>
                <w:rFonts w:hint="default" w:ascii="Times New Roman" w:hAnsi="Times New Roman" w:eastAsia="宋体" w:cs="Times New Roman"/>
                <w:color w:val="auto"/>
              </w:rPr>
              <w:t>准保护区内</w:t>
            </w:r>
          </w:p>
        </w:tc>
        <w:tc>
          <w:tcPr>
            <w:tcW w:w="2513" w:type="dxa"/>
            <w:tcBorders>
              <w:tl2br w:val="nil"/>
              <w:tr2bl w:val="nil"/>
            </w:tcBorders>
            <w:vAlign w:val="center"/>
          </w:tcPr>
          <w:p>
            <w:pPr>
              <w:pStyle w:val="421"/>
              <w:widowControl w:val="0"/>
              <w:jc w:val="left"/>
              <w:rPr>
                <w:rFonts w:hint="default" w:ascii="Times New Roman" w:hAnsi="Times New Roman" w:eastAsia="宋体" w:cs="Times New Roman"/>
                <w:color w:val="auto"/>
              </w:rPr>
            </w:pPr>
            <w:r>
              <w:rPr>
                <w:rFonts w:hint="default" w:ascii="Times New Roman" w:hAnsi="Times New Roman" w:eastAsia="宋体" w:cs="Times New Roman"/>
                <w:color w:val="auto"/>
              </w:rPr>
              <w:t>禁止新建、扩建对水体污染严重的建设项目；改建建设项目，不得增加排污量</w:t>
            </w:r>
          </w:p>
        </w:tc>
        <w:tc>
          <w:tcPr>
            <w:tcW w:w="2775" w:type="dxa"/>
            <w:tcBorders>
              <w:tl2br w:val="nil"/>
              <w:tr2bl w:val="nil"/>
            </w:tcBorders>
            <w:vAlign w:val="center"/>
          </w:tcPr>
          <w:p>
            <w:pPr>
              <w:pStyle w:val="421"/>
              <w:widowControl w:val="0"/>
              <w:jc w:val="both"/>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本项目不涉及</w:t>
            </w:r>
            <w:r>
              <w:rPr>
                <w:rFonts w:hint="eastAsia" w:cs="Times New Roman"/>
                <w:color w:val="auto"/>
                <w:lang w:eastAsia="zh-CN"/>
              </w:rPr>
              <w:t>。</w:t>
            </w:r>
          </w:p>
        </w:tc>
        <w:tc>
          <w:tcPr>
            <w:tcW w:w="956" w:type="dxa"/>
            <w:tcBorders>
              <w:tl2br w:val="nil"/>
              <w:tr2bl w:val="nil"/>
            </w:tcBorders>
            <w:vAlign w:val="center"/>
          </w:tcPr>
          <w:p>
            <w:pPr>
              <w:pStyle w:val="421"/>
              <w:widowControl w:val="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相符</w:t>
            </w:r>
          </w:p>
        </w:tc>
      </w:tr>
    </w:tbl>
    <w:p>
      <w:pPr>
        <w:pStyle w:val="8"/>
        <w:snapToGrid w:val="0"/>
        <w:spacing w:line="480" w:lineRule="exact"/>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rPr>
        <w:t>与《市政府印发关于加强全市饮用水水源地保护和管理工作的实施意见的通知》、《加强全省饮用水水源地管理与保护工作的意见苏政办发[2017]85号》相符性</w:t>
      </w:r>
    </w:p>
    <w:p>
      <w:pPr>
        <w:snapToGrid w:val="0"/>
        <w:spacing w:line="480" w:lineRule="exact"/>
        <w:ind w:firstLine="482" w:firstLineChars="20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表2.</w:t>
      </w:r>
      <w:r>
        <w:rPr>
          <w:rFonts w:hint="eastAsia" w:cs="Times New Roman"/>
          <w:b/>
          <w:bCs/>
          <w:color w:val="auto"/>
          <w:lang w:val="en-US" w:eastAsia="zh-CN"/>
        </w:rPr>
        <w:t>5</w:t>
      </w:r>
      <w:r>
        <w:rPr>
          <w:rFonts w:hint="default" w:ascii="Times New Roman" w:hAnsi="Times New Roman" w:eastAsia="宋体" w:cs="Times New Roman"/>
          <w:b/>
          <w:bCs/>
          <w:color w:val="auto"/>
          <w:lang w:val="en-US" w:eastAsia="zh-CN"/>
        </w:rPr>
        <w:t>-2 与《市政府印发关于加强全市饮用水水源地保护和管理工作的实施意见的通知》（苏府[2018]38号）相符性分析</w:t>
      </w:r>
    </w:p>
    <w:tbl>
      <w:tblPr>
        <w:tblStyle w:val="5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3676"/>
        <w:gridCol w:w="3112"/>
        <w:gridCol w:w="9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2" w:type="dxa"/>
            <w:tcBorders>
              <w:tl2br w:val="nil"/>
              <w:tr2bl w:val="nil"/>
            </w:tcBorders>
            <w:vAlign w:val="center"/>
          </w:tcPr>
          <w:p>
            <w:pPr>
              <w:pStyle w:val="421"/>
              <w:widowControl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文件名称</w:t>
            </w:r>
          </w:p>
        </w:tc>
        <w:tc>
          <w:tcPr>
            <w:tcW w:w="3676" w:type="dxa"/>
            <w:tcBorders>
              <w:tl2br w:val="nil"/>
              <w:tr2bl w:val="nil"/>
            </w:tcBorders>
            <w:vAlign w:val="center"/>
          </w:tcPr>
          <w:p>
            <w:pPr>
              <w:pStyle w:val="421"/>
              <w:widowControl w:val="0"/>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内容要求</w:t>
            </w:r>
          </w:p>
        </w:tc>
        <w:tc>
          <w:tcPr>
            <w:tcW w:w="3112" w:type="dxa"/>
            <w:tcBorders>
              <w:tl2br w:val="nil"/>
              <w:tr2bl w:val="nil"/>
            </w:tcBorders>
            <w:vAlign w:val="center"/>
          </w:tcPr>
          <w:p>
            <w:pPr>
              <w:pStyle w:val="421"/>
              <w:widowControl w:val="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本项目情况</w:t>
            </w:r>
          </w:p>
        </w:tc>
        <w:tc>
          <w:tcPr>
            <w:tcW w:w="956" w:type="dxa"/>
            <w:tcBorders>
              <w:tl2br w:val="nil"/>
              <w:tr2bl w:val="nil"/>
            </w:tcBorders>
            <w:vAlign w:val="center"/>
          </w:tcPr>
          <w:p>
            <w:pPr>
              <w:pStyle w:val="421"/>
              <w:widowControl w:val="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112" w:type="dxa"/>
            <w:tcBorders>
              <w:tl2br w:val="nil"/>
              <w:tr2bl w:val="nil"/>
            </w:tcBorders>
            <w:vAlign w:val="center"/>
          </w:tcPr>
          <w:p>
            <w:pPr>
              <w:pStyle w:val="421"/>
              <w:widowControl w:val="0"/>
              <w:rPr>
                <w:rFonts w:hint="default" w:ascii="Times New Roman" w:hAnsi="Times New Roman" w:eastAsia="宋体" w:cs="Times New Roman"/>
                <w:color w:val="auto"/>
              </w:rPr>
            </w:pPr>
            <w:r>
              <w:rPr>
                <w:rFonts w:hint="default" w:ascii="Times New Roman" w:hAnsi="Times New Roman" w:eastAsia="宋体" w:cs="Times New Roman"/>
                <w:color w:val="auto"/>
              </w:rPr>
              <w:t>《市政府印发关于加强全市饮用水水源地保护和管理工作的实施意见的通知》（苏府[2018]38号）</w:t>
            </w:r>
          </w:p>
        </w:tc>
        <w:tc>
          <w:tcPr>
            <w:tcW w:w="3676"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（二）加快推进饮用水水源地达标和应急水源地建设。实现</w:t>
            </w:r>
            <w:r>
              <w:rPr>
                <w:rFonts w:hint="eastAsia" w:cs="Times New Roman"/>
                <w:color w:val="auto"/>
                <w:lang w:eastAsia="zh-CN"/>
              </w:rPr>
              <w:t>“</w:t>
            </w:r>
            <w:r>
              <w:rPr>
                <w:rFonts w:hint="default" w:ascii="Times New Roman" w:hAnsi="Times New Roman" w:eastAsia="宋体" w:cs="Times New Roman"/>
                <w:color w:val="auto"/>
              </w:rPr>
              <w:t>水源地安全供水一个保障</w:t>
            </w:r>
            <w:r>
              <w:rPr>
                <w:rFonts w:hint="eastAsia" w:cs="Times New Roman"/>
                <w:color w:val="auto"/>
                <w:lang w:eastAsia="zh-CN"/>
              </w:rPr>
              <w:t>”“</w:t>
            </w:r>
            <w:r>
              <w:rPr>
                <w:rFonts w:hint="default" w:ascii="Times New Roman" w:hAnsi="Times New Roman" w:eastAsia="宋体" w:cs="Times New Roman"/>
                <w:color w:val="auto"/>
              </w:rPr>
              <w:t>水源地水质、供水保证率两个达标</w:t>
            </w:r>
            <w:r>
              <w:rPr>
                <w:rFonts w:hint="eastAsia" w:cs="Times New Roman"/>
                <w:color w:val="auto"/>
                <w:lang w:eastAsia="zh-CN"/>
              </w:rPr>
              <w:t>”“</w:t>
            </w:r>
            <w:r>
              <w:rPr>
                <w:rFonts w:hint="default" w:ascii="Times New Roman" w:hAnsi="Times New Roman" w:eastAsia="宋体" w:cs="Times New Roman"/>
                <w:color w:val="auto"/>
              </w:rPr>
              <w:t>水源地一级、二级、准保护区范围内三个没有</w:t>
            </w:r>
            <w:r>
              <w:rPr>
                <w:rFonts w:hint="eastAsia" w:cs="Times New Roman"/>
                <w:color w:val="auto"/>
                <w:lang w:eastAsia="zh-CN"/>
              </w:rPr>
              <w:t>”“</w:t>
            </w:r>
            <w:r>
              <w:rPr>
                <w:rFonts w:hint="default" w:ascii="Times New Roman" w:hAnsi="Times New Roman" w:eastAsia="宋体" w:cs="Times New Roman"/>
                <w:color w:val="auto"/>
              </w:rPr>
              <w:t>水源地保护机构和人员、标牌和隔离措施、备用水源地和应急管理预案、水质在线监测和共享机制建立四个到位</w:t>
            </w:r>
            <w:r>
              <w:rPr>
                <w:rFonts w:hint="eastAsia" w:cs="Times New Roman"/>
                <w:color w:val="auto"/>
                <w:lang w:eastAsia="zh-CN"/>
              </w:rPr>
              <w:t>”</w:t>
            </w:r>
            <w:r>
              <w:rPr>
                <w:rFonts w:hint="default" w:ascii="Times New Roman" w:hAnsi="Times New Roman" w:eastAsia="宋体" w:cs="Times New Roman"/>
                <w:color w:val="auto"/>
              </w:rPr>
              <w:t>的目标。</w:t>
            </w:r>
          </w:p>
        </w:tc>
        <w:tc>
          <w:tcPr>
            <w:tcW w:w="3112" w:type="dxa"/>
            <w:tcBorders>
              <w:tl2br w:val="nil"/>
              <w:tr2bl w:val="nil"/>
            </w:tcBorders>
            <w:vAlign w:val="center"/>
          </w:tcPr>
          <w:p>
            <w:pPr>
              <w:pStyle w:val="421"/>
              <w:widowControl w:val="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本项目为</w:t>
            </w:r>
            <w:r>
              <w:rPr>
                <w:rFonts w:hint="default" w:ascii="Times New Roman" w:hAnsi="Times New Roman" w:eastAsia="宋体" w:cs="Times New Roman"/>
                <w:color w:val="auto"/>
                <w:lang w:val="en-US" w:eastAsia="zh-CN"/>
              </w:rPr>
              <w:t>生态</w:t>
            </w:r>
            <w:r>
              <w:rPr>
                <w:rFonts w:hint="default" w:ascii="Times New Roman" w:hAnsi="Times New Roman" w:eastAsia="宋体" w:cs="Times New Roman"/>
                <w:color w:val="auto"/>
              </w:rPr>
              <w:t>工程，项目的实施有利于保障饮用水水源地的安全，有利于水源的涵养和水质的改善，有利于保障水源地安全供水</w:t>
            </w:r>
            <w:r>
              <w:rPr>
                <w:rFonts w:hint="default" w:ascii="Times New Roman" w:hAnsi="Times New Roman" w:eastAsia="宋体" w:cs="Times New Roman"/>
                <w:color w:val="auto"/>
                <w:lang w:eastAsia="zh-CN"/>
              </w:rPr>
              <w:t>。</w:t>
            </w:r>
          </w:p>
          <w:p>
            <w:pPr>
              <w:pStyle w:val="421"/>
              <w:widowControl w:val="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2、本项目的实施有利于水环境质量的改善，有利于水质达标建设。本项目严格执行各项污染防治措施和突发水环境风险事故防范和应急措施及应急预案。</w:t>
            </w:r>
          </w:p>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本项目工程</w:t>
            </w:r>
            <w:r>
              <w:rPr>
                <w:rFonts w:hint="default" w:ascii="Times New Roman" w:hAnsi="Times New Roman" w:eastAsia="宋体" w:cs="Times New Roman"/>
                <w:color w:val="auto"/>
                <w:lang w:val="en-US" w:eastAsia="zh-CN"/>
              </w:rPr>
              <w:t>施工</w:t>
            </w:r>
            <w:r>
              <w:rPr>
                <w:rFonts w:hint="default" w:ascii="Times New Roman" w:hAnsi="Times New Roman" w:eastAsia="宋体" w:cs="Times New Roman"/>
                <w:color w:val="auto"/>
              </w:rPr>
              <w:t>会对太湖</w:t>
            </w:r>
            <w:r>
              <w:rPr>
                <w:rFonts w:hint="default" w:ascii="Times New Roman" w:hAnsi="Times New Roman" w:eastAsia="宋体" w:cs="Times New Roman"/>
                <w:color w:val="auto"/>
                <w:lang w:val="en-US" w:eastAsia="zh-CN"/>
              </w:rPr>
              <w:t>渔洋山</w:t>
            </w:r>
            <w:r>
              <w:rPr>
                <w:rFonts w:hint="default" w:ascii="Times New Roman" w:hAnsi="Times New Roman" w:eastAsia="宋体" w:cs="Times New Roman"/>
                <w:color w:val="auto"/>
              </w:rPr>
              <w:t>饮用水水源地水质和水环境及生态平衡造成一定的影响，这些影响是暂时的，随着施工的结束影响也随之消失。</w:t>
            </w:r>
            <w:r>
              <w:rPr>
                <w:rFonts w:hint="default" w:ascii="Times New Roman" w:hAnsi="Times New Roman" w:eastAsia="宋体" w:cs="Times New Roman"/>
                <w:color w:val="auto"/>
                <w:lang w:val="en-US" w:eastAsia="zh-CN"/>
              </w:rPr>
              <w:t>且生态修复有益于维护区域生态安全，提高水体自净能力，有利于改善水环境质量和水环境生态系统性能，对水源地有保护作用</w:t>
            </w:r>
          </w:p>
        </w:tc>
        <w:tc>
          <w:tcPr>
            <w:tcW w:w="956" w:type="dxa"/>
            <w:tcBorders>
              <w:tl2br w:val="nil"/>
              <w:tr2bl w:val="nil"/>
            </w:tcBorders>
            <w:vAlign w:val="center"/>
          </w:tcPr>
          <w:p>
            <w:pPr>
              <w:pStyle w:val="421"/>
              <w:widowControl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112" w:type="dxa"/>
            <w:vMerge w:val="restart"/>
            <w:tcBorders>
              <w:tl2br w:val="nil"/>
              <w:tr2bl w:val="nil"/>
            </w:tcBorders>
            <w:vAlign w:val="center"/>
          </w:tcPr>
          <w:p>
            <w:pPr>
              <w:pStyle w:val="421"/>
              <w:widowControl w:val="0"/>
              <w:rPr>
                <w:rFonts w:hint="default" w:ascii="Times New Roman" w:hAnsi="Times New Roman" w:eastAsia="宋体" w:cs="Times New Roman"/>
                <w:color w:val="auto"/>
              </w:rPr>
            </w:pPr>
            <w:r>
              <w:rPr>
                <w:rFonts w:hint="default" w:ascii="Times New Roman" w:hAnsi="Times New Roman" w:eastAsia="宋体" w:cs="Times New Roman"/>
                <w:color w:val="auto"/>
              </w:rPr>
              <w:t>《加强全省饮用水水源地管理与保护工作的意见苏政办发[2017]85号》</w:t>
            </w:r>
          </w:p>
        </w:tc>
        <w:tc>
          <w:tcPr>
            <w:tcW w:w="3676"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三、重点任务</w:t>
            </w:r>
          </w:p>
          <w:p>
            <w:pPr>
              <w:pStyle w:val="421"/>
              <w:widowControl w:val="0"/>
              <w:jc w:val="both"/>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rPr>
              <w:t>（一）科学编制水源地安全保障规划。规划是水源地布局与保护的依据，各级政府要组织发改、水利、环保、住建等部门，制定本地区水源地安全保障规划，对饮用水水源地和应急水源地的布局、周边产业设置、安全状况、建设保护范围、管理措施、调（输）水工程、量质监测、应急预案等内容进行合理安排。规划要突出科学性、前瞻性、针对性，以有利于水源保护为目标，因地制宜优化水源布局，统筹城乡供水和水源保护，实现水源地相对集中、集中保护、降低成本、减少风险。在严格饮用水源保护区和水功能区保护的基础上，强化流域区域、重要河湖水系保护，严格禁止、限制、控制与水源保护无关的行为，确保饮用水水源保护落到实处。各地水源地安全保障规划，由本级政府批准后实施。</w:t>
            </w:r>
          </w:p>
        </w:tc>
        <w:tc>
          <w:tcPr>
            <w:tcW w:w="3112"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1、本项目</w:t>
            </w:r>
            <w:r>
              <w:rPr>
                <w:rFonts w:hint="default" w:ascii="Times New Roman" w:hAnsi="Times New Roman" w:eastAsia="宋体" w:cs="Times New Roman"/>
                <w:color w:val="auto"/>
                <w:lang w:val="en-US" w:eastAsia="zh-CN"/>
              </w:rPr>
              <w:t>为生态修复</w:t>
            </w:r>
            <w:r>
              <w:rPr>
                <w:rFonts w:hint="default" w:ascii="Times New Roman" w:hAnsi="Times New Roman" w:eastAsia="宋体" w:cs="Times New Roman"/>
                <w:color w:val="auto"/>
              </w:rPr>
              <w:t>工程</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可以提高饮用水源地水体自净能力，对水源地水质具有一定的改善作用，同时也有利于改善水环境质量和水环境生态系统性能，对水源地有保护作用，是对水源的保护更加有利的。不属于与保护水源无关的项目。</w:t>
            </w:r>
          </w:p>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2、本项目不改变饮用水水源保护区的主体功能和定位，符合《饮用水水源保护区污染防治管理规定》（2010修改）等相关文件要求，严格按相关要求进行管理。</w:t>
            </w:r>
          </w:p>
          <w:p>
            <w:pPr>
              <w:pStyle w:val="421"/>
              <w:widowControl w:val="0"/>
              <w:jc w:val="both"/>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rPr>
              <w:t>3、项目施工期虽然会对饮用水水源地产生一定的不利影响，但是施工期采取各项污染防控措施，可将对饮用水水源地的影响控制在一定范围内，同时这些影响是暂时的，施工结束，影响结束，同时施工结束后绿化的增加和完善将会改善水源地的生态和水质。</w:t>
            </w:r>
          </w:p>
        </w:tc>
        <w:tc>
          <w:tcPr>
            <w:tcW w:w="956" w:type="dxa"/>
            <w:tcBorders>
              <w:tl2br w:val="nil"/>
              <w:tr2bl w:val="nil"/>
            </w:tcBorders>
            <w:vAlign w:val="center"/>
          </w:tcPr>
          <w:p>
            <w:pPr>
              <w:pStyle w:val="421"/>
              <w:widowControl w:val="0"/>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3676"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（四）规范设置水源地标牌及隔离设施。各市、县（市、区）人民政府要在饮用水水源保护区周边设置界标、交通警示牌、宣传牌等三类标志牌。标志牌设置参照《饮用水水源保护区标志技术要求》（HJ/T 433）规定，统一类型、统一位置、统一内容。水源地一级保护区周边人类活动频繁的区域，要设置物理隔离防护设施，实现与外界的物理隔离，隔离设施类型包括隔离网、隔离墙和绿化隔离带。采用隔离网作为隔离设施的，宜采用浸塑电焊网，高度1.7米以上，顶部0.2米向内倾斜。</w:t>
            </w:r>
          </w:p>
        </w:tc>
        <w:tc>
          <w:tcPr>
            <w:tcW w:w="3112"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项目施工结束后，根据要求，在饮用水水源保护区周边设置界标，并在水源地一级保护区周边人类活动频繁的区域，设置物理隔离防护设施，实现与外界的物理隔离。</w:t>
            </w:r>
          </w:p>
        </w:tc>
        <w:tc>
          <w:tcPr>
            <w:tcW w:w="956" w:type="dxa"/>
            <w:tcBorders>
              <w:tl2br w:val="nil"/>
              <w:tr2bl w:val="nil"/>
            </w:tcBorders>
            <w:vAlign w:val="center"/>
          </w:tcPr>
          <w:p>
            <w:pPr>
              <w:pStyle w:val="421"/>
              <w:widowControl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3676"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五）着力强化饮用水水源保护区环境综合整治。根据有关法律法规要求，严格保护水源地环境，强化污染源综合整治。一级保护区内不得存在与供水设施和保护水源无关的建设项目和设施，现有建设项目和设施要限期拆除或关闭，并视情况进行生态修复。二级保护区内无入河排污口，无新建、改建、扩建排放污染物的建设项目，现有项目要限期拆除或关闭。准保护区内无新建、扩建制药、化工、造纸、制革、印染、染料、炼焦、炼硫、炼砷、炼油、电镀、农药等对水体污染严重的建设项目，保护区划定前已有的上述建设项目不得增加排污量并逐步搬出。</w:t>
            </w:r>
          </w:p>
        </w:tc>
        <w:tc>
          <w:tcPr>
            <w:tcW w:w="3112"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本项目工程</w:t>
            </w:r>
            <w:r>
              <w:rPr>
                <w:rFonts w:hint="default" w:ascii="Times New Roman" w:hAnsi="Times New Roman" w:eastAsia="宋体" w:cs="Times New Roman"/>
                <w:color w:val="auto"/>
                <w:lang w:val="en-US" w:eastAsia="zh-CN"/>
              </w:rPr>
              <w:t>施工</w:t>
            </w:r>
            <w:r>
              <w:rPr>
                <w:rFonts w:hint="default" w:ascii="Times New Roman" w:hAnsi="Times New Roman" w:eastAsia="宋体" w:cs="Times New Roman"/>
                <w:color w:val="auto"/>
              </w:rPr>
              <w:t>会对太湖</w:t>
            </w:r>
            <w:r>
              <w:rPr>
                <w:rFonts w:hint="default" w:ascii="Times New Roman" w:hAnsi="Times New Roman" w:eastAsia="宋体" w:cs="Times New Roman"/>
                <w:color w:val="auto"/>
                <w:lang w:val="en-US" w:eastAsia="zh-CN"/>
              </w:rPr>
              <w:t>渔洋山</w:t>
            </w:r>
            <w:r>
              <w:rPr>
                <w:rFonts w:hint="default" w:ascii="Times New Roman" w:hAnsi="Times New Roman" w:eastAsia="宋体" w:cs="Times New Roman"/>
                <w:color w:val="auto"/>
              </w:rPr>
              <w:t>饮用水水源地水质和水环境及生态平衡造成一定的影响，这些影响是暂时的，随着施工的结束影响也随之消失。</w:t>
            </w:r>
            <w:r>
              <w:rPr>
                <w:rFonts w:hint="default" w:ascii="Times New Roman" w:hAnsi="Times New Roman" w:eastAsia="宋体" w:cs="Times New Roman"/>
                <w:color w:val="auto"/>
                <w:lang w:val="en-US" w:eastAsia="zh-CN"/>
              </w:rPr>
              <w:t>且生态修复有益于维护区域生态安全，提高水体自净能力，有利于改善水环境质量和水环境生态系统性能，对水源地有保护作用</w:t>
            </w:r>
          </w:p>
        </w:tc>
        <w:tc>
          <w:tcPr>
            <w:tcW w:w="956" w:type="dxa"/>
            <w:tcBorders>
              <w:tl2br w:val="nil"/>
              <w:tr2bl w:val="nil"/>
            </w:tcBorders>
            <w:vAlign w:val="center"/>
          </w:tcPr>
          <w:p>
            <w:pPr>
              <w:pStyle w:val="421"/>
              <w:widowControl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相符</w:t>
            </w:r>
          </w:p>
        </w:tc>
      </w:tr>
    </w:tbl>
    <w:p>
      <w:pPr>
        <w:pStyle w:val="8"/>
        <w:snapToGrid w:val="0"/>
        <w:spacing w:line="480" w:lineRule="exact"/>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6、</w:t>
      </w:r>
      <w:r>
        <w:rPr>
          <w:rFonts w:hint="default" w:ascii="Times New Roman" w:hAnsi="Times New Roman" w:eastAsia="宋体" w:cs="Times New Roman"/>
          <w:b/>
          <w:bCs/>
          <w:color w:val="auto"/>
          <w:sz w:val="24"/>
          <w:szCs w:val="24"/>
        </w:rPr>
        <w:t xml:space="preserve"> 与《基本农田保护条例》相符性</w:t>
      </w:r>
    </w:p>
    <w:p>
      <w:pPr>
        <w:pStyle w:val="8"/>
        <w:snapToGrid w:val="0"/>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根据《基本农田保护条例》规定：国家能源、交通、水利、军事设施等重点建设项目选址，需要占用基本农田，涉及农用地转用或者征用土地的，必须经国务院批准； 经国务院批准占用基本农田的，当地人民政府应当按照国务院的批准文件修改土地利用总体规划，并补充划入数量和质量相当的基本农田。占用单位应当按照占多少、垦多少的原则，负责开垦与所占基本农田的数量与质量相当的耕地；没有条件开垦或者开垦的耕地不符合要求的，应当按照省、自治区、直辖市的规定缴纳耕地开垦费，专款用于开垦新的耕地。占用基本农田的单位应当按照县级以上地方人民政府的要求，将所占用基本农田耕作层的土壤用于新开垦耕地、劣质地或者其他耕地的土壤改良。</w:t>
      </w:r>
    </w:p>
    <w:p>
      <w:pPr>
        <w:pStyle w:val="8"/>
        <w:snapToGrid w:val="0"/>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本工程临时占地主要为</w:t>
      </w:r>
      <w:r>
        <w:rPr>
          <w:rFonts w:hint="eastAsia" w:cs="Times New Roman"/>
          <w:color w:val="auto"/>
          <w:sz w:val="24"/>
          <w:szCs w:val="24"/>
          <w:lang w:val="en-US" w:eastAsia="zh-CN"/>
        </w:rPr>
        <w:t>网球场</w:t>
      </w:r>
      <w:r>
        <w:rPr>
          <w:rFonts w:hint="default" w:ascii="Times New Roman" w:hAnsi="Times New Roman" w:eastAsia="宋体" w:cs="Times New Roman"/>
          <w:color w:val="auto"/>
          <w:sz w:val="24"/>
          <w:szCs w:val="24"/>
        </w:rPr>
        <w:t>等，不涉及基本农田。</w:t>
      </w:r>
    </w:p>
    <w:p>
      <w:pPr>
        <w:pStyle w:val="8"/>
        <w:snapToGrid w:val="0"/>
        <w:spacing w:line="480" w:lineRule="exact"/>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因此，工程建设基本符合《基本农田保护条例》的有关保护要求</w:t>
      </w:r>
      <w:r>
        <w:rPr>
          <w:rFonts w:hint="default" w:ascii="Times New Roman" w:hAnsi="Times New Roman" w:eastAsia="宋体" w:cs="Times New Roman"/>
          <w:color w:val="auto"/>
          <w:sz w:val="24"/>
          <w:szCs w:val="24"/>
          <w:lang w:eastAsia="zh-CN"/>
        </w:rPr>
        <w:t>。</w:t>
      </w:r>
    </w:p>
    <w:p>
      <w:pPr>
        <w:pStyle w:val="8"/>
        <w:snapToGrid w:val="0"/>
        <w:spacing w:line="480" w:lineRule="exact"/>
        <w:ind w:firstLine="482" w:firstLineChars="200"/>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lang w:eastAsia="zh-CN"/>
        </w:rPr>
        <w:t>与《江苏省太湖水污染防治条例》和《太湖流域管理条例》相符性分析</w:t>
      </w:r>
    </w:p>
    <w:p>
      <w:pPr>
        <w:pStyle w:val="8"/>
        <w:snapToGrid w:val="0"/>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根据《太湖流域管理条例》、《江苏省太湖水污染防治条例》（2018年1月24日江苏省第十二届人民代表大会常务委员会第三十四次会议修正），本项目需要符合下列要求。</w:t>
      </w:r>
    </w:p>
    <w:p>
      <w:pPr>
        <w:pStyle w:val="8"/>
        <w:snapToGrid w:val="0"/>
        <w:spacing w:line="480" w:lineRule="exact"/>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表2.</w:t>
      </w:r>
      <w:r>
        <w:rPr>
          <w:rFonts w:hint="eastAsia" w:cs="Times New Roman"/>
          <w:b/>
          <w:bCs/>
          <w:color w:val="auto"/>
          <w:sz w:val="24"/>
          <w:szCs w:val="24"/>
          <w:lang w:val="en-US" w:eastAsia="zh-CN"/>
        </w:rPr>
        <w:t>5</w:t>
      </w:r>
      <w:r>
        <w:rPr>
          <w:rFonts w:hint="default" w:ascii="Times New Roman" w:hAnsi="Times New Roman" w:eastAsia="宋体" w:cs="Times New Roman"/>
          <w:b/>
          <w:bCs/>
          <w:color w:val="auto"/>
          <w:sz w:val="24"/>
          <w:szCs w:val="24"/>
        </w:rPr>
        <w:t>-3 《太湖流域管理条例》及《江苏省太湖水污染防治条例》有关条例</w:t>
      </w:r>
    </w:p>
    <w:tbl>
      <w:tblPr>
        <w:tblStyle w:val="5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3676"/>
        <w:gridCol w:w="3164"/>
        <w:gridCol w:w="9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2" w:type="dxa"/>
            <w:tcBorders>
              <w:tl2br w:val="nil"/>
              <w:tr2bl w:val="nil"/>
            </w:tcBorders>
            <w:vAlign w:val="center"/>
          </w:tcPr>
          <w:p>
            <w:pPr>
              <w:pStyle w:val="421"/>
              <w:widowControl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文件名称</w:t>
            </w:r>
          </w:p>
        </w:tc>
        <w:tc>
          <w:tcPr>
            <w:tcW w:w="3676" w:type="dxa"/>
            <w:tcBorders>
              <w:tl2br w:val="nil"/>
              <w:tr2bl w:val="nil"/>
            </w:tcBorders>
            <w:vAlign w:val="center"/>
          </w:tcPr>
          <w:p>
            <w:pPr>
              <w:pStyle w:val="421"/>
              <w:widowControl w:val="0"/>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内容要求</w:t>
            </w:r>
          </w:p>
        </w:tc>
        <w:tc>
          <w:tcPr>
            <w:tcW w:w="3164" w:type="dxa"/>
            <w:tcBorders>
              <w:tl2br w:val="nil"/>
              <w:tr2bl w:val="nil"/>
            </w:tcBorders>
            <w:vAlign w:val="center"/>
          </w:tcPr>
          <w:p>
            <w:pPr>
              <w:pStyle w:val="421"/>
              <w:widowControl w:val="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本项目情况</w:t>
            </w:r>
          </w:p>
        </w:tc>
        <w:tc>
          <w:tcPr>
            <w:tcW w:w="904" w:type="dxa"/>
            <w:tcBorders>
              <w:tl2br w:val="nil"/>
              <w:tr2bl w:val="nil"/>
            </w:tcBorders>
            <w:vAlign w:val="center"/>
          </w:tcPr>
          <w:p>
            <w:pPr>
              <w:pStyle w:val="421"/>
              <w:widowControl w:val="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112" w:type="dxa"/>
            <w:vMerge w:val="restart"/>
            <w:tcBorders>
              <w:tl2br w:val="nil"/>
              <w:tr2bl w:val="nil"/>
            </w:tcBorders>
            <w:vAlign w:val="center"/>
          </w:tcPr>
          <w:p>
            <w:pPr>
              <w:pStyle w:val="421"/>
              <w:widowControl w:val="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太湖流域管理条例</w:t>
            </w:r>
            <w:r>
              <w:rPr>
                <w:rFonts w:hint="default" w:ascii="Times New Roman" w:hAnsi="Times New Roman" w:eastAsia="宋体" w:cs="Times New Roman"/>
                <w:color w:val="auto"/>
                <w:lang w:eastAsia="zh-CN"/>
              </w:rPr>
              <w:t>》</w:t>
            </w:r>
          </w:p>
        </w:tc>
        <w:tc>
          <w:tcPr>
            <w:tcW w:w="3676"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第二十八条：排污单位排放水污染物，不得超过经核定的水污染物排放总量，并应当按照规定设置便于检查、采样的规范化排污口，悬挂标志牌；不得私设暗管或者采取其他规避监管的方式排放水污染物。</w:t>
            </w:r>
          </w:p>
        </w:tc>
        <w:tc>
          <w:tcPr>
            <w:tcW w:w="3164"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本项目为生态工程项目，工程建设对水环境水污染的影响集中在施工期，项目工程范围内不设施工营地，生活污水依托当地污水管网排入污水处理厂。</w:t>
            </w:r>
          </w:p>
        </w:tc>
        <w:tc>
          <w:tcPr>
            <w:tcW w:w="904" w:type="dxa"/>
            <w:tcBorders>
              <w:tl2br w:val="nil"/>
              <w:tr2bl w:val="nil"/>
            </w:tcBorders>
            <w:vAlign w:val="center"/>
          </w:tcPr>
          <w:p>
            <w:pPr>
              <w:pStyle w:val="421"/>
              <w:widowControl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lang w:eastAsia="zh-CN"/>
              </w:rPr>
            </w:pPr>
          </w:p>
        </w:tc>
        <w:tc>
          <w:tcPr>
            <w:tcW w:w="3676"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禁止在太湖流域设置不符合国家产业政策和水环境综合治理要求的造纸、制革、酒精、淀粉、冶金、酿造、印染、电镀等排放水污染物的生产项目，现有的生产项目不能实现达标排放的，应当依法关闭。</w:t>
            </w:r>
          </w:p>
        </w:tc>
        <w:tc>
          <w:tcPr>
            <w:tcW w:w="3164" w:type="dxa"/>
            <w:tcBorders>
              <w:tl2br w:val="nil"/>
              <w:tr2bl w:val="nil"/>
            </w:tcBorders>
            <w:vAlign w:val="center"/>
          </w:tcPr>
          <w:p>
            <w:pPr>
              <w:pStyle w:val="421"/>
              <w:widowControl w:val="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本项目为生态修复类项目，不属于造纸、制革、酒精、淀粉、冶金、酿造、印染、电镀等排放水污染物的生产项目</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kern w:val="2"/>
                <w:sz w:val="21"/>
                <w:szCs w:val="20"/>
                <w:lang w:val="en-US" w:eastAsia="zh-CN" w:bidi="ar-S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lang w:eastAsia="zh-CN"/>
              </w:rPr>
            </w:pPr>
          </w:p>
        </w:tc>
        <w:tc>
          <w:tcPr>
            <w:tcW w:w="3676"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在太湖流域新设企业应当符合国家规定的清洁生产要求，现有的企业尚未达到清洁生产要求的，应当按照清洁生产规划要求进行技术改造，两省一市人民政府应当加强监督检查。</w:t>
            </w:r>
          </w:p>
        </w:tc>
        <w:tc>
          <w:tcPr>
            <w:tcW w:w="3164" w:type="dxa"/>
            <w:tcBorders>
              <w:tl2br w:val="nil"/>
              <w:tr2bl w:val="nil"/>
            </w:tcBorders>
            <w:vAlign w:val="center"/>
          </w:tcPr>
          <w:p>
            <w:pPr>
              <w:pStyle w:val="421"/>
              <w:widowControl w:val="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本项目为非污染生态类工程项目，不涉及生产</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kern w:val="2"/>
                <w:sz w:val="21"/>
                <w:szCs w:val="20"/>
                <w:lang w:val="en-US" w:eastAsia="zh-CN" w:bidi="ar-S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lang w:eastAsia="zh-CN"/>
              </w:rPr>
            </w:pPr>
          </w:p>
        </w:tc>
        <w:tc>
          <w:tcPr>
            <w:tcW w:w="3676"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第三十条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p>
        </w:tc>
        <w:tc>
          <w:tcPr>
            <w:tcW w:w="3164" w:type="dxa"/>
            <w:tcBorders>
              <w:tl2br w:val="nil"/>
              <w:tr2bl w:val="nil"/>
            </w:tcBorders>
            <w:vAlign w:val="center"/>
          </w:tcPr>
          <w:p>
            <w:pPr>
              <w:pStyle w:val="421"/>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kern w:val="2"/>
                <w:sz w:val="21"/>
                <w:szCs w:val="20"/>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lang w:eastAsia="zh-CN"/>
              </w:rPr>
            </w:pPr>
          </w:p>
        </w:tc>
        <w:tc>
          <w:tcPr>
            <w:tcW w:w="3676"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（一）设置剧毒物质、危险化学品的贮存、输送设施和废物回收场、垃圾场；</w:t>
            </w:r>
          </w:p>
        </w:tc>
        <w:tc>
          <w:tcPr>
            <w:tcW w:w="3164" w:type="dxa"/>
            <w:tcBorders>
              <w:tl2br w:val="nil"/>
              <w:tr2bl w:val="nil"/>
            </w:tcBorders>
            <w:vAlign w:val="center"/>
          </w:tcPr>
          <w:p>
            <w:pPr>
              <w:pStyle w:val="421"/>
              <w:widowControl w:val="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本项目不涉及剧毒物质、危险化学品的贮存、输送，项目施工过程中产生的施工废物均在指定区域收集后，按要求清运至指定地点进行处理；施工人员产生的生活垃圾均经生活垃圾收集点收集后委托环卫部门清运</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kern w:val="2"/>
                <w:sz w:val="21"/>
                <w:szCs w:val="20"/>
                <w:lang w:val="en-US" w:eastAsia="zh-CN" w:bidi="ar-S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lang w:eastAsia="zh-CN"/>
              </w:rPr>
            </w:pPr>
          </w:p>
        </w:tc>
        <w:tc>
          <w:tcPr>
            <w:tcW w:w="3676" w:type="dxa"/>
            <w:tcBorders>
              <w:tl2br w:val="nil"/>
              <w:tr2bl w:val="nil"/>
            </w:tcBorders>
            <w:vAlign w:val="center"/>
          </w:tcPr>
          <w:p>
            <w:pPr>
              <w:pStyle w:val="421"/>
              <w:widowControl w:val="0"/>
              <w:jc w:val="left"/>
              <w:rPr>
                <w:rFonts w:hint="default" w:ascii="Times New Roman" w:hAnsi="Times New Roman" w:eastAsia="宋体" w:cs="Times New Roman"/>
                <w:color w:val="auto"/>
              </w:rPr>
            </w:pPr>
            <w:r>
              <w:rPr>
                <w:rFonts w:hint="default" w:ascii="Times New Roman" w:hAnsi="Times New Roman" w:eastAsia="宋体" w:cs="Times New Roman"/>
                <w:color w:val="auto"/>
              </w:rPr>
              <w:t>（二）设置水上餐饮经营设施；</w:t>
            </w:r>
          </w:p>
        </w:tc>
        <w:tc>
          <w:tcPr>
            <w:tcW w:w="3164" w:type="dxa"/>
            <w:tcBorders>
              <w:tl2br w:val="nil"/>
              <w:tr2bl w:val="nil"/>
            </w:tcBorders>
            <w:vAlign w:val="center"/>
          </w:tcPr>
          <w:p>
            <w:pPr>
              <w:pStyle w:val="421"/>
              <w:widowControl w:val="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本项目不涉及</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kern w:val="2"/>
                <w:sz w:val="21"/>
                <w:szCs w:val="20"/>
                <w:lang w:val="en-US" w:eastAsia="zh-CN" w:bidi="ar-S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lang w:eastAsia="zh-CN"/>
              </w:rPr>
            </w:pPr>
          </w:p>
        </w:tc>
        <w:tc>
          <w:tcPr>
            <w:tcW w:w="3676" w:type="dxa"/>
            <w:tcBorders>
              <w:tl2br w:val="nil"/>
              <w:tr2bl w:val="nil"/>
            </w:tcBorders>
            <w:vAlign w:val="center"/>
          </w:tcPr>
          <w:p>
            <w:pPr>
              <w:pStyle w:val="421"/>
              <w:widowControl w:val="0"/>
              <w:jc w:val="left"/>
              <w:rPr>
                <w:rFonts w:hint="default" w:ascii="Times New Roman" w:hAnsi="Times New Roman" w:eastAsia="宋体" w:cs="Times New Roman"/>
                <w:color w:val="auto"/>
              </w:rPr>
            </w:pPr>
            <w:r>
              <w:rPr>
                <w:rFonts w:hint="default" w:ascii="Times New Roman" w:hAnsi="Times New Roman" w:eastAsia="宋体" w:cs="Times New Roman"/>
                <w:color w:val="auto"/>
              </w:rPr>
              <w:t>（三）新建、扩建高尔夫球场；</w:t>
            </w:r>
          </w:p>
        </w:tc>
        <w:tc>
          <w:tcPr>
            <w:tcW w:w="3164" w:type="dxa"/>
            <w:tcBorders>
              <w:tl2br w:val="nil"/>
              <w:tr2bl w:val="nil"/>
            </w:tcBorders>
            <w:vAlign w:val="center"/>
          </w:tcPr>
          <w:p>
            <w:pPr>
              <w:pStyle w:val="421"/>
              <w:widowControl w:val="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本项目不涉及</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kern w:val="2"/>
                <w:sz w:val="21"/>
                <w:szCs w:val="20"/>
                <w:lang w:val="en-US" w:eastAsia="zh-CN" w:bidi="ar-S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lang w:eastAsia="zh-CN"/>
              </w:rPr>
            </w:pPr>
          </w:p>
        </w:tc>
        <w:tc>
          <w:tcPr>
            <w:tcW w:w="3676" w:type="dxa"/>
            <w:tcBorders>
              <w:tl2br w:val="nil"/>
              <w:tr2bl w:val="nil"/>
            </w:tcBorders>
            <w:vAlign w:val="center"/>
          </w:tcPr>
          <w:p>
            <w:pPr>
              <w:pStyle w:val="421"/>
              <w:widowControl w:val="0"/>
              <w:jc w:val="left"/>
              <w:rPr>
                <w:rFonts w:hint="default" w:ascii="Times New Roman" w:hAnsi="Times New Roman" w:eastAsia="宋体" w:cs="Times New Roman"/>
                <w:color w:val="auto"/>
              </w:rPr>
            </w:pPr>
            <w:r>
              <w:rPr>
                <w:rFonts w:hint="default" w:ascii="Times New Roman" w:hAnsi="Times New Roman" w:eastAsia="宋体" w:cs="Times New Roman"/>
                <w:color w:val="auto"/>
              </w:rPr>
              <w:t>（四）新建、扩建畜禽养殖场；</w:t>
            </w:r>
          </w:p>
        </w:tc>
        <w:tc>
          <w:tcPr>
            <w:tcW w:w="3164" w:type="dxa"/>
            <w:tcBorders>
              <w:tl2br w:val="nil"/>
              <w:tr2bl w:val="nil"/>
            </w:tcBorders>
            <w:vAlign w:val="center"/>
          </w:tcPr>
          <w:p>
            <w:pPr>
              <w:pStyle w:val="421"/>
              <w:widowControl w:val="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本项目不涉及</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kern w:val="2"/>
                <w:sz w:val="21"/>
                <w:szCs w:val="20"/>
                <w:lang w:val="en-US" w:eastAsia="zh-CN" w:bidi="ar-S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lang w:eastAsia="zh-CN"/>
              </w:rPr>
            </w:pPr>
          </w:p>
        </w:tc>
        <w:tc>
          <w:tcPr>
            <w:tcW w:w="3676"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（五）新建、扩建向水体排放污染物的建设项目；</w:t>
            </w:r>
          </w:p>
        </w:tc>
        <w:tc>
          <w:tcPr>
            <w:tcW w:w="3164" w:type="dxa"/>
            <w:tcBorders>
              <w:tl2br w:val="nil"/>
              <w:tr2bl w:val="nil"/>
            </w:tcBorders>
            <w:vAlign w:val="center"/>
          </w:tcPr>
          <w:p>
            <w:pPr>
              <w:pStyle w:val="421"/>
              <w:widowControl w:val="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本项目为生态工程项目，工程建设对水环境水污染的影响集中在施工期，项目工程范围内不设施工营地，生活污水依托当地污水管网排入污水处理厂。</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kern w:val="2"/>
                <w:sz w:val="21"/>
                <w:szCs w:val="20"/>
                <w:lang w:val="en-US" w:eastAsia="zh-CN" w:bidi="ar-S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lang w:eastAsia="zh-CN"/>
              </w:rPr>
            </w:pPr>
          </w:p>
        </w:tc>
        <w:tc>
          <w:tcPr>
            <w:tcW w:w="3676"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（六）本条例第二十九条规定的行为。</w:t>
            </w:r>
          </w:p>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已经设置前款第一项、第二项规定设施的，当地县级人民政府应当责令拆除或者关闭。</w:t>
            </w:r>
          </w:p>
        </w:tc>
        <w:tc>
          <w:tcPr>
            <w:tcW w:w="3164" w:type="dxa"/>
            <w:tcBorders>
              <w:tl2br w:val="nil"/>
              <w:tr2bl w:val="nil"/>
            </w:tcBorders>
            <w:vAlign w:val="center"/>
          </w:tcPr>
          <w:p>
            <w:pPr>
              <w:pStyle w:val="421"/>
              <w:widowControl w:val="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本项目不涉及</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kern w:val="2"/>
                <w:sz w:val="21"/>
                <w:szCs w:val="20"/>
                <w:lang w:val="en-US" w:eastAsia="zh-CN" w:bidi="ar-S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112" w:type="dxa"/>
            <w:vMerge w:val="restart"/>
            <w:tcBorders>
              <w:tl2br w:val="nil"/>
              <w:tr2bl w:val="nil"/>
            </w:tcBorders>
            <w:vAlign w:val="center"/>
          </w:tcPr>
          <w:p>
            <w:pPr>
              <w:pStyle w:val="421"/>
              <w:widowControl w:val="0"/>
              <w:rPr>
                <w:rFonts w:hint="default" w:ascii="Times New Roman" w:hAnsi="Times New Roman" w:eastAsia="宋体" w:cs="Times New Roman"/>
                <w:color w:val="auto"/>
              </w:rPr>
            </w:pPr>
            <w:r>
              <w:rPr>
                <w:rFonts w:hint="default" w:ascii="Times New Roman" w:hAnsi="Times New Roman" w:eastAsia="宋体" w:cs="Times New Roman"/>
                <w:color w:val="auto"/>
              </w:rPr>
              <w:t>《江苏省太湖水污染防治条例》（2018年5月1日）</w:t>
            </w:r>
          </w:p>
        </w:tc>
        <w:tc>
          <w:tcPr>
            <w:tcW w:w="3676" w:type="dxa"/>
            <w:tcBorders>
              <w:tl2br w:val="nil"/>
              <w:tr2bl w:val="nil"/>
            </w:tcBorders>
            <w:vAlign w:val="center"/>
          </w:tcPr>
          <w:p>
            <w:pPr>
              <w:pStyle w:val="421"/>
              <w:widowControl w:val="0"/>
              <w:jc w:val="both"/>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rPr>
              <w:t>第四十二条：太湖流域一级保护区内的饭店、疗养院、旅游度假村、集中式畜禽养殖场等，应当建设污水污物处理设施，对产生的污水进行预处理后接入城镇污水集中处理设施，不得直接排入水体。</w:t>
            </w:r>
          </w:p>
        </w:tc>
        <w:tc>
          <w:tcPr>
            <w:tcW w:w="3164" w:type="dxa"/>
            <w:tcBorders>
              <w:tl2br w:val="nil"/>
              <w:tr2bl w:val="nil"/>
            </w:tcBorders>
            <w:vAlign w:val="center"/>
          </w:tcPr>
          <w:p>
            <w:pPr>
              <w:pStyle w:val="421"/>
              <w:widowControl w:val="0"/>
              <w:jc w:val="left"/>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rPr>
              <w:t>本项目不涉及</w:t>
            </w:r>
          </w:p>
        </w:tc>
        <w:tc>
          <w:tcPr>
            <w:tcW w:w="904" w:type="dxa"/>
            <w:tcBorders>
              <w:tl2br w:val="nil"/>
              <w:tr2bl w:val="nil"/>
            </w:tcBorders>
            <w:vAlign w:val="center"/>
          </w:tcPr>
          <w:p>
            <w:pPr>
              <w:pStyle w:val="421"/>
              <w:widowControl w:val="0"/>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3676"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第四十三条：太湖流域一、二、三级保护区禁止下列行为：</w:t>
            </w:r>
          </w:p>
        </w:tc>
        <w:tc>
          <w:tcPr>
            <w:tcW w:w="3164" w:type="dxa"/>
            <w:tcBorders>
              <w:tl2br w:val="nil"/>
              <w:tr2bl w:val="nil"/>
            </w:tcBorders>
            <w:vAlign w:val="center"/>
          </w:tcPr>
          <w:p>
            <w:pPr>
              <w:pStyle w:val="421"/>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904" w:type="dxa"/>
            <w:tcBorders>
              <w:tl2br w:val="nil"/>
              <w:tr2bl w:val="nil"/>
            </w:tcBorders>
            <w:vAlign w:val="center"/>
          </w:tcPr>
          <w:p>
            <w:pPr>
              <w:pStyle w:val="421"/>
              <w:widowControl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3676"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（一）新建、改建、扩建化学纸浆造纸、制革、酿造、染料、印染、电镀以及其他排放含磷、氮等污染物的企业和项目，城镇污水集中处理等环境基础设施项目和第四十六条规定的情形除外；</w:t>
            </w:r>
          </w:p>
        </w:tc>
        <w:tc>
          <w:tcPr>
            <w:tcW w:w="3164" w:type="dxa"/>
            <w:tcBorders>
              <w:tl2br w:val="nil"/>
              <w:tr2bl w:val="nil"/>
            </w:tcBorders>
            <w:vAlign w:val="center"/>
          </w:tcPr>
          <w:p>
            <w:pPr>
              <w:pStyle w:val="421"/>
              <w:widowControl w:val="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本项目为非污染生态类工程</w:t>
            </w:r>
            <w:r>
              <w:rPr>
                <w:rFonts w:hint="default" w:ascii="Times New Roman" w:hAnsi="Times New Roman" w:eastAsia="宋体" w:cs="Times New Roman"/>
                <w:color w:val="auto"/>
                <w:lang w:val="en-US" w:eastAsia="zh-CN"/>
              </w:rPr>
              <w:t>项目</w:t>
            </w:r>
          </w:p>
        </w:tc>
        <w:tc>
          <w:tcPr>
            <w:tcW w:w="904" w:type="dxa"/>
            <w:tcBorders>
              <w:tl2br w:val="nil"/>
              <w:tr2bl w:val="nil"/>
            </w:tcBorders>
            <w:vAlign w:val="center"/>
          </w:tcPr>
          <w:p>
            <w:pPr>
              <w:pStyle w:val="421"/>
              <w:widowControl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3676" w:type="dxa"/>
            <w:tcBorders>
              <w:tl2br w:val="nil"/>
              <w:tr2bl w:val="nil"/>
            </w:tcBorders>
            <w:vAlign w:val="center"/>
          </w:tcPr>
          <w:p>
            <w:pPr>
              <w:pStyle w:val="421"/>
              <w:widowControl w:val="0"/>
              <w:jc w:val="left"/>
              <w:rPr>
                <w:rFonts w:hint="default" w:ascii="Times New Roman" w:hAnsi="Times New Roman" w:eastAsia="宋体" w:cs="Times New Roman"/>
                <w:color w:val="auto"/>
              </w:rPr>
            </w:pPr>
            <w:r>
              <w:rPr>
                <w:rFonts w:hint="default" w:ascii="Times New Roman" w:hAnsi="Times New Roman" w:eastAsia="宋体" w:cs="Times New Roman"/>
                <w:color w:val="auto"/>
              </w:rPr>
              <w:t>（二）销售、使用含磷洗涤用品；</w:t>
            </w:r>
          </w:p>
        </w:tc>
        <w:tc>
          <w:tcPr>
            <w:tcW w:w="3164" w:type="dxa"/>
            <w:tcBorders>
              <w:tl2br w:val="nil"/>
              <w:tr2bl w:val="nil"/>
            </w:tcBorders>
            <w:vAlign w:val="center"/>
          </w:tcPr>
          <w:p>
            <w:pPr>
              <w:pStyle w:val="421"/>
              <w:widowControl w:val="0"/>
              <w:jc w:val="left"/>
              <w:rPr>
                <w:rFonts w:hint="default" w:ascii="Times New Roman" w:hAnsi="Times New Roman" w:eastAsia="宋体" w:cs="Times New Roman"/>
                <w:color w:val="auto"/>
              </w:rPr>
            </w:pPr>
            <w:r>
              <w:rPr>
                <w:rFonts w:hint="default" w:ascii="Times New Roman" w:hAnsi="Times New Roman" w:eastAsia="宋体" w:cs="Times New Roman"/>
                <w:color w:val="auto"/>
              </w:rPr>
              <w:t>本项目不销售、使用含磷洗涤用品</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3676"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（三）向水体排放或者倾倒油类、酸液、碱液、剧毒废渣废液、含放射性废渣废液、含病原体污水、工业废渣以及其他废弃物；</w:t>
            </w:r>
          </w:p>
        </w:tc>
        <w:tc>
          <w:tcPr>
            <w:tcW w:w="3164"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项目施工过程中产生的施工废物均在指定区域收集后，按要求清运至指定地点进行处理；施工人员产生的生活垃圾均经生活垃圾收集点收集后委托环卫部门清运；本项目在施工过程中不向水体倾倒任何废弃物。</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3676"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（四）在水体清洗装贮过油类或者有毒有害污染物的车辆、船舶和容器等；</w:t>
            </w:r>
          </w:p>
        </w:tc>
        <w:tc>
          <w:tcPr>
            <w:tcW w:w="3164"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本项目不向水体排放污染物</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3676"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（五）使用农药等有毒物毒杀水生生物；</w:t>
            </w:r>
          </w:p>
        </w:tc>
        <w:tc>
          <w:tcPr>
            <w:tcW w:w="3164"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本项目不使用农药</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3676"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（六）向水体直接排放人畜粪便、倾倒垃圾；</w:t>
            </w:r>
          </w:p>
        </w:tc>
        <w:tc>
          <w:tcPr>
            <w:tcW w:w="3164"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项目工程范围内不设施工营地，生活污水依托当地污水管网排入污水处理</w:t>
            </w:r>
            <w:r>
              <w:rPr>
                <w:rFonts w:hint="default" w:ascii="Times New Roman" w:hAnsi="Times New Roman" w:eastAsia="宋体" w:cs="Times New Roman"/>
                <w:color w:val="auto"/>
              </w:rPr>
              <w:t>厂，生活垃圾委托环卫部门定期清运。</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3676" w:type="dxa"/>
            <w:tcBorders>
              <w:tl2br w:val="nil"/>
              <w:tr2bl w:val="nil"/>
            </w:tcBorders>
            <w:vAlign w:val="center"/>
          </w:tcPr>
          <w:p>
            <w:pPr>
              <w:pStyle w:val="421"/>
              <w:widowControl w:val="0"/>
              <w:jc w:val="left"/>
              <w:rPr>
                <w:rFonts w:hint="default" w:ascii="Times New Roman" w:hAnsi="Times New Roman" w:eastAsia="宋体" w:cs="Times New Roman"/>
                <w:color w:val="auto"/>
              </w:rPr>
            </w:pPr>
            <w:r>
              <w:rPr>
                <w:rFonts w:hint="default" w:ascii="Times New Roman" w:hAnsi="Times New Roman" w:eastAsia="宋体" w:cs="Times New Roman"/>
                <w:color w:val="auto"/>
              </w:rPr>
              <w:t>（七）围湖造地；</w:t>
            </w:r>
          </w:p>
        </w:tc>
        <w:tc>
          <w:tcPr>
            <w:tcW w:w="3164" w:type="dxa"/>
            <w:tcBorders>
              <w:tl2br w:val="nil"/>
              <w:tr2bl w:val="nil"/>
            </w:tcBorders>
            <w:vAlign w:val="center"/>
          </w:tcPr>
          <w:p>
            <w:pPr>
              <w:pStyle w:val="421"/>
              <w:widowControl w:val="0"/>
              <w:jc w:val="left"/>
              <w:rPr>
                <w:rFonts w:hint="default" w:ascii="Times New Roman" w:hAnsi="Times New Roman" w:eastAsia="宋体" w:cs="Times New Roman"/>
                <w:color w:val="auto"/>
              </w:rPr>
            </w:pPr>
            <w:r>
              <w:rPr>
                <w:rFonts w:hint="default" w:ascii="Times New Roman" w:hAnsi="Times New Roman" w:eastAsia="宋体" w:cs="Times New Roman"/>
                <w:color w:val="auto"/>
              </w:rPr>
              <w:t>本项目不涉及</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3676"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（八）违法开山采石，或者进行破坏林木、植被、水生生物的活动；</w:t>
            </w:r>
          </w:p>
        </w:tc>
        <w:tc>
          <w:tcPr>
            <w:tcW w:w="3164"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本项目建设内容为</w:t>
            </w:r>
            <w:r>
              <w:rPr>
                <w:rFonts w:hint="default" w:ascii="Times New Roman" w:hAnsi="Times New Roman" w:eastAsia="宋体" w:cs="Times New Roman"/>
                <w:color w:val="auto"/>
                <w:lang w:val="en-US" w:eastAsia="zh-CN"/>
              </w:rPr>
              <w:t>生态修复</w:t>
            </w:r>
            <w:r>
              <w:rPr>
                <w:rFonts w:hint="default" w:ascii="Times New Roman" w:hAnsi="Times New Roman" w:eastAsia="宋体" w:cs="Times New Roman"/>
                <w:color w:val="auto"/>
              </w:rPr>
              <w:t>，不会进行开山采石，本项目施工期会造成水域生态和陆域生态环境影响：其中项目建设会造成底栖生物、浮游生物等水生生物量的损失，但对水生生物生境的影响范围、影响程度、影响时间较小，随着施工的结束，水生生境得以恢复，原有的水生生物群落也会逐步恢复，项目建设对水生生态的影响较小。</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3676"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（九）法律、法规禁止的其他行为。</w:t>
            </w:r>
          </w:p>
        </w:tc>
        <w:tc>
          <w:tcPr>
            <w:tcW w:w="3164"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本项目不进行法律、法规禁止的其他行为</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3676"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第四十四条 除二级保护区规定的禁止行为外，太湖流域一级保护区还禁止下列行为：</w:t>
            </w:r>
          </w:p>
        </w:tc>
        <w:tc>
          <w:tcPr>
            <w:tcW w:w="3164" w:type="dxa"/>
            <w:tcBorders>
              <w:tl2br w:val="nil"/>
              <w:tr2bl w:val="nil"/>
            </w:tcBorders>
            <w:vAlign w:val="center"/>
          </w:tcPr>
          <w:p>
            <w:pPr>
              <w:pStyle w:val="421"/>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904" w:type="dxa"/>
            <w:tcBorders>
              <w:tl2br w:val="nil"/>
              <w:tr2bl w:val="nil"/>
            </w:tcBorders>
            <w:vAlign w:val="center"/>
          </w:tcPr>
          <w:p>
            <w:pPr>
              <w:pStyle w:val="421"/>
              <w:widowControl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3676"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（一）新建、扩建向水体排放污染物的项目；</w:t>
            </w:r>
          </w:p>
        </w:tc>
        <w:tc>
          <w:tcPr>
            <w:tcW w:w="3164"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本项目为生态工程项目，工程建设对水环境水污染的影响集中在施工期，项目工程范围内不设施工营地，</w:t>
            </w:r>
            <w:r>
              <w:rPr>
                <w:rFonts w:hint="default" w:ascii="Times New Roman" w:hAnsi="Times New Roman" w:eastAsia="宋体" w:cs="Times New Roman"/>
                <w:color w:val="auto"/>
                <w:lang w:val="en-US" w:eastAsia="zh-CN"/>
              </w:rPr>
              <w:t>项目工程范围内不设施工营地，生活污水依托当地污水管网排入污水处理厂</w:t>
            </w:r>
            <w:r>
              <w:rPr>
                <w:rFonts w:hint="default" w:ascii="Times New Roman" w:hAnsi="Times New Roman" w:eastAsia="宋体" w:cs="Times New Roman"/>
                <w:color w:val="auto"/>
              </w:rPr>
              <w:t>。</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3676"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（二）在国家和省规定的养殖范围外从事网围、网箱养殖，利用虾窝、地笼网、机械吸螺、底拖网进行捕捞作业；</w:t>
            </w:r>
          </w:p>
        </w:tc>
        <w:tc>
          <w:tcPr>
            <w:tcW w:w="3164"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本项目不从事捕捞作业</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3676"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（三）新建、扩建畜禽养殖场；</w:t>
            </w:r>
          </w:p>
        </w:tc>
        <w:tc>
          <w:tcPr>
            <w:tcW w:w="3164"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本项目不涉及畜禽养殖</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3676"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（四）新建、扩建高尔夫球场、水上游乐等开发项目；</w:t>
            </w:r>
          </w:p>
        </w:tc>
        <w:tc>
          <w:tcPr>
            <w:tcW w:w="3164"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w:t>
            </w:r>
            <w:r>
              <w:rPr>
                <w:rFonts w:hint="default" w:ascii="Times New Roman" w:hAnsi="Times New Roman" w:eastAsia="宋体" w:cs="Times New Roman"/>
                <w:color w:val="auto"/>
                <w:lang w:val="en-US" w:eastAsia="zh-CN"/>
              </w:rPr>
              <w:t>为生态修复工程</w:t>
            </w:r>
            <w:r>
              <w:rPr>
                <w:rFonts w:hint="default" w:ascii="Times New Roman" w:hAnsi="Times New Roman" w:eastAsia="宋体" w:cs="Times New Roman"/>
                <w:color w:val="auto"/>
              </w:rPr>
              <w:t>，不会涉及高尔夫球场、水上游乐等开发项目</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3676"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（五）设置水上餐饮经营设施；</w:t>
            </w:r>
          </w:p>
        </w:tc>
        <w:tc>
          <w:tcPr>
            <w:tcW w:w="3164"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本项目不属于水上餐饮经营</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3676"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（六）法律、法规禁止的其他可能污染水质的活动。</w:t>
            </w:r>
          </w:p>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除城镇污水集中处理设施依法设置的排污口外，一级保护区内已经设置的排污口应当限期关闭。</w:t>
            </w:r>
          </w:p>
        </w:tc>
        <w:tc>
          <w:tcPr>
            <w:tcW w:w="3164"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本项目为生态工程项目，工程建设对水环境水污染的影响集中在施工期，项目工程范围内不设施工营地，</w:t>
            </w:r>
            <w:r>
              <w:rPr>
                <w:rFonts w:hint="default" w:ascii="Times New Roman" w:hAnsi="Times New Roman" w:eastAsia="宋体" w:cs="Times New Roman"/>
                <w:color w:val="auto"/>
                <w:lang w:val="en-US" w:eastAsia="zh-CN"/>
              </w:rPr>
              <w:t>项目工程范围内不设施工营地，生活污水依托当地污水管网排入污水处理厂</w:t>
            </w:r>
            <w:r>
              <w:rPr>
                <w:rFonts w:hint="default" w:ascii="Times New Roman" w:hAnsi="Times New Roman" w:eastAsia="宋体" w:cs="Times New Roman"/>
                <w:color w:val="auto"/>
              </w:rPr>
              <w:t>。</w:t>
            </w:r>
          </w:p>
        </w:tc>
        <w:tc>
          <w:tcPr>
            <w:tcW w:w="904" w:type="dxa"/>
            <w:tcBorders>
              <w:tl2br w:val="nil"/>
              <w:tr2bl w:val="nil"/>
            </w:tcBorders>
            <w:vAlign w:val="center"/>
          </w:tcPr>
          <w:p>
            <w:pPr>
              <w:pStyle w:val="421"/>
              <w:widowControl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3676"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第四十五条：太湖流域二级保护区禁止下列行为：</w:t>
            </w:r>
          </w:p>
        </w:tc>
        <w:tc>
          <w:tcPr>
            <w:tcW w:w="3164" w:type="dxa"/>
            <w:tcBorders>
              <w:tl2br w:val="nil"/>
              <w:tr2bl w:val="nil"/>
            </w:tcBorders>
            <w:vAlign w:val="center"/>
          </w:tcPr>
          <w:p>
            <w:pPr>
              <w:pStyle w:val="421"/>
              <w:widowControl w:val="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3676"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（一）新建、扩建化工、医药生产项目；</w:t>
            </w:r>
          </w:p>
        </w:tc>
        <w:tc>
          <w:tcPr>
            <w:tcW w:w="3164"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本项目不属于化工、医药项目</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3676"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（二）新建、扩建污水集中处理设施排污口以外的排污口；</w:t>
            </w:r>
          </w:p>
        </w:tc>
        <w:tc>
          <w:tcPr>
            <w:tcW w:w="3164"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本项目不新建其他排污口</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3676"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（三）扩大水产养殖规模；</w:t>
            </w:r>
          </w:p>
        </w:tc>
        <w:tc>
          <w:tcPr>
            <w:tcW w:w="3164"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本项目不涉及水产养殖</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rPr>
            </w:pPr>
          </w:p>
        </w:tc>
        <w:tc>
          <w:tcPr>
            <w:tcW w:w="3676"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（四）法律、法规禁止的其他行为。</w:t>
            </w:r>
          </w:p>
        </w:tc>
        <w:tc>
          <w:tcPr>
            <w:tcW w:w="3164"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本项目不进行法律、法规禁止的其他行为。</w:t>
            </w:r>
          </w:p>
        </w:tc>
        <w:tc>
          <w:tcPr>
            <w:tcW w:w="904" w:type="dxa"/>
            <w:tcBorders>
              <w:tl2br w:val="nil"/>
              <w:tr2bl w:val="nil"/>
            </w:tcBorders>
            <w:vAlign w:val="center"/>
          </w:tcPr>
          <w:p>
            <w:pPr>
              <w:pStyle w:val="421"/>
              <w:widowControl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相符</w:t>
            </w:r>
          </w:p>
        </w:tc>
      </w:tr>
    </w:tbl>
    <w:p>
      <w:pPr>
        <w:pStyle w:val="8"/>
        <w:snapToGrid w:val="0"/>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对照《省政府办公厅关于公布江苏省太湖流域三级保护区范围的通知》（苏政办发[2012]221号），本项目位于太湖流域一级保护区范围内。本工程为非污染生态类工程，项目污染物排放主要集中在施工期，项目工程范围内不设施工营地，生活污水依托当地污水管网排入污水处理厂，不向太湖排放污染物，不属于禁止的行业及行为；项目不向太湖水体倾倒和排放废液、垃圾等，不会对太湖水体水质造成污染，故本项目的建设符合《太湖流域管理条例》和《江苏省太湖水污染防治条例》（2018年5月1日）的有关规定。工程实施后，可以促进水体的流动与交换，保障太湖饮用水取水口的水质以及取水口的安全，加大了水体自净能力，从长远看，工程运行对于项目施工河流水环境改善将具有较强的促进作用。</w:t>
      </w:r>
    </w:p>
    <w:p>
      <w:pPr>
        <w:pStyle w:val="8"/>
        <w:snapToGrid w:val="0"/>
        <w:spacing w:line="480" w:lineRule="exact"/>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8、</w:t>
      </w:r>
      <w:r>
        <w:rPr>
          <w:rFonts w:hint="default" w:ascii="Times New Roman" w:hAnsi="Times New Roman" w:eastAsia="宋体" w:cs="Times New Roman"/>
          <w:b/>
          <w:bCs/>
          <w:color w:val="auto"/>
          <w:sz w:val="24"/>
          <w:szCs w:val="24"/>
        </w:rPr>
        <w:t>与《江苏省湖泊保护条例》相符性</w:t>
      </w:r>
    </w:p>
    <w:p>
      <w:pPr>
        <w:pStyle w:val="8"/>
        <w:snapToGrid w:val="0"/>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本项目与《江苏省湖泊保护条例》相符分析见下表：</w:t>
      </w:r>
    </w:p>
    <w:p>
      <w:pPr>
        <w:pStyle w:val="8"/>
        <w:snapToGrid w:val="0"/>
        <w:spacing w:line="480" w:lineRule="exact"/>
        <w:ind w:firstLine="482" w:firstLineChars="20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表2.</w:t>
      </w:r>
      <w:r>
        <w:rPr>
          <w:rFonts w:hint="eastAsia" w:cs="Times New Roman"/>
          <w:b/>
          <w:bCs/>
          <w:color w:val="auto"/>
          <w:sz w:val="24"/>
          <w:szCs w:val="24"/>
          <w:lang w:val="en-US" w:eastAsia="zh-CN"/>
        </w:rPr>
        <w:t>5</w:t>
      </w:r>
      <w:r>
        <w:rPr>
          <w:rFonts w:hint="default" w:ascii="Times New Roman" w:hAnsi="Times New Roman" w:eastAsia="宋体" w:cs="Times New Roman"/>
          <w:b/>
          <w:bCs/>
          <w:color w:val="auto"/>
          <w:sz w:val="24"/>
          <w:szCs w:val="24"/>
        </w:rPr>
        <w:t>-4 与《江苏省湖泊保护条例（2018 年）》相符性分析</w:t>
      </w:r>
    </w:p>
    <w:tbl>
      <w:tblPr>
        <w:tblStyle w:val="5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4358"/>
        <w:gridCol w:w="2482"/>
        <w:gridCol w:w="9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2" w:type="dxa"/>
            <w:tcBorders>
              <w:tl2br w:val="nil"/>
              <w:tr2bl w:val="nil"/>
            </w:tcBorders>
            <w:vAlign w:val="center"/>
          </w:tcPr>
          <w:p>
            <w:pPr>
              <w:pStyle w:val="421"/>
              <w:widowControl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文件名称</w:t>
            </w:r>
          </w:p>
        </w:tc>
        <w:tc>
          <w:tcPr>
            <w:tcW w:w="4358" w:type="dxa"/>
            <w:tcBorders>
              <w:tl2br w:val="nil"/>
              <w:tr2bl w:val="nil"/>
            </w:tcBorders>
            <w:vAlign w:val="center"/>
          </w:tcPr>
          <w:p>
            <w:pPr>
              <w:pStyle w:val="421"/>
              <w:widowControl w:val="0"/>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内容要求</w:t>
            </w:r>
          </w:p>
        </w:tc>
        <w:tc>
          <w:tcPr>
            <w:tcW w:w="2482" w:type="dxa"/>
            <w:tcBorders>
              <w:tl2br w:val="nil"/>
              <w:tr2bl w:val="nil"/>
            </w:tcBorders>
            <w:vAlign w:val="center"/>
          </w:tcPr>
          <w:p>
            <w:pPr>
              <w:pStyle w:val="421"/>
              <w:widowControl w:val="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本项目情况</w:t>
            </w:r>
          </w:p>
        </w:tc>
        <w:tc>
          <w:tcPr>
            <w:tcW w:w="904" w:type="dxa"/>
            <w:tcBorders>
              <w:tl2br w:val="nil"/>
              <w:tr2bl w:val="nil"/>
            </w:tcBorders>
            <w:vAlign w:val="center"/>
          </w:tcPr>
          <w:p>
            <w:pPr>
              <w:pStyle w:val="421"/>
              <w:widowControl w:val="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112" w:type="dxa"/>
            <w:vMerge w:val="restart"/>
            <w:tcBorders>
              <w:tl2br w:val="nil"/>
              <w:tr2bl w:val="nil"/>
            </w:tcBorders>
            <w:vAlign w:val="center"/>
          </w:tcPr>
          <w:p>
            <w:pPr>
              <w:pStyle w:val="421"/>
              <w:widowControl w:val="0"/>
              <w:rPr>
                <w:rFonts w:hint="default" w:ascii="Times New Roman" w:hAnsi="Times New Roman" w:eastAsia="宋体" w:cs="Times New Roman"/>
                <w:color w:val="auto"/>
              </w:rPr>
            </w:pPr>
            <w:r>
              <w:rPr>
                <w:rFonts w:hint="default" w:ascii="Times New Roman" w:hAnsi="Times New Roman" w:eastAsia="宋体" w:cs="Times New Roman"/>
                <w:color w:val="auto"/>
              </w:rPr>
              <w:t>《江苏省湖泊保护条例（2018 年）》</w:t>
            </w:r>
          </w:p>
        </w:tc>
        <w:tc>
          <w:tcPr>
            <w:tcW w:w="4358"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第三条：</w:t>
            </w:r>
            <w:r>
              <w:rPr>
                <w:rFonts w:hint="eastAsia" w:cs="Times New Roman"/>
                <w:color w:val="auto"/>
                <w:lang w:eastAsia="zh-CN"/>
              </w:rPr>
              <w:t>“</w:t>
            </w:r>
            <w:r>
              <w:rPr>
                <w:rFonts w:hint="default" w:ascii="Times New Roman" w:hAnsi="Times New Roman" w:eastAsia="宋体" w:cs="Times New Roman"/>
                <w:color w:val="auto"/>
              </w:rPr>
              <w:t>湖泊保护应当遵循统筹兼顾、科学利用、保护优先、协调发展的原则。</w:t>
            </w:r>
          </w:p>
          <w:p>
            <w:pPr>
              <w:pStyle w:val="421"/>
              <w:widowControl w:val="0"/>
              <w:jc w:val="both"/>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地方各级人民政府应当增加投入，采取有利于湖泊保护的经济技术政策和措施，加强湖泊资源保护，规范湖泊开发、利用活动，防止现有湖泊面积减少，提高湖泊行水蓄水能力，防止湖泊水质污染，改善湖泊生态环境。</w:t>
            </w:r>
            <w:r>
              <w:rPr>
                <w:rFonts w:hint="eastAsia" w:cs="Times New Roman"/>
                <w:color w:val="auto"/>
                <w:lang w:eastAsia="zh-CN"/>
              </w:rPr>
              <w:t>”</w:t>
            </w:r>
          </w:p>
        </w:tc>
        <w:tc>
          <w:tcPr>
            <w:tcW w:w="2482"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本项目为</w:t>
            </w:r>
            <w:r>
              <w:rPr>
                <w:rFonts w:hint="default" w:ascii="Times New Roman" w:hAnsi="Times New Roman" w:eastAsia="宋体" w:cs="Times New Roman"/>
                <w:color w:val="auto"/>
                <w:lang w:val="en-US" w:eastAsia="zh-CN"/>
              </w:rPr>
              <w:t>水源地生态修复</w:t>
            </w:r>
            <w:r>
              <w:rPr>
                <w:rFonts w:hint="default" w:ascii="Times New Roman" w:hAnsi="Times New Roman" w:eastAsia="宋体" w:cs="Times New Roman"/>
                <w:color w:val="auto"/>
              </w:rPr>
              <w:t>工程，项目的实施有利于保障饮用水水源地的安全，</w:t>
            </w:r>
            <w:r>
              <w:rPr>
                <w:rFonts w:hint="default" w:ascii="Times New Roman" w:hAnsi="Times New Roman" w:eastAsia="宋体" w:cs="Times New Roman"/>
                <w:color w:val="auto"/>
                <w:lang w:val="en-US" w:eastAsia="zh-CN"/>
              </w:rPr>
              <w:t>防止太湖水质污染，改善太湖生态环境</w:t>
            </w:r>
          </w:p>
        </w:tc>
        <w:tc>
          <w:tcPr>
            <w:tcW w:w="904" w:type="dxa"/>
            <w:tcBorders>
              <w:tl2br w:val="nil"/>
              <w:tr2bl w:val="nil"/>
            </w:tcBorders>
            <w:vAlign w:val="center"/>
          </w:tcPr>
          <w:p>
            <w:pPr>
              <w:pStyle w:val="421"/>
              <w:widowControl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lang w:eastAsia="zh-CN"/>
              </w:rPr>
            </w:pPr>
          </w:p>
        </w:tc>
        <w:tc>
          <w:tcPr>
            <w:tcW w:w="4358"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第七条 列入保护名录的湖泊，应当按照防洪和水资源配置的总体安排，分别编制湖泊保护规划。</w:t>
            </w:r>
          </w:p>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湖泊保护规划的内容应当包括湖泊保护范围，禁止采砂、取土、采石的区域（以下简称湖泊禁采区），限制开发、利用的项目，防洪、除涝要求，水功能区划以及水质保护目标、措施，种植、养殖面积控制目标，退田（渔）还湖、退圩还湖方案，清淤措施等内容。</w:t>
            </w:r>
          </w:p>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湖泊保护规划按照湖泊管理权限由县级以上水行政主管部门会同有关部门编制，</w:t>
            </w:r>
          </w:p>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报本级人民政府批准后实施。湖泊保护规划应当自本条例实施之日起一年内编制完成。水行政主管部门应当根据实际情况的变化对湖泊保护规划进行修订和调整，并报原批准机关批准。</w:t>
            </w:r>
          </w:p>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湖泊保护规划是湖泊保护、开发、利用和管理的依据。任何单位和个人不得违反湖泊保护规划从事水产养殖、城镇建设、房地产开发、旅游资源开发等开发、利用活动。</w:t>
            </w:r>
          </w:p>
        </w:tc>
        <w:tc>
          <w:tcPr>
            <w:tcW w:w="2482" w:type="dxa"/>
            <w:tcBorders>
              <w:tl2br w:val="nil"/>
              <w:tr2bl w:val="nil"/>
            </w:tcBorders>
            <w:vAlign w:val="center"/>
          </w:tcPr>
          <w:p>
            <w:pPr>
              <w:pStyle w:val="421"/>
              <w:widowControl w:val="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本项目为水源地生态修复</w:t>
            </w:r>
            <w:r>
              <w:rPr>
                <w:rFonts w:hint="default" w:ascii="Times New Roman" w:hAnsi="Times New Roman" w:eastAsia="宋体" w:cs="Times New Roman"/>
                <w:color w:val="auto"/>
              </w:rPr>
              <w:t>工程</w:t>
            </w:r>
            <w:r>
              <w:rPr>
                <w:rFonts w:hint="default" w:ascii="Times New Roman" w:hAnsi="Times New Roman" w:eastAsia="宋体" w:cs="Times New Roman"/>
                <w:color w:val="auto"/>
                <w:lang w:val="en-US" w:eastAsia="zh-CN"/>
              </w:rPr>
              <w:t>，不会涉及水产养殖、城镇建设、房地产开发、旅游资源开发等开发、利用活动</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kern w:val="2"/>
                <w:sz w:val="21"/>
                <w:szCs w:val="20"/>
                <w:lang w:val="en-US" w:eastAsia="zh-CN" w:bidi="ar-S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lang w:eastAsia="zh-CN"/>
              </w:rPr>
            </w:pPr>
          </w:p>
        </w:tc>
        <w:tc>
          <w:tcPr>
            <w:tcW w:w="4358" w:type="dxa"/>
            <w:tcBorders>
              <w:tl2br w:val="nil"/>
              <w:tr2bl w:val="nil"/>
            </w:tcBorders>
            <w:vAlign w:val="center"/>
          </w:tcPr>
          <w:p>
            <w:pPr>
              <w:pStyle w:val="421"/>
              <w:widowControl w:val="0"/>
              <w:jc w:val="both"/>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第十一条：</w:t>
            </w:r>
            <w:r>
              <w:rPr>
                <w:rFonts w:hint="eastAsia" w:cs="Times New Roman"/>
                <w:color w:val="auto"/>
                <w:lang w:eastAsia="zh-CN"/>
              </w:rPr>
              <w:t>“</w:t>
            </w:r>
            <w:r>
              <w:rPr>
                <w:rFonts w:hint="default" w:ascii="Times New Roman" w:hAnsi="Times New Roman" w:eastAsia="宋体" w:cs="Times New Roman"/>
                <w:color w:val="auto"/>
              </w:rPr>
              <w:t>在湖泊保护范围内，禁止建设妨碍行洪的建筑物、构筑物。在城市市区内的湖泊保护范围内，禁止新建、扩建与防洪、改善水环境以及景观无关的建筑物、构筑物。在湖泊保护范围内，依法获得批准进行工程项目建设或者设置其他设施的，不得有下列情形：（一）缩小湖泊面积；（二）影响湖泊的行水蓄水能力和其他工程设施的安全；（三）影响水功能区划确定的水质保护目标；（四）破坏湖泊的生态环境。在湖泊保护范围内建设跨湖、穿湖、穿堤、临湖的工程设施的，按照《中华人民共和国防洪法》的规定履行报批手续。</w:t>
            </w:r>
            <w:r>
              <w:rPr>
                <w:rFonts w:hint="eastAsia" w:cs="Times New Roman"/>
                <w:color w:val="auto"/>
                <w:lang w:eastAsia="zh-CN"/>
              </w:rPr>
              <w:t>”</w:t>
            </w:r>
          </w:p>
        </w:tc>
        <w:tc>
          <w:tcPr>
            <w:tcW w:w="2482" w:type="dxa"/>
            <w:tcBorders>
              <w:tl2br w:val="nil"/>
              <w:tr2bl w:val="nil"/>
            </w:tcBorders>
            <w:vAlign w:val="center"/>
          </w:tcPr>
          <w:p>
            <w:pPr>
              <w:pStyle w:val="421"/>
              <w:widowControl w:val="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本项目</w:t>
            </w:r>
            <w:r>
              <w:rPr>
                <w:rFonts w:hint="default" w:ascii="Times New Roman" w:hAnsi="Times New Roman" w:eastAsia="宋体" w:cs="Times New Roman"/>
                <w:color w:val="auto"/>
                <w:lang w:val="en-US" w:eastAsia="zh-CN"/>
              </w:rPr>
              <w:t>为生态修复</w:t>
            </w:r>
            <w:r>
              <w:rPr>
                <w:rFonts w:hint="default" w:ascii="Times New Roman" w:hAnsi="Times New Roman" w:eastAsia="宋体" w:cs="Times New Roman"/>
                <w:color w:val="auto"/>
              </w:rPr>
              <w:t>工程</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可以提高饮用水源地水体自净能力，对水源地水质具有一定的改善作用，同时也有利于改善水环境质量和水环境生态系统性能，对水源地有保护作用，是对水源的保护更加有利的。不属于与保护水源无关的项目</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kern w:val="2"/>
                <w:sz w:val="21"/>
                <w:szCs w:val="20"/>
                <w:lang w:val="en-US" w:eastAsia="zh-CN" w:bidi="ar-S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lang w:eastAsia="zh-CN"/>
              </w:rPr>
            </w:pPr>
          </w:p>
        </w:tc>
        <w:tc>
          <w:tcPr>
            <w:tcW w:w="4358" w:type="dxa"/>
            <w:tcBorders>
              <w:tl2br w:val="nil"/>
              <w:tr2bl w:val="nil"/>
            </w:tcBorders>
            <w:vAlign w:val="center"/>
          </w:tcPr>
          <w:p>
            <w:pPr>
              <w:pStyle w:val="421"/>
              <w:widowControl w:val="0"/>
              <w:jc w:val="both"/>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第十二条：</w:t>
            </w:r>
            <w:r>
              <w:rPr>
                <w:rFonts w:hint="eastAsia" w:cs="Times New Roman"/>
                <w:color w:val="auto"/>
                <w:lang w:eastAsia="zh-CN"/>
              </w:rPr>
              <w:t>“</w:t>
            </w:r>
            <w:r>
              <w:rPr>
                <w:rFonts w:hint="default" w:ascii="Times New Roman" w:hAnsi="Times New Roman" w:eastAsia="宋体" w:cs="Times New Roman"/>
                <w:color w:val="auto"/>
              </w:rPr>
              <w:t>湖泊保护范围内禁止下列行为：（一）排放未经处理的或者处理未达标的工业废水；（二）倾倒、填埋废弃物；（三）在湖泊滩地和岸坡堆放、贮存固体废弃物和其他污染物。对城市市区内的湖泊应当建设环湖截污管网，并纳入城市污水处理系统。湖泊保护范围内的城市生活污水应当进入城市截污管网进行处理。</w:t>
            </w:r>
            <w:r>
              <w:rPr>
                <w:rFonts w:hint="eastAsia" w:cs="Times New Roman"/>
                <w:color w:val="auto"/>
                <w:lang w:eastAsia="zh-CN"/>
              </w:rPr>
              <w:t>”</w:t>
            </w:r>
          </w:p>
        </w:tc>
        <w:tc>
          <w:tcPr>
            <w:tcW w:w="2482" w:type="dxa"/>
            <w:tcBorders>
              <w:tl2br w:val="nil"/>
              <w:tr2bl w:val="nil"/>
            </w:tcBorders>
            <w:vAlign w:val="center"/>
          </w:tcPr>
          <w:p>
            <w:pPr>
              <w:pStyle w:val="421"/>
              <w:widowControl w:val="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为非污染生态类工程项目，施工过程中产生的施工废物均在指定区域收集后，按要求清运至指定地点进行处理；施工人员产生的生活垃圾均经生活垃圾收集点收集后委托环卫部门清运；本项目在施工过程中不向水体倾倒任何废弃物；工程建设对水环境水污染的影响集中在施工期，项目工程范围内不设施工营地，生活污水依托当地污水管网排入污水处理厂</w:t>
            </w:r>
            <w:r>
              <w:rPr>
                <w:rFonts w:hint="eastAsia" w:cs="Times New Roman"/>
                <w:color w:val="auto"/>
                <w:lang w:val="en-US" w:eastAsia="zh-CN"/>
              </w:rPr>
              <w:t>。</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kern w:val="2"/>
                <w:sz w:val="21"/>
                <w:szCs w:val="20"/>
                <w:lang w:val="en-US" w:eastAsia="zh-CN" w:bidi="ar-SA"/>
              </w:rPr>
              <w:t>相符</w:t>
            </w:r>
          </w:p>
        </w:tc>
      </w:tr>
    </w:tbl>
    <w:p>
      <w:pPr>
        <w:pStyle w:val="8"/>
        <w:snapToGrid w:val="0"/>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为生态修复工程项目，对水源地水质具有一定的改善作用，同时也有利于改善水环境质量和水环境生态系统性能，从长远角度考虑是对水源的保护更加有利的，故本项目与《江苏省湖泊保护条例（2018年）》相符。</w:t>
      </w:r>
    </w:p>
    <w:p>
      <w:pPr>
        <w:pStyle w:val="8"/>
        <w:snapToGrid w:val="0"/>
        <w:spacing w:line="480" w:lineRule="exact"/>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9、与《省生态环境厅关于进一步做好建设项目环评审批工作的通知》相符性</w:t>
      </w:r>
    </w:p>
    <w:p>
      <w:pPr>
        <w:pStyle w:val="8"/>
        <w:snapToGrid w:val="0"/>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本项目为</w:t>
      </w:r>
      <w:r>
        <w:rPr>
          <w:rFonts w:hint="default" w:ascii="Times New Roman" w:hAnsi="Times New Roman" w:eastAsia="宋体" w:cs="Times New Roman"/>
          <w:color w:val="auto"/>
          <w:sz w:val="24"/>
          <w:szCs w:val="24"/>
          <w:lang w:val="en-US" w:eastAsia="zh-CN"/>
        </w:rPr>
        <w:t>生态修复工程项目</w:t>
      </w:r>
      <w:r>
        <w:rPr>
          <w:rFonts w:hint="default" w:ascii="Times New Roman" w:hAnsi="Times New Roman" w:eastAsia="宋体" w:cs="Times New Roman"/>
          <w:color w:val="auto"/>
          <w:sz w:val="24"/>
          <w:szCs w:val="24"/>
        </w:rPr>
        <w:t>，涉及太湖</w:t>
      </w:r>
      <w:r>
        <w:rPr>
          <w:rFonts w:hint="default" w:ascii="Times New Roman" w:hAnsi="Times New Roman" w:eastAsia="宋体" w:cs="Times New Roman"/>
          <w:color w:val="auto"/>
          <w:sz w:val="24"/>
          <w:szCs w:val="24"/>
          <w:lang w:val="en-US" w:eastAsia="zh-CN"/>
        </w:rPr>
        <w:t>渔洋山</w:t>
      </w:r>
      <w:r>
        <w:rPr>
          <w:rFonts w:hint="default" w:ascii="Times New Roman" w:hAnsi="Times New Roman" w:eastAsia="宋体" w:cs="Times New Roman"/>
          <w:color w:val="auto"/>
          <w:sz w:val="24"/>
          <w:szCs w:val="24"/>
        </w:rPr>
        <w:t>饮用水水源保护区，为江苏省国家级生态保护红线；经分析，本项目符合《省生态环境厅关于进一步做好建设项目环评审批工作的通知》相关要求，具体分析情况如下：</w:t>
      </w:r>
    </w:p>
    <w:p>
      <w:pPr>
        <w:pStyle w:val="8"/>
        <w:snapToGrid w:val="0"/>
        <w:spacing w:line="480" w:lineRule="exact"/>
        <w:ind w:left="0" w:leftChars="0"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表2.</w:t>
      </w:r>
      <w:r>
        <w:rPr>
          <w:rFonts w:hint="eastAsia" w:cs="Times New Roman"/>
          <w:b/>
          <w:bCs/>
          <w:color w:val="auto"/>
          <w:sz w:val="24"/>
          <w:szCs w:val="24"/>
          <w:lang w:val="en-US" w:eastAsia="zh-CN"/>
        </w:rPr>
        <w:t>5</w:t>
      </w:r>
      <w:r>
        <w:rPr>
          <w:rFonts w:hint="default" w:ascii="Times New Roman" w:hAnsi="Times New Roman" w:eastAsia="宋体" w:cs="Times New Roman"/>
          <w:b/>
          <w:bCs/>
          <w:color w:val="auto"/>
          <w:sz w:val="24"/>
          <w:szCs w:val="24"/>
        </w:rPr>
        <w:t>-</w:t>
      </w:r>
      <w:r>
        <w:rPr>
          <w:rFonts w:hint="eastAsia" w:cs="Times New Roman"/>
          <w:b/>
          <w:bCs/>
          <w:color w:val="auto"/>
          <w:sz w:val="24"/>
          <w:szCs w:val="24"/>
          <w:lang w:val="en-US" w:eastAsia="zh-CN"/>
        </w:rPr>
        <w:t>5</w:t>
      </w:r>
      <w:r>
        <w:rPr>
          <w:rFonts w:hint="default" w:ascii="Times New Roman" w:hAnsi="Times New Roman" w:eastAsia="宋体" w:cs="Times New Roman"/>
          <w:b/>
          <w:bCs/>
          <w:color w:val="auto"/>
          <w:sz w:val="24"/>
          <w:szCs w:val="24"/>
        </w:rPr>
        <w:t xml:space="preserve"> 与《省生态环境厅关于进一步做好建设项目环评审批工作的通知》相符性</w:t>
      </w:r>
    </w:p>
    <w:tbl>
      <w:tblPr>
        <w:tblStyle w:val="5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059"/>
        <w:gridCol w:w="3555"/>
        <w:gridCol w:w="2226"/>
        <w:gridCol w:w="9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2" w:type="dxa"/>
            <w:tcBorders>
              <w:tl2br w:val="nil"/>
              <w:tr2bl w:val="nil"/>
            </w:tcBorders>
            <w:vAlign w:val="center"/>
          </w:tcPr>
          <w:p>
            <w:pPr>
              <w:pStyle w:val="421"/>
              <w:widowControl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文件名称</w:t>
            </w:r>
          </w:p>
        </w:tc>
        <w:tc>
          <w:tcPr>
            <w:tcW w:w="4614" w:type="dxa"/>
            <w:gridSpan w:val="2"/>
            <w:tcBorders>
              <w:tl2br w:val="nil"/>
              <w:tr2bl w:val="nil"/>
            </w:tcBorders>
            <w:vAlign w:val="center"/>
          </w:tcPr>
          <w:p>
            <w:pPr>
              <w:pStyle w:val="421"/>
              <w:widowControl w:val="0"/>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内容要求</w:t>
            </w:r>
          </w:p>
        </w:tc>
        <w:tc>
          <w:tcPr>
            <w:tcW w:w="2226" w:type="dxa"/>
            <w:tcBorders>
              <w:tl2br w:val="nil"/>
              <w:tr2bl w:val="nil"/>
            </w:tcBorders>
            <w:vAlign w:val="center"/>
          </w:tcPr>
          <w:p>
            <w:pPr>
              <w:pStyle w:val="421"/>
              <w:widowControl w:val="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本项目情况</w:t>
            </w:r>
          </w:p>
        </w:tc>
        <w:tc>
          <w:tcPr>
            <w:tcW w:w="904" w:type="dxa"/>
            <w:tcBorders>
              <w:tl2br w:val="nil"/>
              <w:tr2bl w:val="nil"/>
            </w:tcBorders>
            <w:vAlign w:val="center"/>
          </w:tcPr>
          <w:p>
            <w:pPr>
              <w:pStyle w:val="421"/>
              <w:widowControl w:val="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12" w:type="dxa"/>
            <w:vMerge w:val="restart"/>
            <w:tcBorders>
              <w:tl2br w:val="nil"/>
              <w:tr2bl w:val="nil"/>
            </w:tcBorders>
            <w:vAlign w:val="center"/>
          </w:tcPr>
          <w:p>
            <w:pPr>
              <w:pStyle w:val="421"/>
              <w:widowControl w:val="0"/>
              <w:rPr>
                <w:rFonts w:hint="default" w:ascii="Times New Roman" w:hAnsi="Times New Roman" w:eastAsia="宋体" w:cs="Times New Roman"/>
                <w:color w:val="auto"/>
              </w:rPr>
            </w:pPr>
            <w:r>
              <w:rPr>
                <w:rFonts w:hint="default" w:ascii="Times New Roman" w:hAnsi="Times New Roman" w:eastAsia="宋体" w:cs="Times New Roman"/>
                <w:color w:val="auto"/>
              </w:rPr>
              <w:t>《省生态环境厅关于进一步做好建设项目环评审批工作的通知）》</w:t>
            </w:r>
          </w:p>
        </w:tc>
        <w:tc>
          <w:tcPr>
            <w:tcW w:w="1059" w:type="dxa"/>
            <w:vMerge w:val="restart"/>
            <w:tcBorders>
              <w:tl2br w:val="nil"/>
              <w:tr2bl w:val="nil"/>
            </w:tcBorders>
            <w:vAlign w:val="center"/>
          </w:tcPr>
          <w:p>
            <w:pPr>
              <w:pStyle w:val="421"/>
              <w:widowControl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《建设项目环境保护管理条例》</w:t>
            </w:r>
          </w:p>
        </w:tc>
        <w:tc>
          <w:tcPr>
            <w:tcW w:w="3555"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一、有下列情形之一的，不予批准：</w:t>
            </w:r>
          </w:p>
        </w:tc>
        <w:tc>
          <w:tcPr>
            <w:tcW w:w="2226" w:type="dxa"/>
            <w:tcBorders>
              <w:tl2br w:val="nil"/>
              <w:tr2bl w:val="nil"/>
            </w:tcBorders>
            <w:vAlign w:val="center"/>
          </w:tcPr>
          <w:p>
            <w:pPr>
              <w:pStyle w:val="421"/>
              <w:widowControl w:val="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904" w:type="dxa"/>
            <w:tcBorders>
              <w:tl2br w:val="nil"/>
              <w:tr2bl w:val="nil"/>
            </w:tcBorders>
            <w:vAlign w:val="center"/>
          </w:tcPr>
          <w:p>
            <w:pPr>
              <w:pStyle w:val="421"/>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12" w:type="dxa"/>
            <w:vMerge w:val="continue"/>
            <w:tcBorders>
              <w:tl2br w:val="nil"/>
              <w:tr2bl w:val="nil"/>
            </w:tcBorders>
            <w:vAlign w:val="center"/>
          </w:tcPr>
          <w:p>
            <w:pPr>
              <w:pStyle w:val="421"/>
              <w:widowControl w:val="0"/>
              <w:jc w:val="left"/>
              <w:rPr>
                <w:rFonts w:hint="default" w:ascii="Times New Roman" w:hAnsi="Times New Roman" w:eastAsia="宋体" w:cs="Times New Roman"/>
              </w:rPr>
            </w:pPr>
          </w:p>
        </w:tc>
        <w:tc>
          <w:tcPr>
            <w:tcW w:w="1059" w:type="dxa"/>
            <w:vMerge w:val="continue"/>
            <w:tcBorders>
              <w:tl2br w:val="nil"/>
              <w:tr2bl w:val="nil"/>
            </w:tcBorders>
            <w:vAlign w:val="center"/>
          </w:tcPr>
          <w:p>
            <w:pPr>
              <w:pStyle w:val="421"/>
              <w:widowControl w:val="0"/>
              <w:jc w:val="center"/>
              <w:rPr>
                <w:rFonts w:hint="default" w:ascii="Times New Roman" w:hAnsi="Times New Roman" w:eastAsia="宋体" w:cs="Times New Roman"/>
              </w:rPr>
            </w:pPr>
          </w:p>
        </w:tc>
        <w:tc>
          <w:tcPr>
            <w:tcW w:w="3555"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（1）建设项目类型及其选址、布局、规模等不符合环境保护法律法规和相关法定规划；</w:t>
            </w:r>
          </w:p>
        </w:tc>
        <w:tc>
          <w:tcPr>
            <w:tcW w:w="2226" w:type="dxa"/>
            <w:tcBorders>
              <w:tl2br w:val="nil"/>
              <w:tr2bl w:val="nil"/>
            </w:tcBorders>
            <w:vAlign w:val="center"/>
          </w:tcPr>
          <w:p>
            <w:pPr>
              <w:pStyle w:val="421"/>
              <w:widowControl w:val="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本项目为</w:t>
            </w:r>
            <w:r>
              <w:rPr>
                <w:rFonts w:hint="default" w:ascii="Times New Roman" w:hAnsi="Times New Roman" w:eastAsia="宋体" w:cs="Times New Roman"/>
                <w:color w:val="auto"/>
                <w:lang w:val="en-US" w:eastAsia="zh-CN"/>
              </w:rPr>
              <w:t>水源地生态修复</w:t>
            </w:r>
            <w:r>
              <w:rPr>
                <w:rFonts w:hint="default" w:ascii="Times New Roman" w:hAnsi="Times New Roman" w:eastAsia="宋体" w:cs="Times New Roman"/>
                <w:color w:val="auto"/>
              </w:rPr>
              <w:t>工程</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项目选址符合环境保护法律法规和相关法定规划</w:t>
            </w:r>
          </w:p>
        </w:tc>
        <w:tc>
          <w:tcPr>
            <w:tcW w:w="904" w:type="dxa"/>
            <w:tcBorders>
              <w:tl2br w:val="nil"/>
              <w:tr2bl w:val="nil"/>
            </w:tcBorders>
            <w:vAlign w:val="center"/>
          </w:tcPr>
          <w:p>
            <w:pPr>
              <w:pStyle w:val="421"/>
              <w:widowControl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12" w:type="dxa"/>
            <w:vMerge w:val="continue"/>
            <w:tcBorders>
              <w:tl2br w:val="nil"/>
              <w:tr2bl w:val="nil"/>
            </w:tcBorders>
            <w:vAlign w:val="center"/>
          </w:tcPr>
          <w:p>
            <w:pPr>
              <w:pStyle w:val="421"/>
              <w:widowControl w:val="0"/>
              <w:jc w:val="left"/>
              <w:rPr>
                <w:rFonts w:hint="default" w:ascii="Times New Roman" w:hAnsi="Times New Roman" w:eastAsia="宋体" w:cs="Times New Roman"/>
                <w:color w:val="auto"/>
              </w:rPr>
            </w:pPr>
          </w:p>
        </w:tc>
        <w:tc>
          <w:tcPr>
            <w:tcW w:w="1059" w:type="dxa"/>
            <w:vMerge w:val="continue"/>
            <w:tcBorders>
              <w:tl2br w:val="nil"/>
              <w:tr2bl w:val="nil"/>
            </w:tcBorders>
            <w:vAlign w:val="center"/>
          </w:tcPr>
          <w:p>
            <w:pPr>
              <w:pStyle w:val="421"/>
              <w:widowControl w:val="0"/>
              <w:jc w:val="center"/>
              <w:rPr>
                <w:rFonts w:hint="default" w:ascii="Times New Roman" w:hAnsi="Times New Roman" w:eastAsia="宋体" w:cs="Times New Roman"/>
                <w:color w:val="auto"/>
              </w:rPr>
            </w:pPr>
          </w:p>
        </w:tc>
        <w:tc>
          <w:tcPr>
            <w:tcW w:w="3555"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（2）所在区域环境质量未达到国家或者地方环境质量标准，且建设项目拟采取的措施不能满足区域环境质量改善目标管理要求；</w:t>
            </w:r>
          </w:p>
        </w:tc>
        <w:tc>
          <w:tcPr>
            <w:tcW w:w="2226"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项目所在区域为非达标区</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本项目为</w:t>
            </w:r>
            <w:r>
              <w:rPr>
                <w:rFonts w:hint="default" w:ascii="Times New Roman" w:hAnsi="Times New Roman" w:eastAsia="宋体" w:cs="Times New Roman"/>
                <w:color w:val="auto"/>
                <w:lang w:val="en-US" w:eastAsia="zh-CN"/>
              </w:rPr>
              <w:t>水源地生态修复</w:t>
            </w:r>
            <w:r>
              <w:rPr>
                <w:rFonts w:hint="default" w:ascii="Times New Roman" w:hAnsi="Times New Roman" w:eastAsia="宋体" w:cs="Times New Roman"/>
                <w:color w:val="auto"/>
              </w:rPr>
              <w:t>工程</w:t>
            </w:r>
            <w:r>
              <w:rPr>
                <w:rFonts w:hint="default" w:ascii="Times New Roman" w:hAnsi="Times New Roman" w:eastAsia="宋体" w:cs="Times New Roman"/>
                <w:color w:val="auto"/>
                <w:lang w:eastAsia="zh-CN"/>
              </w:rPr>
              <w:t>，有利于区域环境质量的改善</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kern w:val="2"/>
                <w:sz w:val="21"/>
                <w:szCs w:val="20"/>
                <w:lang w:val="en-US" w:eastAsia="zh-CN" w:bidi="ar-S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12" w:type="dxa"/>
            <w:vMerge w:val="continue"/>
            <w:tcBorders>
              <w:tl2br w:val="nil"/>
              <w:tr2bl w:val="nil"/>
            </w:tcBorders>
            <w:vAlign w:val="center"/>
          </w:tcPr>
          <w:p>
            <w:pPr>
              <w:pStyle w:val="421"/>
              <w:widowControl w:val="0"/>
              <w:jc w:val="left"/>
              <w:rPr>
                <w:rFonts w:hint="default" w:ascii="Times New Roman" w:hAnsi="Times New Roman" w:eastAsia="宋体" w:cs="Times New Roman"/>
                <w:color w:val="auto"/>
              </w:rPr>
            </w:pPr>
          </w:p>
        </w:tc>
        <w:tc>
          <w:tcPr>
            <w:tcW w:w="1059" w:type="dxa"/>
            <w:vMerge w:val="continue"/>
            <w:tcBorders>
              <w:tl2br w:val="nil"/>
              <w:tr2bl w:val="nil"/>
            </w:tcBorders>
            <w:vAlign w:val="center"/>
          </w:tcPr>
          <w:p>
            <w:pPr>
              <w:pStyle w:val="421"/>
              <w:widowControl w:val="0"/>
              <w:jc w:val="center"/>
              <w:rPr>
                <w:rFonts w:hint="default" w:ascii="Times New Roman" w:hAnsi="Times New Roman" w:eastAsia="宋体" w:cs="Times New Roman"/>
                <w:color w:val="auto"/>
              </w:rPr>
            </w:pPr>
          </w:p>
        </w:tc>
        <w:tc>
          <w:tcPr>
            <w:tcW w:w="3555"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（3）建设项目采取的污染防治措施无法确保污染物排放达到国家和地方排放标准，或者未采取必要措施预防和控制生态破坏；</w:t>
            </w:r>
          </w:p>
        </w:tc>
        <w:tc>
          <w:tcPr>
            <w:tcW w:w="2226"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本项目采取废水、废气、噪声、固废、生态环境等污染防治措施，可使废水、废气、噪声达标排放，固废得到妥善处置，预防和缓解生态破坏。</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kern w:val="2"/>
                <w:sz w:val="21"/>
                <w:szCs w:val="20"/>
                <w:lang w:val="en-US" w:eastAsia="zh-CN" w:bidi="ar-S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12" w:type="dxa"/>
            <w:vMerge w:val="continue"/>
            <w:tcBorders>
              <w:tl2br w:val="nil"/>
              <w:tr2bl w:val="nil"/>
            </w:tcBorders>
            <w:vAlign w:val="center"/>
          </w:tcPr>
          <w:p>
            <w:pPr>
              <w:pStyle w:val="421"/>
              <w:widowControl w:val="0"/>
              <w:jc w:val="left"/>
              <w:rPr>
                <w:rFonts w:hint="default" w:ascii="Times New Roman" w:hAnsi="Times New Roman" w:eastAsia="宋体" w:cs="Times New Roman"/>
                <w:color w:val="auto"/>
              </w:rPr>
            </w:pPr>
          </w:p>
        </w:tc>
        <w:tc>
          <w:tcPr>
            <w:tcW w:w="1059" w:type="dxa"/>
            <w:vMerge w:val="continue"/>
            <w:tcBorders>
              <w:tl2br w:val="nil"/>
              <w:tr2bl w:val="nil"/>
            </w:tcBorders>
            <w:vAlign w:val="center"/>
          </w:tcPr>
          <w:p>
            <w:pPr>
              <w:pStyle w:val="421"/>
              <w:widowControl w:val="0"/>
              <w:jc w:val="center"/>
              <w:rPr>
                <w:rFonts w:hint="default" w:ascii="Times New Roman" w:hAnsi="Times New Roman" w:eastAsia="宋体" w:cs="Times New Roman"/>
                <w:color w:val="auto"/>
              </w:rPr>
            </w:pPr>
          </w:p>
        </w:tc>
        <w:tc>
          <w:tcPr>
            <w:tcW w:w="3555"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（4）改建、扩建和技术改造项目，未针对项目原有环境污染和生态破坏提出有效防止措施；</w:t>
            </w:r>
          </w:p>
        </w:tc>
        <w:tc>
          <w:tcPr>
            <w:tcW w:w="2226"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w:t>
            </w:r>
            <w:r>
              <w:rPr>
                <w:rFonts w:hint="default" w:ascii="Times New Roman" w:hAnsi="Times New Roman" w:eastAsia="宋体" w:cs="Times New Roman"/>
                <w:color w:val="auto"/>
                <w:lang w:val="en-US" w:eastAsia="zh-CN"/>
              </w:rPr>
              <w:t>不属于改建、扩建和技术改造项目</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kern w:val="2"/>
                <w:sz w:val="21"/>
                <w:szCs w:val="20"/>
                <w:lang w:val="en-US" w:eastAsia="zh-CN" w:bidi="ar-S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12" w:type="dxa"/>
            <w:vMerge w:val="continue"/>
            <w:tcBorders>
              <w:tl2br w:val="nil"/>
              <w:tr2bl w:val="nil"/>
            </w:tcBorders>
            <w:vAlign w:val="center"/>
          </w:tcPr>
          <w:p>
            <w:pPr>
              <w:pStyle w:val="421"/>
              <w:widowControl w:val="0"/>
              <w:jc w:val="left"/>
              <w:rPr>
                <w:rFonts w:hint="default" w:ascii="Times New Roman" w:hAnsi="Times New Roman" w:eastAsia="宋体" w:cs="Times New Roman"/>
                <w:color w:val="auto"/>
              </w:rPr>
            </w:pPr>
          </w:p>
        </w:tc>
        <w:tc>
          <w:tcPr>
            <w:tcW w:w="1059" w:type="dxa"/>
            <w:vMerge w:val="continue"/>
            <w:tcBorders>
              <w:tl2br w:val="nil"/>
              <w:tr2bl w:val="nil"/>
            </w:tcBorders>
            <w:vAlign w:val="center"/>
          </w:tcPr>
          <w:p>
            <w:pPr>
              <w:pStyle w:val="421"/>
              <w:widowControl w:val="0"/>
              <w:jc w:val="center"/>
              <w:rPr>
                <w:rFonts w:hint="default" w:ascii="Times New Roman" w:hAnsi="Times New Roman" w:eastAsia="宋体" w:cs="Times New Roman"/>
                <w:color w:val="auto"/>
              </w:rPr>
            </w:pPr>
          </w:p>
        </w:tc>
        <w:tc>
          <w:tcPr>
            <w:tcW w:w="3555"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（5）建设项目的环境影响报告书、环境影响报告表的基础资料数据明显不实，内容存在重大缺陷、遗漏，或者环境影响评价结论不明确、不合理。</w:t>
            </w:r>
          </w:p>
        </w:tc>
        <w:tc>
          <w:tcPr>
            <w:tcW w:w="2226"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本环评按要求进行编制</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kern w:val="2"/>
                <w:sz w:val="21"/>
                <w:szCs w:val="20"/>
                <w:lang w:val="en-US" w:eastAsia="zh-CN" w:bidi="ar-S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lang w:eastAsia="zh-CN"/>
              </w:rPr>
            </w:pPr>
          </w:p>
        </w:tc>
        <w:tc>
          <w:tcPr>
            <w:tcW w:w="1059" w:type="dxa"/>
            <w:tcBorders>
              <w:tl2br w:val="nil"/>
              <w:tr2bl w:val="nil"/>
            </w:tcBorders>
            <w:vAlign w:val="center"/>
          </w:tcPr>
          <w:p>
            <w:pPr>
              <w:pStyle w:val="421"/>
              <w:widowControl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《农用地土壤环境管理办法（试行）》（环境保护部农业部令第46号）</w:t>
            </w:r>
          </w:p>
        </w:tc>
        <w:tc>
          <w:tcPr>
            <w:tcW w:w="3555"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二、严格控制在优先保护类耕地集中区域新建有色金属冶炼、石油加工、化工、焦化、电镀、制革等行业企业，有关环境保护主管部门依法不予审批可能造成耕地土壤污染的建设项目环境影响报告书或者报告表。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2226" w:type="dxa"/>
            <w:tcBorders>
              <w:tl2br w:val="nil"/>
              <w:tr2bl w:val="nil"/>
            </w:tcBorders>
            <w:vAlign w:val="center"/>
          </w:tcPr>
          <w:p>
            <w:pPr>
              <w:pStyle w:val="421"/>
              <w:widowControl w:val="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本项目为水源地生态修复</w:t>
            </w:r>
            <w:r>
              <w:rPr>
                <w:rFonts w:hint="default" w:ascii="Times New Roman" w:hAnsi="Times New Roman" w:eastAsia="宋体" w:cs="Times New Roman"/>
                <w:color w:val="auto"/>
              </w:rPr>
              <w:t>工程</w:t>
            </w:r>
            <w:r>
              <w:rPr>
                <w:rFonts w:hint="default" w:ascii="Times New Roman" w:hAnsi="Times New Roman" w:eastAsia="宋体" w:cs="Times New Roman"/>
                <w:color w:val="auto"/>
                <w:lang w:val="en-US" w:eastAsia="zh-CN"/>
              </w:rPr>
              <w:t>，不属于有</w:t>
            </w:r>
            <w:r>
              <w:rPr>
                <w:rFonts w:hint="default" w:ascii="Times New Roman" w:hAnsi="Times New Roman" w:eastAsia="宋体" w:cs="Times New Roman"/>
                <w:color w:val="auto"/>
              </w:rPr>
              <w:t>色金属冶炼、石油加工、化工、焦化、电镀、制革等行业</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kern w:val="2"/>
                <w:sz w:val="21"/>
                <w:szCs w:val="20"/>
                <w:lang w:val="en-US" w:eastAsia="zh-CN" w:bidi="ar-S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lang w:eastAsia="zh-CN"/>
              </w:rPr>
            </w:pPr>
          </w:p>
        </w:tc>
        <w:tc>
          <w:tcPr>
            <w:tcW w:w="1059" w:type="dxa"/>
            <w:tcBorders>
              <w:tl2br w:val="nil"/>
              <w:tr2bl w:val="nil"/>
            </w:tcBorders>
            <w:vAlign w:val="center"/>
          </w:tcPr>
          <w:p>
            <w:pPr>
              <w:pStyle w:val="421"/>
              <w:widowControl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《关于印发&lt;建设项目主要污染物排放总量指标审核及管理暂行办法&gt;的通知》（环发[2014]197号）</w:t>
            </w:r>
          </w:p>
        </w:tc>
        <w:tc>
          <w:tcPr>
            <w:tcW w:w="3555"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三、严格落实污染物排放总量控制制度，把主要污染物排放总量指标作为建设项目环境影响评价审批的前置条件。排放主要污染物的建设项目，在环境影响评价文件审批前，须取得主要污染物排放总量指标。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2226" w:type="dxa"/>
            <w:tcBorders>
              <w:tl2br w:val="nil"/>
              <w:tr2bl w:val="nil"/>
            </w:tcBorders>
            <w:vAlign w:val="center"/>
          </w:tcPr>
          <w:p>
            <w:pPr>
              <w:pStyle w:val="421"/>
              <w:widowControl w:val="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本项目</w:t>
            </w:r>
            <w:r>
              <w:rPr>
                <w:rFonts w:hint="default" w:ascii="Times New Roman" w:hAnsi="Times New Roman" w:eastAsia="宋体" w:cs="Times New Roman"/>
                <w:color w:val="auto"/>
                <w:lang w:val="en-US" w:eastAsia="zh-CN"/>
              </w:rPr>
              <w:t>为生态修复</w:t>
            </w:r>
            <w:r>
              <w:rPr>
                <w:rFonts w:hint="default" w:ascii="Times New Roman" w:hAnsi="Times New Roman" w:eastAsia="宋体" w:cs="Times New Roman"/>
                <w:color w:val="auto"/>
              </w:rPr>
              <w:t>工程</w:t>
            </w:r>
            <w:r>
              <w:rPr>
                <w:rFonts w:hint="default" w:ascii="Times New Roman" w:hAnsi="Times New Roman" w:eastAsia="宋体" w:cs="Times New Roman"/>
                <w:color w:val="auto"/>
                <w:lang w:eastAsia="zh-CN"/>
              </w:rPr>
              <w:t>，无需进行总量控制</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kern w:val="2"/>
                <w:sz w:val="21"/>
                <w:szCs w:val="20"/>
                <w:lang w:val="en-US" w:eastAsia="zh-CN" w:bidi="ar-S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lang w:eastAsia="zh-CN"/>
              </w:rPr>
            </w:pPr>
          </w:p>
        </w:tc>
        <w:tc>
          <w:tcPr>
            <w:tcW w:w="1059" w:type="dxa"/>
            <w:vMerge w:val="restart"/>
            <w:tcBorders>
              <w:tl2br w:val="nil"/>
              <w:tr2bl w:val="nil"/>
            </w:tcBorders>
            <w:vAlign w:val="center"/>
          </w:tcPr>
          <w:p>
            <w:pPr>
              <w:pStyle w:val="421"/>
              <w:widowControl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《关于以改善环境质量为核心加强环境影响评价管理的通知》（环环评[2016]150号）</w:t>
            </w:r>
          </w:p>
        </w:tc>
        <w:tc>
          <w:tcPr>
            <w:tcW w:w="3555"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四（1）规划环评要作为规划所包含项目环评的重要依据，对于不符合规划环评结论及审查意见的项目环评，依法不予审批。</w:t>
            </w:r>
          </w:p>
        </w:tc>
        <w:tc>
          <w:tcPr>
            <w:tcW w:w="2226" w:type="dxa"/>
            <w:tcBorders>
              <w:tl2br w:val="nil"/>
              <w:tr2bl w:val="nil"/>
            </w:tcBorders>
            <w:vAlign w:val="center"/>
          </w:tcPr>
          <w:p>
            <w:pPr>
              <w:pStyle w:val="421"/>
              <w:widowControl w:val="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本项目所在区域无规划环评。</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kern w:val="2"/>
                <w:sz w:val="21"/>
                <w:szCs w:val="20"/>
                <w:lang w:val="en-US" w:eastAsia="zh-CN" w:bidi="ar-S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112" w:type="dxa"/>
            <w:vMerge w:val="continue"/>
            <w:tcBorders>
              <w:tl2br w:val="nil"/>
              <w:tr2bl w:val="nil"/>
            </w:tcBorders>
            <w:vAlign w:val="center"/>
          </w:tcPr>
          <w:p>
            <w:pPr>
              <w:widowControl w:val="0"/>
              <w:jc w:val="center"/>
              <w:rPr>
                <w:rFonts w:hint="default" w:ascii="Times New Roman" w:hAnsi="Times New Roman" w:eastAsia="宋体" w:cs="Times New Roman"/>
              </w:rPr>
            </w:pPr>
          </w:p>
        </w:tc>
        <w:tc>
          <w:tcPr>
            <w:tcW w:w="1059" w:type="dxa"/>
            <w:vMerge w:val="continue"/>
            <w:tcBorders>
              <w:tl2br w:val="nil"/>
              <w:tr2bl w:val="nil"/>
            </w:tcBorders>
            <w:vAlign w:val="center"/>
          </w:tcPr>
          <w:p>
            <w:pPr>
              <w:widowControl w:val="0"/>
              <w:jc w:val="center"/>
              <w:rPr>
                <w:rFonts w:hint="default" w:ascii="Times New Roman" w:hAnsi="Times New Roman" w:eastAsia="宋体" w:cs="Times New Roman"/>
              </w:rPr>
            </w:pPr>
          </w:p>
        </w:tc>
        <w:tc>
          <w:tcPr>
            <w:tcW w:w="3555"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（2）对于现有同类型项目环境污染或生态破坏严重、环境违法违规现象多发，致使环境容量接近或超过承载能力的地区，在现有问题整改到位前，依法暂停审批该地区同类行业的项目环评文件。</w:t>
            </w:r>
          </w:p>
        </w:tc>
        <w:tc>
          <w:tcPr>
            <w:tcW w:w="2226"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本项目为水源地生态修复工程项目，不存在现有同类型项目，项目实施有利于区域环境质量的改善。</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2"/>
                <w:sz w:val="21"/>
                <w:szCs w:val="20"/>
                <w:lang w:val="en-US" w:eastAsia="zh-CN" w:bidi="ar-S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112" w:type="dxa"/>
            <w:vMerge w:val="continue"/>
            <w:tcBorders>
              <w:tl2br w:val="nil"/>
              <w:tr2bl w:val="nil"/>
            </w:tcBorders>
            <w:vAlign w:val="center"/>
          </w:tcPr>
          <w:p>
            <w:pPr>
              <w:widowControl w:val="0"/>
              <w:jc w:val="center"/>
              <w:rPr>
                <w:rFonts w:hint="default" w:ascii="Times New Roman" w:hAnsi="Times New Roman" w:eastAsia="宋体" w:cs="Times New Roman"/>
                <w:color w:val="auto"/>
              </w:rPr>
            </w:pPr>
          </w:p>
        </w:tc>
        <w:tc>
          <w:tcPr>
            <w:tcW w:w="1059" w:type="dxa"/>
            <w:vMerge w:val="continue"/>
            <w:tcBorders>
              <w:tl2br w:val="nil"/>
              <w:tr2bl w:val="nil"/>
            </w:tcBorders>
            <w:vAlign w:val="center"/>
          </w:tcPr>
          <w:p>
            <w:pPr>
              <w:widowControl w:val="0"/>
              <w:jc w:val="center"/>
              <w:rPr>
                <w:rFonts w:hint="default" w:ascii="Times New Roman" w:hAnsi="Times New Roman" w:eastAsia="宋体" w:cs="Times New Roman"/>
                <w:color w:val="auto"/>
              </w:rPr>
            </w:pPr>
          </w:p>
        </w:tc>
        <w:tc>
          <w:tcPr>
            <w:tcW w:w="3555"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3）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w:t>
            </w:r>
          </w:p>
        </w:tc>
        <w:tc>
          <w:tcPr>
            <w:tcW w:w="2226"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项目所在区域为非达标区</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本项目为</w:t>
            </w:r>
            <w:r>
              <w:rPr>
                <w:rFonts w:hint="default" w:ascii="Times New Roman" w:hAnsi="Times New Roman" w:eastAsia="宋体" w:cs="Times New Roman"/>
                <w:color w:val="auto"/>
                <w:lang w:val="en-US" w:eastAsia="zh-CN"/>
              </w:rPr>
              <w:t>水源地生态修复</w:t>
            </w:r>
            <w:r>
              <w:rPr>
                <w:rFonts w:hint="default" w:ascii="Times New Roman" w:hAnsi="Times New Roman" w:eastAsia="宋体" w:cs="Times New Roman"/>
                <w:color w:val="auto"/>
              </w:rPr>
              <w:t>工程</w:t>
            </w:r>
            <w:r>
              <w:rPr>
                <w:rFonts w:hint="default" w:ascii="Times New Roman" w:hAnsi="Times New Roman" w:eastAsia="宋体" w:cs="Times New Roman"/>
                <w:color w:val="auto"/>
                <w:lang w:eastAsia="zh-CN"/>
              </w:rPr>
              <w:t>，有利于区域环境质量的改善</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2"/>
                <w:sz w:val="21"/>
                <w:szCs w:val="20"/>
                <w:lang w:val="en-US" w:eastAsia="zh-CN" w:bidi="ar-S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112" w:type="dxa"/>
            <w:vMerge w:val="continue"/>
            <w:tcBorders>
              <w:tl2br w:val="nil"/>
              <w:tr2bl w:val="nil"/>
            </w:tcBorders>
            <w:vAlign w:val="center"/>
          </w:tcPr>
          <w:p>
            <w:pPr>
              <w:widowControl w:val="0"/>
              <w:jc w:val="center"/>
              <w:rPr>
                <w:rFonts w:hint="default" w:ascii="Times New Roman" w:hAnsi="Times New Roman" w:eastAsia="宋体" w:cs="Times New Roman"/>
                <w:color w:val="auto"/>
              </w:rPr>
            </w:pPr>
          </w:p>
        </w:tc>
        <w:tc>
          <w:tcPr>
            <w:tcW w:w="1059" w:type="dxa"/>
            <w:vMerge w:val="continue"/>
            <w:tcBorders>
              <w:tl2br w:val="nil"/>
              <w:tr2bl w:val="nil"/>
            </w:tcBorders>
            <w:vAlign w:val="center"/>
          </w:tcPr>
          <w:p>
            <w:pPr>
              <w:widowControl w:val="0"/>
              <w:jc w:val="center"/>
              <w:rPr>
                <w:rFonts w:hint="default" w:ascii="Times New Roman" w:hAnsi="Times New Roman" w:eastAsia="宋体" w:cs="Times New Roman"/>
                <w:color w:val="auto"/>
              </w:rPr>
            </w:pPr>
          </w:p>
        </w:tc>
        <w:tc>
          <w:tcPr>
            <w:tcW w:w="3555"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2226"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本项目涉及生态保护红线，本项目为水源地生态修复工程，不属于开发建设活动，符合相关规划和饮用水水源保护区管控要求，不属于工业项目和矿山开发等项目。</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2"/>
                <w:sz w:val="21"/>
                <w:szCs w:val="20"/>
                <w:lang w:val="en-US" w:eastAsia="zh-CN" w:bidi="ar-S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lang w:eastAsia="zh-CN"/>
              </w:rPr>
            </w:pPr>
          </w:p>
        </w:tc>
        <w:tc>
          <w:tcPr>
            <w:tcW w:w="1059" w:type="dxa"/>
            <w:tcBorders>
              <w:tl2br w:val="nil"/>
              <w:tr2bl w:val="nil"/>
            </w:tcBorders>
            <w:vAlign w:val="center"/>
          </w:tcPr>
          <w:p>
            <w:pPr>
              <w:pStyle w:val="421"/>
              <w:widowControl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《关于全面加强生态环境保护坚决打好污染防治攻坚战的实施意见》（苏发[2018]24号）</w:t>
            </w:r>
          </w:p>
        </w:tc>
        <w:tc>
          <w:tcPr>
            <w:tcW w:w="3555"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五、严禁在长江干流及主要支流岸线1公里范围内新建布局化工园区和化工企业。严格化工项目环评审批，提高准入门槛，新建化工项目原则上投资额不得低于10亿元，不得新建、改建、扩建三类中间体项目。</w:t>
            </w:r>
          </w:p>
        </w:tc>
        <w:tc>
          <w:tcPr>
            <w:tcW w:w="2226" w:type="dxa"/>
            <w:tcBorders>
              <w:tl2br w:val="nil"/>
              <w:tr2bl w:val="nil"/>
            </w:tcBorders>
            <w:vAlign w:val="center"/>
          </w:tcPr>
          <w:p>
            <w:pPr>
              <w:pStyle w:val="421"/>
              <w:widowControl w:val="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本项目不属于化工项目</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kern w:val="2"/>
                <w:sz w:val="21"/>
                <w:szCs w:val="20"/>
                <w:lang w:val="en-US" w:eastAsia="zh-CN" w:bidi="ar-S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lang w:eastAsia="zh-CN"/>
              </w:rPr>
            </w:pPr>
          </w:p>
        </w:tc>
        <w:tc>
          <w:tcPr>
            <w:tcW w:w="1059" w:type="dxa"/>
            <w:tcBorders>
              <w:tl2br w:val="nil"/>
              <w:tr2bl w:val="nil"/>
            </w:tcBorders>
            <w:vAlign w:val="center"/>
          </w:tcPr>
          <w:p>
            <w:pPr>
              <w:pStyle w:val="421"/>
              <w:widowControl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《关于加快全省化工钢铁煤电行业转型升级高质量发展的实施意见》（苏办发[2018]32号）</w:t>
            </w:r>
          </w:p>
        </w:tc>
        <w:tc>
          <w:tcPr>
            <w:tcW w:w="3555"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六、禁止新建燃煤自备电厂。在重点地区执行《江苏省化工钢铁煤电行业环境准入和排放标准》。燃煤电厂2019年底前全部实行超低排放。</w:t>
            </w:r>
          </w:p>
        </w:tc>
        <w:tc>
          <w:tcPr>
            <w:tcW w:w="2226" w:type="dxa"/>
            <w:tcBorders>
              <w:tl2br w:val="nil"/>
              <w:tr2bl w:val="nil"/>
            </w:tcBorders>
            <w:vAlign w:val="center"/>
          </w:tcPr>
          <w:p>
            <w:pPr>
              <w:pStyle w:val="421"/>
              <w:widowControl w:val="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本项目不涉及新建燃煤自备电厂</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kern w:val="2"/>
                <w:sz w:val="21"/>
                <w:szCs w:val="20"/>
                <w:lang w:val="en-US" w:eastAsia="zh-CN" w:bidi="ar-S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lang w:eastAsia="zh-CN"/>
              </w:rPr>
            </w:pPr>
          </w:p>
        </w:tc>
        <w:tc>
          <w:tcPr>
            <w:tcW w:w="1059" w:type="dxa"/>
            <w:tcBorders>
              <w:tl2br w:val="nil"/>
              <w:tr2bl w:val="nil"/>
            </w:tcBorders>
            <w:vAlign w:val="center"/>
          </w:tcPr>
          <w:p>
            <w:pPr>
              <w:pStyle w:val="421"/>
              <w:widowControl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《江苏省打赢蓝天保卫战三年行动计划实施方案》（苏政发[2018]122号）</w:t>
            </w:r>
          </w:p>
        </w:tc>
        <w:tc>
          <w:tcPr>
            <w:tcW w:w="3555"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七、禁止建设生产和使用高 VOCs含量的溶剂型涂料、油墨、胶粘剂等项目。</w:t>
            </w:r>
          </w:p>
        </w:tc>
        <w:tc>
          <w:tcPr>
            <w:tcW w:w="2226" w:type="dxa"/>
            <w:tcBorders>
              <w:tl2br w:val="nil"/>
              <w:tr2bl w:val="nil"/>
            </w:tcBorders>
            <w:vAlign w:val="center"/>
          </w:tcPr>
          <w:p>
            <w:pPr>
              <w:pStyle w:val="421"/>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本项目不涉及</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kern w:val="2"/>
                <w:sz w:val="21"/>
                <w:szCs w:val="20"/>
                <w:lang w:val="en-US" w:eastAsia="zh-CN" w:bidi="ar-S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lang w:eastAsia="zh-CN"/>
              </w:rPr>
            </w:pPr>
          </w:p>
        </w:tc>
        <w:tc>
          <w:tcPr>
            <w:tcW w:w="1059" w:type="dxa"/>
            <w:tcBorders>
              <w:tl2br w:val="nil"/>
              <w:tr2bl w:val="nil"/>
            </w:tcBorders>
            <w:vAlign w:val="center"/>
          </w:tcPr>
          <w:p>
            <w:pPr>
              <w:pStyle w:val="421"/>
              <w:widowControl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《省政府关于深入推进全省化工行业转型发展的实施意见》（苏政发[2016]128号）</w:t>
            </w:r>
          </w:p>
        </w:tc>
        <w:tc>
          <w:tcPr>
            <w:tcW w:w="3555" w:type="dxa"/>
            <w:tcBorders>
              <w:tl2br w:val="nil"/>
              <w:tr2bl w:val="nil"/>
            </w:tcBorders>
            <w:vAlign w:val="center"/>
          </w:tcPr>
          <w:p>
            <w:pPr>
              <w:pStyle w:val="421"/>
              <w:widowControl w:val="0"/>
              <w:jc w:val="left"/>
              <w:rPr>
                <w:rFonts w:hint="default" w:ascii="Times New Roman" w:hAnsi="Times New Roman" w:eastAsia="宋体" w:cs="Times New Roman"/>
                <w:color w:val="auto"/>
              </w:rPr>
            </w:pPr>
            <w:r>
              <w:rPr>
                <w:rFonts w:hint="default" w:ascii="Times New Roman" w:hAnsi="Times New Roman" w:eastAsia="宋体" w:cs="Times New Roman"/>
                <w:color w:val="auto"/>
              </w:rPr>
              <w:t>八、一律不批新的化工园区，一律不批化工园区外化工企业（除化工重点监测点和提升安全、环保、节能水平及油品质量升级、结构调整以外的改扩建项目），一律不批化工园区内环境基础设施不完善或长期不能稳定运行企业的新改扩建化工项目。新建（含搬迁）化工项目必须进入已经依法完成规划环评审查的化工园区。严禁在长江干流及主要支流岸线1公里范围内新建危化品码头。</w:t>
            </w:r>
          </w:p>
        </w:tc>
        <w:tc>
          <w:tcPr>
            <w:tcW w:w="2226" w:type="dxa"/>
            <w:tcBorders>
              <w:tl2br w:val="nil"/>
              <w:tr2bl w:val="nil"/>
            </w:tcBorders>
            <w:vAlign w:val="center"/>
          </w:tcPr>
          <w:p>
            <w:pPr>
              <w:pStyle w:val="421"/>
              <w:widowControl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本项目不涉及</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kern w:val="2"/>
                <w:sz w:val="21"/>
                <w:szCs w:val="20"/>
                <w:lang w:val="en-US" w:eastAsia="zh-CN" w:bidi="ar-S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lang w:eastAsia="zh-CN"/>
              </w:rPr>
            </w:pPr>
          </w:p>
        </w:tc>
        <w:tc>
          <w:tcPr>
            <w:tcW w:w="1059" w:type="dxa"/>
            <w:tcBorders>
              <w:tl2br w:val="nil"/>
              <w:tr2bl w:val="nil"/>
            </w:tcBorders>
            <w:vAlign w:val="center"/>
          </w:tcPr>
          <w:p>
            <w:pPr>
              <w:pStyle w:val="421"/>
              <w:widowControl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《省政府关于印发江苏省国家级生态保护红线规划的通知》（苏政发[2018]74号）</w:t>
            </w:r>
          </w:p>
        </w:tc>
        <w:tc>
          <w:tcPr>
            <w:tcW w:w="3555"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九、生态保护红线原则上按禁止开发区域的要求进行管理，严禁不符合主体功能定位的各类开发活动，严禁任意改变用途。</w:t>
            </w:r>
          </w:p>
        </w:tc>
        <w:tc>
          <w:tcPr>
            <w:tcW w:w="2226" w:type="dxa"/>
            <w:tcBorders>
              <w:tl2br w:val="nil"/>
              <w:tr2bl w:val="nil"/>
            </w:tcBorders>
            <w:vAlign w:val="center"/>
          </w:tcPr>
          <w:p>
            <w:pPr>
              <w:pStyle w:val="421"/>
              <w:widowControl w:val="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有利于水源的涵养和水环境的质量改善，不属于与保护水源无关的建设项目；同时本项目的实施未改变其饮用水水源保护区用途和主体功能区定位；本项目不属于开发活动，同时严格按照《饮用水水源保护区污染防治管理规定》（2010修改）进行控制和管理</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kern w:val="2"/>
                <w:sz w:val="21"/>
                <w:szCs w:val="20"/>
                <w:lang w:val="en-US" w:eastAsia="zh-CN" w:bidi="ar-S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lang w:eastAsia="zh-CN"/>
              </w:rPr>
            </w:pPr>
          </w:p>
        </w:tc>
        <w:tc>
          <w:tcPr>
            <w:tcW w:w="1059" w:type="dxa"/>
            <w:tcBorders>
              <w:tl2br w:val="nil"/>
              <w:tr2bl w:val="nil"/>
            </w:tcBorders>
            <w:vAlign w:val="center"/>
          </w:tcPr>
          <w:p>
            <w:pPr>
              <w:pStyle w:val="421"/>
              <w:widowControl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《省政府办公厅关于加强危险废物污染防治工作的意见》（苏政办发[2018]91号）</w:t>
            </w:r>
          </w:p>
        </w:tc>
        <w:tc>
          <w:tcPr>
            <w:tcW w:w="3555"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十、禁止审批无法落实危险废物利用、处置途径的项目，从严审批危险废物产生量大、本地无配套利用处置能力、且需设区市统筹解决的项目。</w:t>
            </w:r>
          </w:p>
        </w:tc>
        <w:tc>
          <w:tcPr>
            <w:tcW w:w="2226" w:type="dxa"/>
            <w:tcBorders>
              <w:tl2br w:val="nil"/>
              <w:tr2bl w:val="nil"/>
            </w:tcBorders>
            <w:vAlign w:val="center"/>
          </w:tcPr>
          <w:p>
            <w:pPr>
              <w:pStyle w:val="421"/>
              <w:widowControl w:val="0"/>
              <w:jc w:val="left"/>
              <w:rPr>
                <w:rFonts w:hint="default" w:ascii="Times New Roman" w:hAnsi="Times New Roman" w:eastAsia="宋体" w:cs="Times New Roman"/>
                <w:color w:val="auto"/>
              </w:rPr>
            </w:pPr>
            <w:r>
              <w:rPr>
                <w:rFonts w:hint="default" w:ascii="Times New Roman" w:hAnsi="Times New Roman" w:eastAsia="宋体" w:cs="Times New Roman"/>
                <w:color w:val="auto"/>
              </w:rPr>
              <w:t>本项目不涉及</w:t>
            </w:r>
          </w:p>
          <w:p>
            <w:pPr>
              <w:pStyle w:val="421"/>
              <w:widowControl w:val="0"/>
              <w:jc w:val="center"/>
              <w:rPr>
                <w:rFonts w:hint="default" w:ascii="Times New Roman" w:hAnsi="Times New Roman" w:eastAsia="宋体" w:cs="Times New Roman"/>
                <w:color w:val="auto"/>
                <w:lang w:val="en-US" w:eastAsia="zh-CN"/>
              </w:rPr>
            </w:pP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kern w:val="2"/>
                <w:sz w:val="21"/>
                <w:szCs w:val="20"/>
                <w:lang w:val="en-US" w:eastAsia="zh-CN" w:bidi="ar-S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112" w:type="dxa"/>
            <w:vMerge w:val="continue"/>
            <w:tcBorders>
              <w:tl2br w:val="nil"/>
              <w:tr2bl w:val="nil"/>
            </w:tcBorders>
            <w:vAlign w:val="center"/>
          </w:tcPr>
          <w:p>
            <w:pPr>
              <w:pStyle w:val="421"/>
              <w:widowControl w:val="0"/>
              <w:rPr>
                <w:rFonts w:hint="default" w:ascii="Times New Roman" w:hAnsi="Times New Roman" w:eastAsia="宋体" w:cs="Times New Roman"/>
                <w:color w:val="auto"/>
                <w:lang w:eastAsia="zh-CN"/>
              </w:rPr>
            </w:pPr>
          </w:p>
        </w:tc>
        <w:tc>
          <w:tcPr>
            <w:tcW w:w="1059" w:type="dxa"/>
            <w:vMerge w:val="restart"/>
            <w:tcBorders>
              <w:tl2br w:val="nil"/>
              <w:tr2bl w:val="nil"/>
            </w:tcBorders>
            <w:vAlign w:val="center"/>
          </w:tcPr>
          <w:p>
            <w:pPr>
              <w:pStyle w:val="421"/>
              <w:widowControl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《关于发布长江经济带发展负面清单指南（试行）的通知》（推动长江经济带发展领导小组办公室文件第89号）</w:t>
            </w:r>
          </w:p>
        </w:tc>
        <w:tc>
          <w:tcPr>
            <w:tcW w:w="3555"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十一、（1）禁止建设不符合全国和省级港口布局规划以及港口总体规划的码头项目，禁止建设不符合《长江干线过江通道布局规划》的过长江通道项目。</w:t>
            </w:r>
          </w:p>
        </w:tc>
        <w:tc>
          <w:tcPr>
            <w:tcW w:w="2226" w:type="dxa"/>
            <w:tcBorders>
              <w:tl2br w:val="nil"/>
              <w:tr2bl w:val="nil"/>
            </w:tcBorders>
            <w:vAlign w:val="center"/>
          </w:tcPr>
          <w:p>
            <w:pPr>
              <w:pStyle w:val="421"/>
              <w:widowControl w:val="0"/>
              <w:jc w:val="left"/>
              <w:rPr>
                <w:rFonts w:hint="default" w:ascii="Times New Roman" w:hAnsi="Times New Roman" w:eastAsia="宋体" w:cs="Times New Roman"/>
                <w:color w:val="auto"/>
              </w:rPr>
            </w:pPr>
            <w:r>
              <w:rPr>
                <w:rFonts w:hint="default" w:ascii="Times New Roman" w:hAnsi="Times New Roman" w:eastAsia="宋体" w:cs="Times New Roman"/>
                <w:color w:val="auto"/>
              </w:rPr>
              <w:t>本项目不涉及</w:t>
            </w:r>
          </w:p>
          <w:p>
            <w:pPr>
              <w:pStyle w:val="421"/>
              <w:widowControl w:val="0"/>
              <w:jc w:val="center"/>
              <w:rPr>
                <w:rFonts w:hint="default" w:ascii="Times New Roman" w:hAnsi="Times New Roman" w:eastAsia="宋体" w:cs="Times New Roman"/>
                <w:color w:val="auto"/>
                <w:lang w:val="en-US" w:eastAsia="zh-CN"/>
              </w:rPr>
            </w:pP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kern w:val="2"/>
                <w:sz w:val="21"/>
                <w:szCs w:val="20"/>
                <w:lang w:val="en-US" w:eastAsia="zh-CN" w:bidi="ar-S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112" w:type="dxa"/>
            <w:vMerge w:val="continue"/>
            <w:tcBorders>
              <w:tl2br w:val="nil"/>
              <w:tr2bl w:val="nil"/>
            </w:tcBorders>
            <w:vAlign w:val="center"/>
          </w:tcPr>
          <w:p>
            <w:pPr>
              <w:pStyle w:val="421"/>
              <w:widowControl w:val="0"/>
              <w:jc w:val="center"/>
              <w:rPr>
                <w:rFonts w:hint="default" w:ascii="Times New Roman" w:hAnsi="Times New Roman" w:eastAsia="宋体" w:cs="Times New Roman"/>
              </w:rPr>
            </w:pPr>
          </w:p>
        </w:tc>
        <w:tc>
          <w:tcPr>
            <w:tcW w:w="1059" w:type="dxa"/>
            <w:vMerge w:val="continue"/>
            <w:tcBorders>
              <w:tl2br w:val="nil"/>
              <w:tr2bl w:val="nil"/>
            </w:tcBorders>
            <w:vAlign w:val="center"/>
          </w:tcPr>
          <w:p>
            <w:pPr>
              <w:pStyle w:val="421"/>
              <w:widowControl w:val="0"/>
              <w:jc w:val="center"/>
              <w:rPr>
                <w:rFonts w:hint="default" w:ascii="Times New Roman" w:hAnsi="Times New Roman" w:eastAsia="宋体" w:cs="Times New Roman"/>
              </w:rPr>
            </w:pPr>
          </w:p>
        </w:tc>
        <w:tc>
          <w:tcPr>
            <w:tcW w:w="3555"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（2）禁止在自然保护区核心区、缓冲区的岸线和河段范围内投资建设旅游和生产经营项目。禁止在风景名胜区核心景区的岸线和河段范围内投资建设与风景名胜资源保护无关的项目。</w:t>
            </w:r>
          </w:p>
        </w:tc>
        <w:tc>
          <w:tcPr>
            <w:tcW w:w="2226"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本项目不涉及自然保护区和风景名胜区。</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2"/>
                <w:sz w:val="21"/>
                <w:szCs w:val="20"/>
                <w:lang w:val="en-US" w:eastAsia="zh-CN" w:bidi="ar-S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112" w:type="dxa"/>
            <w:vMerge w:val="continue"/>
            <w:tcBorders>
              <w:tl2br w:val="nil"/>
              <w:tr2bl w:val="nil"/>
            </w:tcBorders>
            <w:vAlign w:val="center"/>
          </w:tcPr>
          <w:p>
            <w:pPr>
              <w:pStyle w:val="421"/>
              <w:widowControl w:val="0"/>
              <w:jc w:val="center"/>
              <w:rPr>
                <w:rFonts w:hint="default" w:ascii="Times New Roman" w:hAnsi="Times New Roman" w:eastAsia="宋体" w:cs="Times New Roman"/>
                <w:color w:val="auto"/>
              </w:rPr>
            </w:pPr>
          </w:p>
        </w:tc>
        <w:tc>
          <w:tcPr>
            <w:tcW w:w="1059" w:type="dxa"/>
            <w:vMerge w:val="continue"/>
            <w:tcBorders>
              <w:tl2br w:val="nil"/>
              <w:tr2bl w:val="nil"/>
            </w:tcBorders>
            <w:vAlign w:val="center"/>
          </w:tcPr>
          <w:p>
            <w:pPr>
              <w:pStyle w:val="421"/>
              <w:widowControl w:val="0"/>
              <w:jc w:val="center"/>
              <w:rPr>
                <w:rFonts w:hint="default" w:ascii="Times New Roman" w:hAnsi="Times New Roman" w:eastAsia="宋体" w:cs="Times New Roman"/>
                <w:color w:val="auto"/>
              </w:rPr>
            </w:pPr>
          </w:p>
        </w:tc>
        <w:tc>
          <w:tcPr>
            <w:tcW w:w="3555"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3）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tc>
        <w:tc>
          <w:tcPr>
            <w:tcW w:w="2226"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本项目为水源地生态修复工程，有利于水源的涵养和水环境的质量改善，不属于与保护水源无关的建设项目；同时本项目的实施未改变其饮用水水源保护区用途和主体功能区定位；本项目不属于开发活动，同时严格按照《饮用水水源保护区污染防治管理规定》（2010修改）进行控制和管理。本项目不在饮用水水源保护区内从事网箱养殖、旅游等可能污染饮用水水体的投资建设项目。不在饮用水水源二级保护区范围内新建、改建、扩建排放污染物的投资建设项目。</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2"/>
                <w:sz w:val="21"/>
                <w:szCs w:val="20"/>
                <w:lang w:val="en-US" w:eastAsia="zh-CN" w:bidi="ar-S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112" w:type="dxa"/>
            <w:vMerge w:val="continue"/>
            <w:tcBorders>
              <w:tl2br w:val="nil"/>
              <w:tr2bl w:val="nil"/>
            </w:tcBorders>
            <w:vAlign w:val="center"/>
          </w:tcPr>
          <w:p>
            <w:pPr>
              <w:pStyle w:val="421"/>
              <w:widowControl w:val="0"/>
              <w:jc w:val="center"/>
              <w:rPr>
                <w:rFonts w:hint="default" w:ascii="Times New Roman" w:hAnsi="Times New Roman" w:eastAsia="宋体" w:cs="Times New Roman"/>
                <w:color w:val="auto"/>
              </w:rPr>
            </w:pPr>
          </w:p>
        </w:tc>
        <w:tc>
          <w:tcPr>
            <w:tcW w:w="1059" w:type="dxa"/>
            <w:vMerge w:val="continue"/>
            <w:tcBorders>
              <w:tl2br w:val="nil"/>
              <w:tr2bl w:val="nil"/>
            </w:tcBorders>
            <w:vAlign w:val="center"/>
          </w:tcPr>
          <w:p>
            <w:pPr>
              <w:pStyle w:val="421"/>
              <w:widowControl w:val="0"/>
              <w:jc w:val="center"/>
              <w:rPr>
                <w:rFonts w:hint="default" w:ascii="Times New Roman" w:hAnsi="Times New Roman" w:eastAsia="宋体" w:cs="Times New Roman"/>
                <w:color w:val="auto"/>
              </w:rPr>
            </w:pPr>
          </w:p>
        </w:tc>
        <w:tc>
          <w:tcPr>
            <w:tcW w:w="3555" w:type="dxa"/>
            <w:tcBorders>
              <w:tl2br w:val="nil"/>
              <w:tr2bl w:val="nil"/>
            </w:tcBorders>
            <w:vAlign w:val="center"/>
          </w:tcPr>
          <w:p>
            <w:pPr>
              <w:pStyle w:val="421"/>
              <w:widowControl w:val="0"/>
              <w:jc w:val="right"/>
              <w:rPr>
                <w:rFonts w:hint="default" w:ascii="Times New Roman" w:hAnsi="Times New Roman" w:eastAsia="宋体" w:cs="Times New Roman"/>
                <w:color w:val="auto"/>
              </w:rPr>
            </w:pPr>
            <w:r>
              <w:rPr>
                <w:rFonts w:hint="default" w:ascii="Times New Roman" w:hAnsi="Times New Roman" w:eastAsia="宋体" w:cs="Times New Roman"/>
                <w:color w:val="auto"/>
              </w:rPr>
              <w:t>（4）禁止在水产种质资源保护区的岸线和河段范围内新建排污口，以及围湖造田、围海造地或围填海等投资建设项目。禁止在国家湿地公园的岸线和河段范围内挖沙、采矿，以及任何不符合主体功能定位的投资建设项目。</w:t>
            </w:r>
          </w:p>
        </w:tc>
        <w:tc>
          <w:tcPr>
            <w:tcW w:w="2226" w:type="dxa"/>
            <w:tcBorders>
              <w:tl2br w:val="nil"/>
              <w:tr2bl w:val="nil"/>
            </w:tcBorders>
            <w:vAlign w:val="center"/>
          </w:tcPr>
          <w:p>
            <w:pPr>
              <w:pStyle w:val="421"/>
              <w:widowControl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本项目不涉及</w:t>
            </w:r>
          </w:p>
          <w:p>
            <w:pPr>
              <w:pStyle w:val="421"/>
              <w:widowControl w:val="0"/>
              <w:jc w:val="center"/>
              <w:rPr>
                <w:rFonts w:hint="default" w:ascii="Times New Roman" w:hAnsi="Times New Roman" w:eastAsia="宋体" w:cs="Times New Roman"/>
                <w:color w:val="auto"/>
              </w:rPr>
            </w:pP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2"/>
                <w:sz w:val="21"/>
                <w:szCs w:val="20"/>
                <w:lang w:val="en-US" w:eastAsia="zh-CN" w:bidi="ar-S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112" w:type="dxa"/>
            <w:vMerge w:val="continue"/>
            <w:tcBorders>
              <w:tl2br w:val="nil"/>
              <w:tr2bl w:val="nil"/>
            </w:tcBorders>
            <w:vAlign w:val="center"/>
          </w:tcPr>
          <w:p>
            <w:pPr>
              <w:pStyle w:val="421"/>
              <w:widowControl w:val="0"/>
              <w:jc w:val="center"/>
              <w:rPr>
                <w:rFonts w:hint="default" w:ascii="Times New Roman" w:hAnsi="Times New Roman" w:eastAsia="宋体" w:cs="Times New Roman"/>
                <w:color w:val="auto"/>
              </w:rPr>
            </w:pPr>
          </w:p>
        </w:tc>
        <w:tc>
          <w:tcPr>
            <w:tcW w:w="1059" w:type="dxa"/>
            <w:vMerge w:val="continue"/>
            <w:tcBorders>
              <w:tl2br w:val="nil"/>
              <w:tr2bl w:val="nil"/>
            </w:tcBorders>
            <w:vAlign w:val="center"/>
          </w:tcPr>
          <w:p>
            <w:pPr>
              <w:pStyle w:val="421"/>
              <w:widowControl w:val="0"/>
              <w:jc w:val="center"/>
              <w:rPr>
                <w:rFonts w:hint="default" w:ascii="Times New Roman" w:hAnsi="Times New Roman" w:eastAsia="宋体" w:cs="Times New Roman"/>
                <w:color w:val="auto"/>
              </w:rPr>
            </w:pPr>
          </w:p>
        </w:tc>
        <w:tc>
          <w:tcPr>
            <w:tcW w:w="3555" w:type="dxa"/>
            <w:tcBorders>
              <w:tl2br w:val="nil"/>
              <w:tr2bl w:val="nil"/>
            </w:tcBorders>
            <w:vAlign w:val="center"/>
          </w:tcPr>
          <w:p>
            <w:pPr>
              <w:pStyle w:val="421"/>
              <w:widowControl w:val="0"/>
              <w:jc w:val="right"/>
              <w:rPr>
                <w:rFonts w:hint="default" w:ascii="Times New Roman" w:hAnsi="Times New Roman" w:eastAsia="宋体" w:cs="Times New Roman"/>
                <w:color w:val="auto"/>
              </w:rPr>
            </w:pPr>
            <w:r>
              <w:rPr>
                <w:rFonts w:hint="default" w:ascii="Times New Roman" w:hAnsi="Times New Roman" w:eastAsia="宋体" w:cs="Times New Roman"/>
                <w:color w:val="auto"/>
              </w:rPr>
              <w:t>（5）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w:t>
            </w:r>
          </w:p>
        </w:tc>
        <w:tc>
          <w:tcPr>
            <w:tcW w:w="2226" w:type="dxa"/>
            <w:tcBorders>
              <w:tl2br w:val="nil"/>
              <w:tr2bl w:val="nil"/>
            </w:tcBorders>
            <w:vAlign w:val="center"/>
          </w:tcPr>
          <w:p>
            <w:pPr>
              <w:pStyle w:val="421"/>
              <w:widowControl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本项目不涉及</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2"/>
                <w:sz w:val="21"/>
                <w:szCs w:val="20"/>
                <w:lang w:val="en-US" w:eastAsia="zh-CN" w:bidi="ar-S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112" w:type="dxa"/>
            <w:vMerge w:val="continue"/>
            <w:tcBorders>
              <w:tl2br w:val="nil"/>
              <w:tr2bl w:val="nil"/>
            </w:tcBorders>
            <w:vAlign w:val="center"/>
          </w:tcPr>
          <w:p>
            <w:pPr>
              <w:pStyle w:val="421"/>
              <w:widowControl w:val="0"/>
              <w:jc w:val="center"/>
              <w:rPr>
                <w:rFonts w:hint="default" w:ascii="Times New Roman" w:hAnsi="Times New Roman" w:eastAsia="宋体" w:cs="Times New Roman"/>
                <w:color w:val="auto"/>
              </w:rPr>
            </w:pPr>
          </w:p>
        </w:tc>
        <w:tc>
          <w:tcPr>
            <w:tcW w:w="1059" w:type="dxa"/>
            <w:vMerge w:val="continue"/>
            <w:tcBorders>
              <w:tl2br w:val="nil"/>
              <w:tr2bl w:val="nil"/>
            </w:tcBorders>
            <w:vAlign w:val="center"/>
          </w:tcPr>
          <w:p>
            <w:pPr>
              <w:pStyle w:val="421"/>
              <w:widowControl w:val="0"/>
              <w:jc w:val="center"/>
              <w:rPr>
                <w:rFonts w:hint="default" w:ascii="Times New Roman" w:hAnsi="Times New Roman" w:eastAsia="宋体" w:cs="Times New Roman"/>
                <w:color w:val="auto"/>
              </w:rPr>
            </w:pPr>
          </w:p>
        </w:tc>
        <w:tc>
          <w:tcPr>
            <w:tcW w:w="3555" w:type="dxa"/>
            <w:tcBorders>
              <w:tl2br w:val="nil"/>
              <w:tr2bl w:val="nil"/>
            </w:tcBorders>
            <w:vAlign w:val="center"/>
          </w:tcPr>
          <w:p>
            <w:pPr>
              <w:pStyle w:val="421"/>
              <w:widowControl w:val="0"/>
              <w:jc w:val="right"/>
              <w:rPr>
                <w:rFonts w:hint="default" w:ascii="Times New Roman" w:hAnsi="Times New Roman" w:eastAsia="宋体" w:cs="Times New Roman"/>
                <w:color w:val="auto"/>
              </w:rPr>
            </w:pPr>
            <w:r>
              <w:rPr>
                <w:rFonts w:hint="default" w:ascii="Times New Roman" w:hAnsi="Times New Roman" w:eastAsia="宋体" w:cs="Times New Roman"/>
                <w:color w:val="auto"/>
              </w:rPr>
              <w:t>（6）禁止在生态保护红线和永久基本农田范围内投资建设除国家重大战略资源勘查项目、生态保护修复和环境治理项目、重大基础设施项目、军事国防项目以及农牧民基本生产生活等必要的民生项目以外的项目。</w:t>
            </w:r>
          </w:p>
        </w:tc>
        <w:tc>
          <w:tcPr>
            <w:tcW w:w="2226"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本项目涉及太湖</w:t>
            </w:r>
            <w:r>
              <w:rPr>
                <w:rFonts w:hint="default" w:ascii="Times New Roman" w:hAnsi="Times New Roman" w:eastAsia="宋体" w:cs="Times New Roman"/>
                <w:color w:val="auto"/>
                <w:lang w:val="en-US" w:eastAsia="zh-CN"/>
              </w:rPr>
              <w:t>渔洋山</w:t>
            </w:r>
            <w:r>
              <w:rPr>
                <w:rFonts w:hint="default" w:ascii="Times New Roman" w:hAnsi="Times New Roman" w:eastAsia="宋体" w:cs="Times New Roman"/>
                <w:color w:val="auto"/>
              </w:rPr>
              <w:t>饮用水水源保护区，为江苏省国家级生态保护红线；本项目为属于生态保护修复和环境治理项目，为民生项目，同时本项目符合饮用水水源保护区管控措施和生态红线管控措施要求</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2"/>
                <w:sz w:val="21"/>
                <w:szCs w:val="20"/>
                <w:lang w:val="en-US" w:eastAsia="zh-CN" w:bidi="ar-S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112" w:type="dxa"/>
            <w:vMerge w:val="continue"/>
            <w:tcBorders>
              <w:tl2br w:val="nil"/>
              <w:tr2bl w:val="nil"/>
            </w:tcBorders>
            <w:vAlign w:val="center"/>
          </w:tcPr>
          <w:p>
            <w:pPr>
              <w:pStyle w:val="421"/>
              <w:widowControl w:val="0"/>
              <w:jc w:val="center"/>
              <w:rPr>
                <w:rFonts w:hint="default" w:ascii="Times New Roman" w:hAnsi="Times New Roman" w:eastAsia="宋体" w:cs="Times New Roman"/>
                <w:color w:val="auto"/>
              </w:rPr>
            </w:pPr>
          </w:p>
        </w:tc>
        <w:tc>
          <w:tcPr>
            <w:tcW w:w="1059" w:type="dxa"/>
            <w:vMerge w:val="continue"/>
            <w:tcBorders>
              <w:tl2br w:val="nil"/>
              <w:tr2bl w:val="nil"/>
            </w:tcBorders>
            <w:vAlign w:val="center"/>
          </w:tcPr>
          <w:p>
            <w:pPr>
              <w:pStyle w:val="421"/>
              <w:widowControl w:val="0"/>
              <w:jc w:val="center"/>
              <w:rPr>
                <w:rFonts w:hint="default" w:ascii="Times New Roman" w:hAnsi="Times New Roman" w:eastAsia="宋体" w:cs="Times New Roman"/>
                <w:color w:val="auto"/>
              </w:rPr>
            </w:pPr>
          </w:p>
        </w:tc>
        <w:tc>
          <w:tcPr>
            <w:tcW w:w="3555"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（7）禁止在长江干支流1公里范围内新建、扩建化工园区和化工项目。禁止在合规园区外新建、扩建钢铁、石化、化工、焦化、建材、有色等高污染项目。</w:t>
            </w:r>
          </w:p>
        </w:tc>
        <w:tc>
          <w:tcPr>
            <w:tcW w:w="2226" w:type="dxa"/>
            <w:tcBorders>
              <w:tl2br w:val="nil"/>
              <w:tr2bl w:val="nil"/>
            </w:tcBorders>
            <w:vAlign w:val="center"/>
          </w:tcPr>
          <w:p>
            <w:pPr>
              <w:pStyle w:val="421"/>
              <w:widowControl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本项目不涉及</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2"/>
                <w:sz w:val="21"/>
                <w:szCs w:val="20"/>
                <w:lang w:val="en-US" w:eastAsia="zh-CN" w:bidi="ar-S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112" w:type="dxa"/>
            <w:vMerge w:val="continue"/>
            <w:tcBorders>
              <w:tl2br w:val="nil"/>
              <w:tr2bl w:val="nil"/>
            </w:tcBorders>
            <w:vAlign w:val="center"/>
          </w:tcPr>
          <w:p>
            <w:pPr>
              <w:pStyle w:val="421"/>
              <w:widowControl w:val="0"/>
              <w:jc w:val="center"/>
              <w:rPr>
                <w:rFonts w:hint="default" w:ascii="Times New Roman" w:hAnsi="Times New Roman" w:eastAsia="宋体" w:cs="Times New Roman"/>
                <w:color w:val="auto"/>
              </w:rPr>
            </w:pPr>
          </w:p>
        </w:tc>
        <w:tc>
          <w:tcPr>
            <w:tcW w:w="1059" w:type="dxa"/>
            <w:vMerge w:val="continue"/>
            <w:tcBorders>
              <w:tl2br w:val="nil"/>
              <w:tr2bl w:val="nil"/>
            </w:tcBorders>
            <w:vAlign w:val="center"/>
          </w:tcPr>
          <w:p>
            <w:pPr>
              <w:pStyle w:val="421"/>
              <w:widowControl w:val="0"/>
              <w:jc w:val="center"/>
              <w:rPr>
                <w:rFonts w:hint="default" w:ascii="Times New Roman" w:hAnsi="Times New Roman" w:eastAsia="宋体" w:cs="Times New Roman"/>
                <w:color w:val="auto"/>
              </w:rPr>
            </w:pPr>
          </w:p>
        </w:tc>
        <w:tc>
          <w:tcPr>
            <w:tcW w:w="3555"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（8）禁止新建、扩建不符合国家石化、现代煤化工等产业布局规划的项目。</w:t>
            </w:r>
          </w:p>
        </w:tc>
        <w:tc>
          <w:tcPr>
            <w:tcW w:w="2226" w:type="dxa"/>
            <w:tcBorders>
              <w:tl2br w:val="nil"/>
              <w:tr2bl w:val="nil"/>
            </w:tcBorders>
            <w:vAlign w:val="center"/>
          </w:tcPr>
          <w:p>
            <w:pPr>
              <w:pStyle w:val="421"/>
              <w:widowControl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本项目不涉及</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2"/>
                <w:sz w:val="21"/>
                <w:szCs w:val="20"/>
                <w:lang w:val="en-US" w:eastAsia="zh-CN" w:bidi="ar-S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112" w:type="dxa"/>
            <w:vMerge w:val="continue"/>
            <w:tcBorders>
              <w:tl2br w:val="nil"/>
              <w:tr2bl w:val="nil"/>
            </w:tcBorders>
            <w:vAlign w:val="center"/>
          </w:tcPr>
          <w:p>
            <w:pPr>
              <w:pStyle w:val="421"/>
              <w:widowControl w:val="0"/>
              <w:jc w:val="center"/>
              <w:rPr>
                <w:rFonts w:hint="default" w:ascii="Times New Roman" w:hAnsi="Times New Roman" w:eastAsia="宋体" w:cs="Times New Roman"/>
                <w:color w:val="auto"/>
              </w:rPr>
            </w:pPr>
          </w:p>
        </w:tc>
        <w:tc>
          <w:tcPr>
            <w:tcW w:w="1059" w:type="dxa"/>
            <w:vMerge w:val="continue"/>
            <w:tcBorders>
              <w:tl2br w:val="nil"/>
              <w:tr2bl w:val="nil"/>
            </w:tcBorders>
            <w:vAlign w:val="center"/>
          </w:tcPr>
          <w:p>
            <w:pPr>
              <w:pStyle w:val="421"/>
              <w:widowControl w:val="0"/>
              <w:jc w:val="center"/>
              <w:rPr>
                <w:rFonts w:hint="default" w:ascii="Times New Roman" w:hAnsi="Times New Roman" w:eastAsia="宋体" w:cs="Times New Roman"/>
                <w:color w:val="auto"/>
              </w:rPr>
            </w:pPr>
          </w:p>
        </w:tc>
        <w:tc>
          <w:tcPr>
            <w:tcW w:w="3555"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（9）禁止新建、扩建法律法规和相关政策明令禁止的落后产能项目。</w:t>
            </w:r>
          </w:p>
        </w:tc>
        <w:tc>
          <w:tcPr>
            <w:tcW w:w="2226" w:type="dxa"/>
            <w:tcBorders>
              <w:tl2br w:val="nil"/>
              <w:tr2bl w:val="nil"/>
            </w:tcBorders>
            <w:vAlign w:val="center"/>
          </w:tcPr>
          <w:p>
            <w:pPr>
              <w:pStyle w:val="421"/>
              <w:widowControl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本项目不涉及</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2"/>
                <w:sz w:val="21"/>
                <w:szCs w:val="20"/>
                <w:lang w:val="en-US" w:eastAsia="zh-CN" w:bidi="ar-S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112" w:type="dxa"/>
            <w:vMerge w:val="continue"/>
            <w:tcBorders>
              <w:tl2br w:val="nil"/>
              <w:tr2bl w:val="nil"/>
            </w:tcBorders>
            <w:vAlign w:val="center"/>
          </w:tcPr>
          <w:p>
            <w:pPr>
              <w:pStyle w:val="421"/>
              <w:widowControl w:val="0"/>
              <w:jc w:val="center"/>
              <w:rPr>
                <w:rFonts w:hint="default" w:ascii="Times New Roman" w:hAnsi="Times New Roman" w:eastAsia="宋体" w:cs="Times New Roman"/>
                <w:color w:val="auto"/>
              </w:rPr>
            </w:pPr>
          </w:p>
        </w:tc>
        <w:tc>
          <w:tcPr>
            <w:tcW w:w="1059" w:type="dxa"/>
            <w:vMerge w:val="continue"/>
            <w:tcBorders>
              <w:tl2br w:val="nil"/>
              <w:tr2bl w:val="nil"/>
            </w:tcBorders>
            <w:vAlign w:val="center"/>
          </w:tcPr>
          <w:p>
            <w:pPr>
              <w:pStyle w:val="421"/>
              <w:widowControl w:val="0"/>
              <w:jc w:val="center"/>
              <w:rPr>
                <w:rFonts w:hint="default" w:ascii="Times New Roman" w:hAnsi="Times New Roman" w:eastAsia="宋体" w:cs="Times New Roman"/>
                <w:color w:val="auto"/>
              </w:rPr>
            </w:pPr>
          </w:p>
        </w:tc>
        <w:tc>
          <w:tcPr>
            <w:tcW w:w="3555" w:type="dxa"/>
            <w:tcBorders>
              <w:tl2br w:val="nil"/>
              <w:tr2bl w:val="nil"/>
            </w:tcBorders>
            <w:vAlign w:val="center"/>
          </w:tcPr>
          <w:p>
            <w:pPr>
              <w:pStyle w:val="421"/>
              <w:widowControl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t>（10）禁止新建、扩建不符合国家产能置换要求的严重过剩产能行业的项目。</w:t>
            </w:r>
          </w:p>
        </w:tc>
        <w:tc>
          <w:tcPr>
            <w:tcW w:w="2226" w:type="dxa"/>
            <w:tcBorders>
              <w:tl2br w:val="nil"/>
              <w:tr2bl w:val="nil"/>
            </w:tcBorders>
            <w:vAlign w:val="center"/>
          </w:tcPr>
          <w:p>
            <w:pPr>
              <w:pStyle w:val="421"/>
              <w:widowControl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本项目不涉及</w:t>
            </w:r>
          </w:p>
        </w:tc>
        <w:tc>
          <w:tcPr>
            <w:tcW w:w="904" w:type="dxa"/>
            <w:tcBorders>
              <w:tl2br w:val="nil"/>
              <w:tr2bl w:val="nil"/>
            </w:tcBorders>
            <w:vAlign w:val="center"/>
          </w:tcPr>
          <w:p>
            <w:pPr>
              <w:widowControl w:val="0"/>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2"/>
                <w:sz w:val="21"/>
                <w:szCs w:val="20"/>
                <w:lang w:val="en-US" w:eastAsia="zh-CN" w:bidi="ar-SA"/>
              </w:rPr>
              <w:t>相符</w:t>
            </w:r>
          </w:p>
        </w:tc>
      </w:tr>
    </w:tbl>
    <w:p>
      <w:pPr>
        <w:pStyle w:val="8"/>
        <w:snapToGrid w:val="0"/>
        <w:spacing w:line="480" w:lineRule="exact"/>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10、与《苏州市</w:t>
      </w:r>
      <w:r>
        <w:rPr>
          <w:rFonts w:hint="eastAsia"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三线一单</w:t>
      </w:r>
      <w:r>
        <w:rPr>
          <w:rFonts w:hint="eastAsia"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生态环境分区管控实施方案》（苏环办字[2020]313号）相符性</w:t>
      </w:r>
    </w:p>
    <w:p>
      <w:pPr>
        <w:pStyle w:val="8"/>
        <w:snapToGrid w:val="0"/>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本项目位于苏州</w:t>
      </w:r>
      <w:r>
        <w:rPr>
          <w:rFonts w:hint="default" w:ascii="Times New Roman" w:hAnsi="Times New Roman" w:eastAsia="宋体" w:cs="Times New Roman"/>
          <w:color w:val="auto"/>
          <w:sz w:val="24"/>
          <w:szCs w:val="24"/>
          <w:lang w:val="en-US" w:eastAsia="zh-CN"/>
        </w:rPr>
        <w:t>太湖渔洋山水源地</w:t>
      </w:r>
      <w:r>
        <w:rPr>
          <w:rFonts w:hint="default" w:ascii="Times New Roman" w:hAnsi="Times New Roman" w:eastAsia="宋体" w:cs="Times New Roman"/>
          <w:color w:val="auto"/>
          <w:sz w:val="24"/>
          <w:szCs w:val="24"/>
        </w:rPr>
        <w:t>，根据《苏州市</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三线一单</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生态环境分区管控实施方案》，项目属于优先保护单元。</w:t>
      </w:r>
    </w:p>
    <w:p>
      <w:pPr>
        <w:pStyle w:val="8"/>
        <w:snapToGrid w:val="0"/>
        <w:spacing w:line="480" w:lineRule="exact"/>
        <w:ind w:firstLine="482" w:firstLineChars="20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eastAsia" w:cs="Times New Roman"/>
          <w:b/>
          <w:bCs/>
          <w:color w:val="auto"/>
          <w:sz w:val="24"/>
          <w:szCs w:val="24"/>
          <w:lang w:val="en-US" w:eastAsia="zh-CN"/>
        </w:rPr>
        <w:t>2.5-6</w:t>
      </w:r>
      <w:r>
        <w:rPr>
          <w:rFonts w:hint="default" w:ascii="Times New Roman" w:hAnsi="Times New Roman" w:eastAsia="宋体" w:cs="Times New Roman"/>
          <w:b/>
          <w:bCs/>
          <w:color w:val="auto"/>
          <w:sz w:val="24"/>
          <w:szCs w:val="24"/>
        </w:rPr>
        <w:t xml:space="preserve">  与《苏州市</w:t>
      </w:r>
      <w:r>
        <w:rPr>
          <w:rFonts w:hint="eastAsia" w:cs="Times New Roman"/>
          <w:b/>
          <w:bCs/>
          <w:color w:val="auto"/>
          <w:sz w:val="24"/>
          <w:szCs w:val="24"/>
          <w:lang w:eastAsia="zh-CN"/>
        </w:rPr>
        <w:t>“</w:t>
      </w:r>
      <w:r>
        <w:rPr>
          <w:rFonts w:hint="default" w:ascii="Times New Roman" w:hAnsi="Times New Roman" w:eastAsia="宋体" w:cs="Times New Roman"/>
          <w:b/>
          <w:bCs/>
          <w:color w:val="auto"/>
          <w:sz w:val="24"/>
          <w:szCs w:val="24"/>
        </w:rPr>
        <w:t>三线一单</w:t>
      </w:r>
      <w:r>
        <w:rPr>
          <w:rFonts w:hint="eastAsia" w:cs="Times New Roman"/>
          <w:b/>
          <w:bCs/>
          <w:color w:val="auto"/>
          <w:sz w:val="24"/>
          <w:szCs w:val="24"/>
          <w:lang w:eastAsia="zh-CN"/>
        </w:rPr>
        <w:t>”</w:t>
      </w:r>
      <w:r>
        <w:rPr>
          <w:rFonts w:hint="default" w:ascii="Times New Roman" w:hAnsi="Times New Roman" w:eastAsia="宋体" w:cs="Times New Roman"/>
          <w:b/>
          <w:bCs/>
          <w:color w:val="auto"/>
          <w:sz w:val="24"/>
          <w:szCs w:val="24"/>
        </w:rPr>
        <w:t>生态环境分区管控实施方案》相符性分析</w:t>
      </w:r>
    </w:p>
    <w:tbl>
      <w:tblPr>
        <w:tblStyle w:val="56"/>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4536"/>
        <w:gridCol w:w="2700"/>
        <w:gridCol w:w="9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29" w:type="pct"/>
            <w:gridSpan w:val="2"/>
            <w:tcBorders>
              <w:tl2br w:val="nil"/>
              <w:tr2bl w:val="nil"/>
            </w:tcBorders>
            <w:noWrap w:val="0"/>
            <w:vAlign w:val="center"/>
          </w:tcPr>
          <w:p>
            <w:pPr>
              <w:widowControl w:val="0"/>
              <w:adjustRightInd w:val="0"/>
              <w:snapToGrid w:val="0"/>
              <w:jc w:val="center"/>
              <w:rPr>
                <w:rStyle w:val="107"/>
                <w:rFonts w:hint="default" w:ascii="Times New Roman" w:hAnsi="Times New Roman" w:eastAsia="宋体" w:cs="Times New Roman"/>
                <w:b/>
                <w:bCs/>
                <w:color w:val="auto"/>
                <w:sz w:val="21"/>
                <w:szCs w:val="21"/>
                <w:lang w:val="en-US" w:eastAsia="zh-CN"/>
              </w:rPr>
            </w:pPr>
            <w:r>
              <w:rPr>
                <w:rStyle w:val="107"/>
                <w:rFonts w:hint="default" w:ascii="Times New Roman" w:hAnsi="Times New Roman" w:eastAsia="宋体" w:cs="Times New Roman"/>
                <w:b/>
                <w:bCs/>
                <w:color w:val="auto"/>
                <w:sz w:val="21"/>
                <w:szCs w:val="21"/>
                <w:lang w:val="en-US" w:eastAsia="zh-CN"/>
              </w:rPr>
              <w:t>苏州市市域生态环境管控要求</w:t>
            </w:r>
          </w:p>
        </w:tc>
        <w:tc>
          <w:tcPr>
            <w:tcW w:w="1525" w:type="pct"/>
            <w:tcBorders>
              <w:tl2br w:val="nil"/>
              <w:tr2bl w:val="nil"/>
            </w:tcBorders>
            <w:noWrap w:val="0"/>
            <w:vAlign w:val="center"/>
          </w:tcPr>
          <w:p>
            <w:pPr>
              <w:widowControl w:val="0"/>
              <w:adjustRightInd w:val="0"/>
              <w:snapToGrid w:val="0"/>
              <w:jc w:val="center"/>
              <w:rPr>
                <w:rStyle w:val="107"/>
                <w:rFonts w:hint="default" w:ascii="Times New Roman" w:hAnsi="Times New Roman" w:eastAsia="宋体" w:cs="Times New Roman"/>
                <w:b/>
                <w:bCs/>
                <w:color w:val="auto"/>
                <w:sz w:val="21"/>
                <w:szCs w:val="21"/>
                <w:lang w:val="en-US" w:eastAsia="zh-CN"/>
              </w:rPr>
            </w:pPr>
            <w:r>
              <w:rPr>
                <w:rStyle w:val="107"/>
                <w:rFonts w:hint="default" w:ascii="Times New Roman" w:hAnsi="Times New Roman" w:eastAsia="宋体" w:cs="Times New Roman"/>
                <w:b/>
                <w:bCs/>
                <w:color w:val="auto"/>
                <w:sz w:val="21"/>
                <w:szCs w:val="21"/>
                <w:lang w:val="en-US" w:eastAsia="zh-CN"/>
              </w:rPr>
              <w:t>本项目情况</w:t>
            </w:r>
          </w:p>
        </w:tc>
        <w:tc>
          <w:tcPr>
            <w:tcW w:w="545" w:type="pct"/>
            <w:tcBorders>
              <w:tl2br w:val="nil"/>
              <w:tr2bl w:val="nil"/>
            </w:tcBorders>
            <w:noWrap w:val="0"/>
            <w:vAlign w:val="center"/>
          </w:tcPr>
          <w:p>
            <w:pPr>
              <w:widowControl w:val="0"/>
              <w:adjustRightInd w:val="0"/>
              <w:snapToGrid w:val="0"/>
              <w:jc w:val="center"/>
              <w:rPr>
                <w:rStyle w:val="107"/>
                <w:rFonts w:hint="default" w:ascii="Times New Roman" w:hAnsi="Times New Roman" w:eastAsia="宋体" w:cs="Times New Roman"/>
                <w:b/>
                <w:bCs/>
                <w:color w:val="auto"/>
                <w:sz w:val="21"/>
                <w:szCs w:val="21"/>
                <w:lang w:val="en-US" w:eastAsia="zh-CN"/>
              </w:rPr>
            </w:pPr>
            <w:r>
              <w:rPr>
                <w:rStyle w:val="107"/>
                <w:rFonts w:hint="default" w:ascii="Times New Roman" w:hAnsi="Times New Roman" w:eastAsia="宋体" w:cs="Times New Roman"/>
                <w:b/>
                <w:bCs/>
                <w:color w:val="auto"/>
                <w:sz w:val="21"/>
                <w:szCs w:val="21"/>
                <w:lang w:val="en-US" w:eastAsia="zh-CN"/>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tcBorders>
              <w:tl2br w:val="nil"/>
              <w:tr2bl w:val="nil"/>
            </w:tcBorders>
            <w:noWrap w:val="0"/>
            <w:vAlign w:val="center"/>
          </w:tcPr>
          <w:p>
            <w:pPr>
              <w:widowControl w:val="0"/>
              <w:adjustRightInd w:val="0"/>
              <w:snapToGrid w:val="0"/>
              <w:jc w:val="center"/>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空间布局约束</w:t>
            </w:r>
          </w:p>
        </w:tc>
        <w:tc>
          <w:tcPr>
            <w:tcW w:w="2561" w:type="pct"/>
            <w:tcBorders>
              <w:tl2br w:val="nil"/>
              <w:tr2bl w:val="nil"/>
            </w:tcBorders>
            <w:noWrap w:val="0"/>
            <w:vAlign w:val="center"/>
          </w:tcPr>
          <w:p>
            <w:pPr>
              <w:widowControl w:val="0"/>
              <w:adjustRightInd w:val="0"/>
              <w:snapToGrid w:val="0"/>
              <w:jc w:val="both"/>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（1）严格执行《江苏省</w:t>
            </w:r>
            <w:r>
              <w:rPr>
                <w:rStyle w:val="107"/>
                <w:rFonts w:hint="eastAsia" w:cs="Times New Roman"/>
                <w:color w:val="auto"/>
                <w:sz w:val="21"/>
                <w:szCs w:val="21"/>
                <w:lang w:val="en-US" w:eastAsia="zh-CN"/>
              </w:rPr>
              <w:t>“</w:t>
            </w:r>
            <w:r>
              <w:rPr>
                <w:rStyle w:val="107"/>
                <w:rFonts w:hint="default" w:ascii="Times New Roman" w:hAnsi="Times New Roman" w:eastAsia="宋体" w:cs="Times New Roman"/>
                <w:color w:val="auto"/>
                <w:sz w:val="21"/>
                <w:szCs w:val="21"/>
                <w:lang w:val="en-US" w:eastAsia="zh-CN"/>
              </w:rPr>
              <w:t>三线一单</w:t>
            </w:r>
            <w:r>
              <w:rPr>
                <w:rStyle w:val="107"/>
                <w:rFonts w:hint="eastAsia" w:cs="Times New Roman"/>
                <w:color w:val="auto"/>
                <w:sz w:val="21"/>
                <w:szCs w:val="21"/>
                <w:lang w:val="en-US" w:eastAsia="zh-CN"/>
              </w:rPr>
              <w:t>”</w:t>
            </w:r>
            <w:r>
              <w:rPr>
                <w:rStyle w:val="107"/>
                <w:rFonts w:hint="default" w:ascii="Times New Roman" w:hAnsi="Times New Roman" w:eastAsia="宋体" w:cs="Times New Roman"/>
                <w:color w:val="auto"/>
                <w:sz w:val="21"/>
                <w:szCs w:val="21"/>
                <w:lang w:val="en-US" w:eastAsia="zh-CN"/>
              </w:rPr>
              <w:t>生态环境分区管控方案》（苏政发〔2020〕49 号）附件3 江苏省省域生态环境管控要求中</w:t>
            </w:r>
            <w:r>
              <w:rPr>
                <w:rStyle w:val="107"/>
                <w:rFonts w:hint="eastAsia" w:cs="Times New Roman"/>
                <w:color w:val="auto"/>
                <w:sz w:val="21"/>
                <w:szCs w:val="21"/>
                <w:lang w:val="en-US" w:eastAsia="zh-CN"/>
              </w:rPr>
              <w:t>“</w:t>
            </w:r>
            <w:r>
              <w:rPr>
                <w:rStyle w:val="107"/>
                <w:rFonts w:hint="default" w:ascii="Times New Roman" w:hAnsi="Times New Roman" w:eastAsia="宋体" w:cs="Times New Roman"/>
                <w:color w:val="auto"/>
                <w:sz w:val="21"/>
                <w:szCs w:val="21"/>
                <w:lang w:val="en-US" w:eastAsia="zh-CN"/>
              </w:rPr>
              <w:t>空间布局约束</w:t>
            </w:r>
            <w:r>
              <w:rPr>
                <w:rStyle w:val="107"/>
                <w:rFonts w:hint="eastAsia" w:cs="Times New Roman"/>
                <w:color w:val="auto"/>
                <w:sz w:val="21"/>
                <w:szCs w:val="21"/>
                <w:lang w:val="en-US" w:eastAsia="zh-CN"/>
              </w:rPr>
              <w:t>”</w:t>
            </w:r>
            <w:r>
              <w:rPr>
                <w:rStyle w:val="107"/>
                <w:rFonts w:hint="default" w:ascii="Times New Roman" w:hAnsi="Times New Roman" w:eastAsia="宋体" w:cs="Times New Roman"/>
                <w:color w:val="auto"/>
                <w:sz w:val="21"/>
                <w:szCs w:val="21"/>
                <w:lang w:val="en-US" w:eastAsia="zh-CN"/>
              </w:rPr>
              <w:t>的相关要求。</w:t>
            </w:r>
          </w:p>
          <w:p>
            <w:pPr>
              <w:widowControl w:val="0"/>
              <w:adjustRightInd w:val="0"/>
              <w:snapToGrid w:val="0"/>
              <w:jc w:val="both"/>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（2）按照《省政府关于印发江苏省生态空间管控区域规划的通知》（苏政发〔2020〕1 号）、《省政府关于印发江苏省国家级生态保护红线规划的通知》（苏政发〔2018〕74 号），坚持节约优先、保护优先、自然恢复为主的方针，以改善生态环境质量为核心，以保障和维护生态功能为主线，统筹山水林田湖草一体化保护和修复，严守生态保护红线，实行最严格的生态空间管控制度，确保全市生态功能不降低、面积不减少、性质不改变，切实维护生态安全。</w:t>
            </w:r>
          </w:p>
          <w:p>
            <w:pPr>
              <w:widowControl w:val="0"/>
              <w:adjustRightInd w:val="0"/>
              <w:snapToGrid w:val="0"/>
              <w:jc w:val="both"/>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（3）严格执行《苏州市水污染防治工作方案》(苏府〔2016〕60 号)、《苏州市大气污染防治行动计划实施方案》（苏府〔2014〕81号）、《苏州市土壤污染防治工作方案》（苏府〔2017〕102 号）、《中共苏州市委苏州市人民政府关于全面加强生态环境保护坚决打好污染防治攻坚战的工作意见》（苏委发〔2019〕17 号）、《苏州市</w:t>
            </w:r>
            <w:r>
              <w:rPr>
                <w:rStyle w:val="107"/>
                <w:rFonts w:hint="eastAsia" w:cs="Times New Roman"/>
                <w:color w:val="auto"/>
                <w:sz w:val="21"/>
                <w:szCs w:val="21"/>
                <w:lang w:val="en-US" w:eastAsia="zh-CN"/>
              </w:rPr>
              <w:t>“</w:t>
            </w:r>
            <w:r>
              <w:rPr>
                <w:rStyle w:val="107"/>
                <w:rFonts w:hint="default" w:ascii="Times New Roman" w:hAnsi="Times New Roman" w:eastAsia="宋体" w:cs="Times New Roman"/>
                <w:color w:val="auto"/>
                <w:sz w:val="21"/>
                <w:szCs w:val="21"/>
                <w:lang w:val="en-US" w:eastAsia="zh-CN"/>
              </w:rPr>
              <w:t>两减六治三提升</w:t>
            </w:r>
            <w:r>
              <w:rPr>
                <w:rStyle w:val="107"/>
                <w:rFonts w:hint="eastAsia" w:cs="Times New Roman"/>
                <w:color w:val="auto"/>
                <w:sz w:val="21"/>
                <w:szCs w:val="21"/>
                <w:lang w:val="en-US" w:eastAsia="zh-CN"/>
              </w:rPr>
              <w:t>”</w:t>
            </w:r>
            <w:r>
              <w:rPr>
                <w:rStyle w:val="107"/>
                <w:rFonts w:hint="default" w:ascii="Times New Roman" w:hAnsi="Times New Roman" w:eastAsia="宋体" w:cs="Times New Roman"/>
                <w:color w:val="auto"/>
                <w:sz w:val="21"/>
                <w:szCs w:val="21"/>
                <w:lang w:val="en-US" w:eastAsia="zh-CN"/>
              </w:rPr>
              <w:t>专项行动实施方案》（苏委发〔2017〕13号）、《苏州市</w:t>
            </w:r>
            <w:r>
              <w:rPr>
                <w:rStyle w:val="107"/>
                <w:rFonts w:hint="eastAsia" w:cs="Times New Roman"/>
                <w:color w:val="auto"/>
                <w:sz w:val="21"/>
                <w:szCs w:val="21"/>
                <w:lang w:val="en-US" w:eastAsia="zh-CN"/>
              </w:rPr>
              <w:t>“</w:t>
            </w:r>
            <w:r>
              <w:rPr>
                <w:rStyle w:val="107"/>
                <w:rFonts w:hint="default" w:ascii="Times New Roman" w:hAnsi="Times New Roman" w:eastAsia="宋体" w:cs="Times New Roman"/>
                <w:color w:val="auto"/>
                <w:sz w:val="21"/>
                <w:szCs w:val="21"/>
                <w:lang w:val="en-US" w:eastAsia="zh-CN"/>
              </w:rPr>
              <w:t>两减六治三提升</w:t>
            </w:r>
            <w:r>
              <w:rPr>
                <w:rStyle w:val="107"/>
                <w:rFonts w:hint="eastAsia" w:cs="Times New Roman"/>
                <w:color w:val="auto"/>
                <w:sz w:val="21"/>
                <w:szCs w:val="21"/>
                <w:lang w:val="en-US" w:eastAsia="zh-CN"/>
              </w:rPr>
              <w:t>”</w:t>
            </w:r>
            <w:r>
              <w:rPr>
                <w:rStyle w:val="107"/>
                <w:rFonts w:hint="default" w:ascii="Times New Roman" w:hAnsi="Times New Roman" w:eastAsia="宋体" w:cs="Times New Roman"/>
                <w:color w:val="auto"/>
                <w:sz w:val="21"/>
                <w:szCs w:val="21"/>
                <w:lang w:val="en-US" w:eastAsia="zh-CN"/>
              </w:rPr>
              <w:t>13 个专项行动实施方案》（苏府办〔2017〕108 号）、《苏州市勇当</w:t>
            </w:r>
            <w:r>
              <w:rPr>
                <w:rStyle w:val="107"/>
                <w:rFonts w:hint="eastAsia" w:cs="Times New Roman"/>
                <w:color w:val="auto"/>
                <w:sz w:val="21"/>
                <w:szCs w:val="21"/>
                <w:lang w:val="en-US" w:eastAsia="zh-CN"/>
              </w:rPr>
              <w:t>“</w:t>
            </w:r>
            <w:r>
              <w:rPr>
                <w:rStyle w:val="107"/>
                <w:rFonts w:hint="default" w:ascii="Times New Roman" w:hAnsi="Times New Roman" w:eastAsia="宋体" w:cs="Times New Roman"/>
                <w:color w:val="auto"/>
                <w:sz w:val="21"/>
                <w:szCs w:val="21"/>
                <w:lang w:val="en-US" w:eastAsia="zh-CN"/>
              </w:rPr>
              <w:t>两个标杆</w:t>
            </w:r>
            <w:r>
              <w:rPr>
                <w:rStyle w:val="107"/>
                <w:rFonts w:hint="eastAsia" w:cs="Times New Roman"/>
                <w:color w:val="auto"/>
                <w:sz w:val="21"/>
                <w:szCs w:val="21"/>
                <w:lang w:val="en-US" w:eastAsia="zh-CN"/>
              </w:rPr>
              <w:t>”</w:t>
            </w:r>
            <w:r>
              <w:rPr>
                <w:rStyle w:val="107"/>
                <w:rFonts w:hint="default" w:ascii="Times New Roman" w:hAnsi="Times New Roman" w:eastAsia="宋体" w:cs="Times New Roman"/>
                <w:color w:val="auto"/>
                <w:sz w:val="21"/>
                <w:szCs w:val="21"/>
                <w:lang w:val="en-US" w:eastAsia="zh-CN"/>
              </w:rPr>
              <w:t>落实</w:t>
            </w:r>
            <w:r>
              <w:rPr>
                <w:rStyle w:val="107"/>
                <w:rFonts w:hint="eastAsia" w:cs="Times New Roman"/>
                <w:color w:val="auto"/>
                <w:sz w:val="21"/>
                <w:szCs w:val="21"/>
                <w:lang w:val="en-US" w:eastAsia="zh-CN"/>
              </w:rPr>
              <w:t>“</w:t>
            </w:r>
            <w:r>
              <w:rPr>
                <w:rStyle w:val="107"/>
                <w:rFonts w:hint="default" w:ascii="Times New Roman" w:hAnsi="Times New Roman" w:eastAsia="宋体" w:cs="Times New Roman"/>
                <w:color w:val="auto"/>
                <w:sz w:val="21"/>
                <w:szCs w:val="21"/>
                <w:lang w:val="en-US" w:eastAsia="zh-CN"/>
              </w:rPr>
              <w:t>四个突出</w:t>
            </w:r>
            <w:r>
              <w:rPr>
                <w:rStyle w:val="107"/>
                <w:rFonts w:hint="eastAsia" w:cs="Times New Roman"/>
                <w:color w:val="auto"/>
                <w:sz w:val="21"/>
                <w:szCs w:val="21"/>
                <w:lang w:val="en-US" w:eastAsia="zh-CN"/>
              </w:rPr>
              <w:t>”</w:t>
            </w:r>
            <w:r>
              <w:rPr>
                <w:rStyle w:val="107"/>
                <w:rFonts w:hint="default" w:ascii="Times New Roman" w:hAnsi="Times New Roman" w:eastAsia="宋体" w:cs="Times New Roman"/>
                <w:color w:val="auto"/>
                <w:sz w:val="21"/>
                <w:szCs w:val="21"/>
                <w:lang w:val="en-US" w:eastAsia="zh-CN"/>
              </w:rPr>
              <w:t>建设</w:t>
            </w:r>
            <w:r>
              <w:rPr>
                <w:rStyle w:val="107"/>
                <w:rFonts w:hint="eastAsia" w:cs="Times New Roman"/>
                <w:color w:val="auto"/>
                <w:sz w:val="21"/>
                <w:szCs w:val="21"/>
                <w:lang w:val="en-US" w:eastAsia="zh-CN"/>
              </w:rPr>
              <w:t>“</w:t>
            </w:r>
            <w:r>
              <w:rPr>
                <w:rStyle w:val="107"/>
                <w:rFonts w:hint="default" w:ascii="Times New Roman" w:hAnsi="Times New Roman" w:eastAsia="宋体" w:cs="Times New Roman"/>
                <w:color w:val="auto"/>
                <w:sz w:val="21"/>
                <w:szCs w:val="21"/>
                <w:lang w:val="en-US" w:eastAsia="zh-CN"/>
              </w:rPr>
              <w:t>四个名城</w:t>
            </w:r>
            <w:r>
              <w:rPr>
                <w:rStyle w:val="107"/>
                <w:rFonts w:hint="eastAsia" w:cs="Times New Roman"/>
                <w:color w:val="auto"/>
                <w:sz w:val="21"/>
                <w:szCs w:val="21"/>
                <w:lang w:val="en-US" w:eastAsia="zh-CN"/>
              </w:rPr>
              <w:t>”</w:t>
            </w:r>
            <w:r>
              <w:rPr>
                <w:rStyle w:val="107"/>
                <w:rFonts w:hint="default" w:ascii="Times New Roman" w:hAnsi="Times New Roman" w:eastAsia="宋体" w:cs="Times New Roman"/>
                <w:color w:val="auto"/>
                <w:sz w:val="21"/>
                <w:szCs w:val="21"/>
                <w:lang w:val="en-US" w:eastAsia="zh-CN"/>
              </w:rPr>
              <w:t>十二项三年行动计划（2018-2020 年）》（苏委发〔2018〕6 号）等文件要求。全市太湖、阳澄湖保护区执行《江苏省太湖水污染防治条例》《苏州市阳澄湖水源水质保护条例》等文件要求。</w:t>
            </w:r>
          </w:p>
          <w:p>
            <w:pPr>
              <w:widowControl w:val="0"/>
              <w:adjustRightInd w:val="0"/>
              <w:snapToGrid w:val="0"/>
              <w:jc w:val="both"/>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（4）根据《苏州市长江经济带生态环境保护实施方案（2018-2020 年）》及《中共苏州市委苏州市人民政府关于全面加强生态环境保护坚决打好污染防治攻坚战的工作意见》，围绕新一代信息技术、生物医药、新能源、新材料等领域，大力发展新兴产业。加快城市建成区内钢铁、石化、化工、有色金属冶炼、水泥、平板玻璃等重污染企业和危险化学品企业搬迁改造。提升开发利用区岸线使用效率，合理安排沿江工业和港口岸线、过江通道岸线、取排水口岸线；控制工贸和港口企业无序占用岸线，推进公共码头建设；推动既有危化品码头分类整合，逐步实施功能调整，提高资源利用效率。严禁在长江干流及主要支流岸线 1 公里范围内新建布局危化品码头、化工园区和化工企业，严控危化品码头建设。</w:t>
            </w:r>
          </w:p>
          <w:p>
            <w:pPr>
              <w:widowControl w:val="0"/>
              <w:adjustRightInd w:val="0"/>
              <w:snapToGrid w:val="0"/>
              <w:jc w:val="both"/>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（5）禁止引进列入《苏州市产业发展导向目录》禁止淘汰类的产业。</w:t>
            </w:r>
          </w:p>
        </w:tc>
        <w:tc>
          <w:tcPr>
            <w:tcW w:w="1525" w:type="pct"/>
            <w:tcBorders>
              <w:tl2br w:val="nil"/>
              <w:tr2bl w:val="nil"/>
            </w:tcBorders>
            <w:noWrap w:val="0"/>
            <w:vAlign w:val="center"/>
          </w:tcPr>
          <w:p>
            <w:pPr>
              <w:widowControl w:val="0"/>
              <w:adjustRightInd w:val="0"/>
              <w:snapToGrid w:val="0"/>
              <w:jc w:val="both"/>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本项目为渔洋山饮用水源地生态修复程，涉及太湖渔洋山饮用水水源保护区，为江苏省国家级生态保护红线；本项目属于生态保护修复和环境治理项目，为民生项目，同时本项目符合饮用水水源保护区管控措施和生态红线管控措施要求。本项目</w:t>
            </w:r>
            <w:r>
              <w:rPr>
                <w:rStyle w:val="107"/>
                <w:rFonts w:hint="eastAsia" w:cs="Times New Roman"/>
                <w:color w:val="auto"/>
                <w:sz w:val="21"/>
                <w:szCs w:val="21"/>
                <w:lang w:val="en-US" w:eastAsia="zh-CN"/>
              </w:rPr>
              <w:t>施工期</w:t>
            </w:r>
            <w:r>
              <w:rPr>
                <w:rStyle w:val="107"/>
                <w:rFonts w:hint="default" w:ascii="Times New Roman" w:hAnsi="Times New Roman" w:eastAsia="宋体" w:cs="Times New Roman"/>
                <w:color w:val="auto"/>
                <w:sz w:val="21"/>
                <w:szCs w:val="21"/>
                <w:lang w:val="en-US" w:eastAsia="zh-CN"/>
              </w:rPr>
              <w:t>采取废水、废气、噪声、固废、生态环境等污染防治措施，可使废水、废气、噪声达标排放，固废得到妥善处置，预防和缓解生态破坏。本工程为非污染生态类工程，项目污染物排放主要集中在施工期，项目工程范围内不设施工营地，生活污水依托当地污水管网排入污水处理厂，不向太湖排放污染物，不属于禁止的行业及行为；项目不向太湖水体倾倒和排放废液、垃圾等，不会对太湖水体水质造成污染，故本项目的建设符合《江苏省太湖水污染防治条例》的有关规定。工程实施后，可以促进水体的流动与交换，保障太湖饮用水取水口的水质以及取水口的安全，加大了水体自净能力，从长远看，工程运行对于项目施工河流水环境改善将具有较强的促进作用。本项目不属于《苏州市产业发展导向目录》中禁止淘汰类产业，符合当地产业政策</w:t>
            </w:r>
          </w:p>
        </w:tc>
        <w:tc>
          <w:tcPr>
            <w:tcW w:w="5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tcBorders>
              <w:tl2br w:val="nil"/>
              <w:tr2bl w:val="nil"/>
            </w:tcBorders>
            <w:noWrap w:val="0"/>
            <w:vAlign w:val="center"/>
          </w:tcPr>
          <w:p>
            <w:pPr>
              <w:widowControl w:val="0"/>
              <w:adjustRightInd w:val="0"/>
              <w:snapToGrid w:val="0"/>
              <w:jc w:val="center"/>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污染物排放管</w:t>
            </w:r>
          </w:p>
          <w:p>
            <w:pPr>
              <w:widowControl w:val="0"/>
              <w:adjustRightInd w:val="0"/>
              <w:snapToGrid w:val="0"/>
              <w:jc w:val="center"/>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控</w:t>
            </w:r>
          </w:p>
        </w:tc>
        <w:tc>
          <w:tcPr>
            <w:tcW w:w="2561" w:type="pct"/>
            <w:tcBorders>
              <w:tl2br w:val="nil"/>
              <w:tr2bl w:val="nil"/>
            </w:tcBorders>
            <w:noWrap w:val="0"/>
            <w:vAlign w:val="center"/>
          </w:tcPr>
          <w:p>
            <w:pPr>
              <w:widowControl w:val="0"/>
              <w:adjustRightInd w:val="0"/>
              <w:snapToGrid w:val="0"/>
              <w:jc w:val="both"/>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（1）坚持生态环境质量只能更好、不能变坏，实施污染物总量控制，以环境容量定产业、定项目、定规模，确保开发建设行为不突破生态环境承载力。</w:t>
            </w:r>
          </w:p>
          <w:p>
            <w:pPr>
              <w:widowControl w:val="0"/>
              <w:adjustRightInd w:val="0"/>
              <w:snapToGrid w:val="0"/>
              <w:jc w:val="both"/>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（2）2020 年苏州市化学需氧量、氨氮、总氮、总磷、二氧化硫、氮氧化物、烟粉尘排放量不得超过5.77 万吨/年、1.15 万吨/年、</w:t>
            </w:r>
          </w:p>
          <w:p>
            <w:pPr>
              <w:widowControl w:val="0"/>
              <w:adjustRightInd w:val="0"/>
              <w:snapToGrid w:val="0"/>
              <w:jc w:val="both"/>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2.97 万吨/年、0.23 万吨/年、12.06 万吨/年、15.90 万吨/年、6.36 万吨/年。2025 年苏州市主要污染物排放量达到省定要求。</w:t>
            </w:r>
          </w:p>
          <w:p>
            <w:pPr>
              <w:widowControl w:val="0"/>
              <w:adjustRightInd w:val="0"/>
              <w:snapToGrid w:val="0"/>
              <w:jc w:val="both"/>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（3）严格新建项目总量前置审批，新建项目实行区域内现役源按相关要求等量或减量替代。</w:t>
            </w:r>
          </w:p>
        </w:tc>
        <w:tc>
          <w:tcPr>
            <w:tcW w:w="1525" w:type="pct"/>
            <w:tcBorders>
              <w:tl2br w:val="nil"/>
              <w:tr2bl w:val="nil"/>
            </w:tcBorders>
            <w:noWrap w:val="0"/>
            <w:vAlign w:val="center"/>
          </w:tcPr>
          <w:p>
            <w:pPr>
              <w:widowControl w:val="0"/>
              <w:adjustRightInd w:val="0"/>
              <w:snapToGrid w:val="0"/>
              <w:jc w:val="both"/>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本项目为非污染生态类工程项目，施工过程中产生的施工废物均在指定区域收集后，按要求清运至指定地点进行处理；施工人员产生的生活垃圾均经生活垃圾收集点收集后委托环卫部门清运；本项目在施工过程中不向水体倾倒任何废弃物；工程建设对水环境水污染的影响集中在施工期，项目工程范围内不设施工营地，生活污水依托当地污水管网排入污水处理厂。项目无需申请总量。</w:t>
            </w:r>
          </w:p>
        </w:tc>
        <w:tc>
          <w:tcPr>
            <w:tcW w:w="5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tcBorders>
              <w:tl2br w:val="nil"/>
              <w:tr2bl w:val="nil"/>
            </w:tcBorders>
            <w:noWrap w:val="0"/>
            <w:vAlign w:val="center"/>
          </w:tcPr>
          <w:p>
            <w:pPr>
              <w:widowControl w:val="0"/>
              <w:adjustRightInd w:val="0"/>
              <w:snapToGrid w:val="0"/>
              <w:jc w:val="center"/>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环境风险防控</w:t>
            </w:r>
          </w:p>
        </w:tc>
        <w:tc>
          <w:tcPr>
            <w:tcW w:w="2561" w:type="pct"/>
            <w:tcBorders>
              <w:tl2br w:val="nil"/>
              <w:tr2bl w:val="nil"/>
            </w:tcBorders>
            <w:noWrap w:val="0"/>
            <w:vAlign w:val="center"/>
          </w:tcPr>
          <w:p>
            <w:pPr>
              <w:widowControl w:val="0"/>
              <w:adjustRightInd w:val="0"/>
              <w:snapToGrid w:val="0"/>
              <w:jc w:val="both"/>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（1）严格执行《江苏省</w:t>
            </w:r>
            <w:r>
              <w:rPr>
                <w:rStyle w:val="107"/>
                <w:rFonts w:hint="eastAsia" w:cs="Times New Roman"/>
                <w:color w:val="auto"/>
                <w:sz w:val="21"/>
                <w:szCs w:val="21"/>
                <w:lang w:val="en-US" w:eastAsia="zh-CN"/>
              </w:rPr>
              <w:t>“</w:t>
            </w:r>
            <w:r>
              <w:rPr>
                <w:rStyle w:val="107"/>
                <w:rFonts w:hint="default" w:ascii="Times New Roman" w:hAnsi="Times New Roman" w:eastAsia="宋体" w:cs="Times New Roman"/>
                <w:color w:val="auto"/>
                <w:sz w:val="21"/>
                <w:szCs w:val="21"/>
                <w:lang w:val="en-US" w:eastAsia="zh-CN"/>
              </w:rPr>
              <w:t>三线一单</w:t>
            </w:r>
            <w:r>
              <w:rPr>
                <w:rStyle w:val="107"/>
                <w:rFonts w:hint="eastAsia" w:cs="Times New Roman"/>
                <w:color w:val="auto"/>
                <w:sz w:val="21"/>
                <w:szCs w:val="21"/>
                <w:lang w:val="en-US" w:eastAsia="zh-CN"/>
              </w:rPr>
              <w:t>”</w:t>
            </w:r>
            <w:r>
              <w:rPr>
                <w:rStyle w:val="107"/>
                <w:rFonts w:hint="default" w:ascii="Times New Roman" w:hAnsi="Times New Roman" w:eastAsia="宋体" w:cs="Times New Roman"/>
                <w:color w:val="auto"/>
                <w:sz w:val="21"/>
                <w:szCs w:val="21"/>
                <w:lang w:val="en-US" w:eastAsia="zh-CN"/>
              </w:rPr>
              <w:t>生态环境分区管控方案》（苏政发〔2020〕49号）附件3江苏省省域生态环境管控要求中</w:t>
            </w:r>
            <w:r>
              <w:rPr>
                <w:rStyle w:val="107"/>
                <w:rFonts w:hint="eastAsia" w:cs="Times New Roman"/>
                <w:color w:val="auto"/>
                <w:sz w:val="21"/>
                <w:szCs w:val="21"/>
                <w:lang w:val="en-US" w:eastAsia="zh-CN"/>
              </w:rPr>
              <w:t>“</w:t>
            </w:r>
            <w:r>
              <w:rPr>
                <w:rStyle w:val="107"/>
                <w:rFonts w:hint="default" w:ascii="Times New Roman" w:hAnsi="Times New Roman" w:eastAsia="宋体" w:cs="Times New Roman"/>
                <w:color w:val="auto"/>
                <w:sz w:val="21"/>
                <w:szCs w:val="21"/>
                <w:lang w:val="en-US" w:eastAsia="zh-CN"/>
              </w:rPr>
              <w:t>环境风险防控</w:t>
            </w:r>
            <w:r>
              <w:rPr>
                <w:rStyle w:val="107"/>
                <w:rFonts w:hint="eastAsia" w:cs="Times New Roman"/>
                <w:color w:val="auto"/>
                <w:sz w:val="21"/>
                <w:szCs w:val="21"/>
                <w:lang w:val="en-US" w:eastAsia="zh-CN"/>
              </w:rPr>
              <w:t>”</w:t>
            </w:r>
            <w:r>
              <w:rPr>
                <w:rStyle w:val="107"/>
                <w:rFonts w:hint="default" w:ascii="Times New Roman" w:hAnsi="Times New Roman" w:eastAsia="宋体" w:cs="Times New Roman"/>
                <w:color w:val="auto"/>
                <w:sz w:val="21"/>
                <w:szCs w:val="21"/>
                <w:lang w:val="en-US" w:eastAsia="zh-CN"/>
              </w:rPr>
              <w:t>的相关要求。</w:t>
            </w:r>
          </w:p>
          <w:p>
            <w:pPr>
              <w:widowControl w:val="0"/>
              <w:adjustRightInd w:val="0"/>
              <w:snapToGrid w:val="0"/>
              <w:jc w:val="both"/>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（2）强化饮用水水源环境风险管控。县级以上城市全部建成应急水源或双源供水。</w:t>
            </w:r>
          </w:p>
          <w:p>
            <w:pPr>
              <w:widowControl w:val="0"/>
              <w:adjustRightInd w:val="0"/>
              <w:snapToGrid w:val="0"/>
              <w:jc w:val="both"/>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（3）落实《苏州市突发环境事件应急预案》。完善市、县级市（区）两级突发环境事件应急响应体系，定期组织演练，提高应急处置能力。</w:t>
            </w:r>
          </w:p>
        </w:tc>
        <w:tc>
          <w:tcPr>
            <w:tcW w:w="1525" w:type="pct"/>
            <w:tcBorders>
              <w:tl2br w:val="nil"/>
              <w:tr2bl w:val="nil"/>
            </w:tcBorders>
            <w:noWrap w:val="0"/>
            <w:vAlign w:val="center"/>
          </w:tcPr>
          <w:p>
            <w:pPr>
              <w:widowControl w:val="0"/>
              <w:adjustRightInd w:val="0"/>
              <w:snapToGrid w:val="0"/>
              <w:jc w:val="both"/>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本项目整体位于太湖渔洋山饮用水水源保护区范围内，本项目有利于水源地的保护，有利于水质的改善，不属于与水源保护无关的项目；项目严格按照《饮用水水源保护区污染防治管理规定》（2010修改）进行控制和管理。本项目提出了饮用水水源保护区风险防范措施以及环境应急预案编制、建立必要的应急联动机制等要求。</w:t>
            </w:r>
          </w:p>
        </w:tc>
        <w:tc>
          <w:tcPr>
            <w:tcW w:w="5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tcBorders>
              <w:tl2br w:val="nil"/>
              <w:tr2bl w:val="nil"/>
            </w:tcBorders>
            <w:noWrap w:val="0"/>
            <w:vAlign w:val="center"/>
          </w:tcPr>
          <w:p>
            <w:pPr>
              <w:widowControl w:val="0"/>
              <w:adjustRightInd w:val="0"/>
              <w:snapToGrid w:val="0"/>
              <w:jc w:val="center"/>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资源开发效率</w:t>
            </w:r>
          </w:p>
          <w:p>
            <w:pPr>
              <w:widowControl w:val="0"/>
              <w:adjustRightInd w:val="0"/>
              <w:snapToGrid w:val="0"/>
              <w:jc w:val="center"/>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要求</w:t>
            </w:r>
          </w:p>
        </w:tc>
        <w:tc>
          <w:tcPr>
            <w:tcW w:w="2561" w:type="pct"/>
            <w:tcBorders>
              <w:tl2br w:val="nil"/>
              <w:tr2bl w:val="nil"/>
            </w:tcBorders>
            <w:noWrap w:val="0"/>
            <w:vAlign w:val="center"/>
          </w:tcPr>
          <w:p>
            <w:pPr>
              <w:widowControl w:val="0"/>
              <w:adjustRightInd w:val="0"/>
              <w:snapToGrid w:val="0"/>
              <w:jc w:val="both"/>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（1）2020 年苏州市用水总量不得超过63.26 亿立方米。</w:t>
            </w:r>
          </w:p>
          <w:p>
            <w:pPr>
              <w:widowControl w:val="0"/>
              <w:adjustRightInd w:val="0"/>
              <w:snapToGrid w:val="0"/>
              <w:jc w:val="both"/>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（2）2020 年苏州市耕地保有量不低于19.86 万公顷，永久基本农田保护面积不低于16.86 万公顷。</w:t>
            </w:r>
          </w:p>
          <w:p>
            <w:pPr>
              <w:widowControl w:val="0"/>
              <w:adjustRightInd w:val="0"/>
              <w:snapToGrid w:val="0"/>
              <w:jc w:val="both"/>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（3）禁燃区禁止新建、扩建燃用高污染燃料的项目和设施，已建成的应逐步或依法限期改用天然气、电或者其他清洁能源。</w:t>
            </w:r>
          </w:p>
        </w:tc>
        <w:tc>
          <w:tcPr>
            <w:tcW w:w="1525" w:type="pct"/>
            <w:tcBorders>
              <w:tl2br w:val="nil"/>
              <w:tr2bl w:val="nil"/>
            </w:tcBorders>
            <w:noWrap w:val="0"/>
            <w:vAlign w:val="center"/>
          </w:tcPr>
          <w:p>
            <w:pPr>
              <w:widowControl w:val="0"/>
              <w:adjustRightInd w:val="0"/>
              <w:snapToGrid w:val="0"/>
              <w:jc w:val="both"/>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本项目生活用水从当地自来水管网接引，项目不使用高污染燃料，本项目工程占地现有用地类型为农林用地，不涉及永久基本农田。</w:t>
            </w:r>
          </w:p>
        </w:tc>
        <w:tc>
          <w:tcPr>
            <w:tcW w:w="5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相符</w:t>
            </w:r>
          </w:p>
        </w:tc>
      </w:tr>
    </w:tbl>
    <w:p>
      <w:pPr>
        <w:pStyle w:val="8"/>
        <w:snapToGrid w:val="0"/>
        <w:spacing w:line="480" w:lineRule="exact"/>
        <w:ind w:left="0" w:leftChars="0"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eastAsia" w:cs="Times New Roman"/>
          <w:b/>
          <w:bCs/>
          <w:color w:val="auto"/>
          <w:sz w:val="24"/>
          <w:szCs w:val="24"/>
          <w:lang w:val="en-US" w:eastAsia="zh-CN"/>
        </w:rPr>
        <w:t>2.5-7</w:t>
      </w:r>
      <w:r>
        <w:rPr>
          <w:rFonts w:hint="default" w:ascii="Times New Roman" w:hAnsi="Times New Roman" w:eastAsia="宋体" w:cs="Times New Roman"/>
          <w:b/>
          <w:bCs/>
          <w:color w:val="auto"/>
          <w:sz w:val="24"/>
          <w:szCs w:val="24"/>
        </w:rPr>
        <w:t>苏州市优先保护单元（饮用水水源保护区）生态环境准入清单</w:t>
      </w:r>
      <w:r>
        <w:rPr>
          <w:rFonts w:hint="default" w:ascii="Times New Roman" w:hAnsi="Times New Roman" w:eastAsia="宋体" w:cs="Times New Roman"/>
          <w:b/>
          <w:bCs/>
          <w:color w:val="auto"/>
          <w:sz w:val="24"/>
          <w:szCs w:val="24"/>
          <w:lang w:val="en-US" w:eastAsia="zh-CN"/>
        </w:rPr>
        <w:t>及其</w:t>
      </w:r>
      <w:r>
        <w:rPr>
          <w:rFonts w:hint="default" w:ascii="Times New Roman" w:hAnsi="Times New Roman" w:eastAsia="宋体" w:cs="Times New Roman"/>
          <w:b/>
          <w:bCs/>
          <w:color w:val="auto"/>
          <w:sz w:val="24"/>
          <w:szCs w:val="24"/>
        </w:rPr>
        <w:t>相符性</w:t>
      </w:r>
    </w:p>
    <w:tbl>
      <w:tblPr>
        <w:tblStyle w:val="56"/>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763"/>
        <w:gridCol w:w="4257"/>
        <w:gridCol w:w="1607"/>
        <w:gridCol w:w="8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3" w:type="pct"/>
            <w:tcBorders>
              <w:tl2br w:val="nil"/>
              <w:tr2bl w:val="nil"/>
            </w:tcBorders>
            <w:noWrap w:val="0"/>
            <w:vAlign w:val="center"/>
          </w:tcPr>
          <w:p>
            <w:pPr>
              <w:widowControl w:val="0"/>
              <w:adjustRightInd w:val="0"/>
              <w:snapToGrid w:val="0"/>
              <w:jc w:val="center"/>
              <w:rPr>
                <w:rStyle w:val="107"/>
                <w:rFonts w:hint="default" w:ascii="Times New Roman" w:hAnsi="Times New Roman" w:eastAsia="宋体" w:cs="Times New Roman"/>
                <w:b/>
                <w:bCs/>
                <w:color w:val="auto"/>
                <w:sz w:val="21"/>
                <w:szCs w:val="21"/>
                <w:lang w:val="en-US" w:eastAsia="zh-CN"/>
              </w:rPr>
            </w:pPr>
            <w:r>
              <w:rPr>
                <w:rStyle w:val="107"/>
                <w:rFonts w:hint="default" w:ascii="Times New Roman" w:hAnsi="Times New Roman" w:eastAsia="宋体" w:cs="Times New Roman"/>
                <w:b/>
                <w:bCs/>
                <w:color w:val="auto"/>
                <w:sz w:val="21"/>
                <w:szCs w:val="21"/>
                <w:lang w:val="en-US" w:eastAsia="zh-CN"/>
              </w:rPr>
              <w:t>环境管控单元名称</w:t>
            </w:r>
          </w:p>
        </w:tc>
        <w:tc>
          <w:tcPr>
            <w:tcW w:w="431" w:type="pct"/>
            <w:tcBorders>
              <w:tl2br w:val="nil"/>
              <w:tr2bl w:val="nil"/>
            </w:tcBorders>
            <w:noWrap w:val="0"/>
            <w:vAlign w:val="center"/>
          </w:tcPr>
          <w:p>
            <w:pPr>
              <w:widowControl w:val="0"/>
              <w:adjustRightInd w:val="0"/>
              <w:snapToGrid w:val="0"/>
              <w:jc w:val="center"/>
              <w:rPr>
                <w:rStyle w:val="107"/>
                <w:rFonts w:hint="default" w:ascii="Times New Roman" w:hAnsi="Times New Roman" w:eastAsia="宋体" w:cs="Times New Roman"/>
                <w:b/>
                <w:bCs/>
                <w:color w:val="auto"/>
                <w:sz w:val="21"/>
                <w:szCs w:val="21"/>
                <w:lang w:val="en-US" w:eastAsia="zh-CN"/>
              </w:rPr>
            </w:pPr>
            <w:r>
              <w:rPr>
                <w:rStyle w:val="107"/>
                <w:rFonts w:hint="default" w:ascii="Times New Roman" w:hAnsi="Times New Roman" w:eastAsia="宋体" w:cs="Times New Roman"/>
                <w:b/>
                <w:bCs/>
                <w:color w:val="auto"/>
                <w:sz w:val="21"/>
                <w:szCs w:val="21"/>
                <w:lang w:val="en-US" w:eastAsia="zh-CN"/>
              </w:rPr>
              <w:t>管控类别</w:t>
            </w:r>
          </w:p>
        </w:tc>
        <w:tc>
          <w:tcPr>
            <w:tcW w:w="2405" w:type="pct"/>
            <w:tcBorders>
              <w:tl2br w:val="nil"/>
              <w:tr2bl w:val="nil"/>
            </w:tcBorders>
            <w:noWrap w:val="0"/>
            <w:vAlign w:val="center"/>
          </w:tcPr>
          <w:p>
            <w:pPr>
              <w:widowControl w:val="0"/>
              <w:adjustRightInd w:val="0"/>
              <w:snapToGrid w:val="0"/>
              <w:jc w:val="center"/>
              <w:rPr>
                <w:rStyle w:val="107"/>
                <w:rFonts w:hint="default" w:ascii="Times New Roman" w:hAnsi="Times New Roman" w:eastAsia="宋体" w:cs="Times New Roman"/>
                <w:b/>
                <w:bCs/>
                <w:color w:val="auto"/>
                <w:sz w:val="21"/>
                <w:szCs w:val="21"/>
                <w:lang w:val="en-US" w:eastAsia="zh-CN"/>
              </w:rPr>
            </w:pPr>
            <w:r>
              <w:rPr>
                <w:rStyle w:val="107"/>
                <w:rFonts w:hint="default" w:ascii="Times New Roman" w:hAnsi="Times New Roman" w:eastAsia="宋体" w:cs="Times New Roman"/>
                <w:b/>
                <w:bCs/>
                <w:color w:val="auto"/>
                <w:sz w:val="21"/>
                <w:szCs w:val="21"/>
                <w:lang w:val="en-US" w:eastAsia="zh-CN"/>
              </w:rPr>
              <w:t>重点管控要求</w:t>
            </w:r>
          </w:p>
        </w:tc>
        <w:tc>
          <w:tcPr>
            <w:tcW w:w="908" w:type="pct"/>
            <w:tcBorders>
              <w:tl2br w:val="nil"/>
              <w:tr2bl w:val="nil"/>
            </w:tcBorders>
            <w:noWrap w:val="0"/>
            <w:vAlign w:val="center"/>
          </w:tcPr>
          <w:p>
            <w:pPr>
              <w:widowControl w:val="0"/>
              <w:adjustRightInd w:val="0"/>
              <w:snapToGrid w:val="0"/>
              <w:jc w:val="center"/>
              <w:rPr>
                <w:rStyle w:val="107"/>
                <w:rFonts w:hint="default" w:ascii="Times New Roman" w:hAnsi="Times New Roman" w:eastAsia="宋体" w:cs="Times New Roman"/>
                <w:b/>
                <w:bCs/>
                <w:color w:val="auto"/>
                <w:sz w:val="21"/>
                <w:szCs w:val="21"/>
                <w:lang w:val="en-US" w:eastAsia="zh-CN"/>
              </w:rPr>
            </w:pPr>
            <w:r>
              <w:rPr>
                <w:rStyle w:val="107"/>
                <w:rFonts w:hint="default" w:ascii="Times New Roman" w:hAnsi="Times New Roman" w:eastAsia="宋体" w:cs="Times New Roman"/>
                <w:b/>
                <w:bCs/>
                <w:color w:val="auto"/>
                <w:sz w:val="21"/>
                <w:szCs w:val="21"/>
                <w:lang w:val="en-US" w:eastAsia="zh-CN"/>
              </w:rPr>
              <w:t>本项目情况</w:t>
            </w:r>
          </w:p>
        </w:tc>
        <w:tc>
          <w:tcPr>
            <w:tcW w:w="501" w:type="pct"/>
            <w:tcBorders>
              <w:tl2br w:val="nil"/>
              <w:tr2bl w:val="nil"/>
            </w:tcBorders>
            <w:noWrap w:val="0"/>
            <w:vAlign w:val="center"/>
          </w:tcPr>
          <w:p>
            <w:pPr>
              <w:widowControl w:val="0"/>
              <w:adjustRightInd w:val="0"/>
              <w:snapToGrid w:val="0"/>
              <w:jc w:val="center"/>
              <w:rPr>
                <w:rStyle w:val="107"/>
                <w:rFonts w:hint="default" w:ascii="Times New Roman" w:hAnsi="Times New Roman" w:eastAsia="宋体" w:cs="Times New Roman"/>
                <w:b/>
                <w:bCs/>
                <w:color w:val="auto"/>
                <w:sz w:val="21"/>
                <w:szCs w:val="21"/>
                <w:lang w:val="en-US" w:eastAsia="zh-CN"/>
              </w:rPr>
            </w:pPr>
            <w:r>
              <w:rPr>
                <w:rStyle w:val="107"/>
                <w:rFonts w:hint="default" w:ascii="Times New Roman" w:hAnsi="Times New Roman" w:eastAsia="宋体" w:cs="Times New Roman"/>
                <w:b/>
                <w:bCs/>
                <w:color w:val="auto"/>
                <w:sz w:val="21"/>
                <w:szCs w:val="21"/>
                <w:lang w:val="en-US" w:eastAsia="zh-CN"/>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3" w:type="pct"/>
            <w:vMerge w:val="restart"/>
            <w:tcBorders>
              <w:tl2br w:val="nil"/>
              <w:tr2bl w:val="nil"/>
            </w:tcBorders>
            <w:noWrap w:val="0"/>
            <w:vAlign w:val="center"/>
          </w:tcPr>
          <w:p>
            <w:pPr>
              <w:widowControl w:val="0"/>
              <w:adjustRightInd w:val="0"/>
              <w:snapToGrid w:val="0"/>
              <w:jc w:val="center"/>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饮用水水源地保护区</w:t>
            </w:r>
          </w:p>
        </w:tc>
        <w:tc>
          <w:tcPr>
            <w:tcW w:w="431" w:type="pct"/>
            <w:tcBorders>
              <w:tl2br w:val="nil"/>
              <w:tr2bl w:val="nil"/>
            </w:tcBorders>
            <w:noWrap w:val="0"/>
            <w:vAlign w:val="center"/>
          </w:tcPr>
          <w:p>
            <w:pPr>
              <w:widowControl w:val="0"/>
              <w:adjustRightInd w:val="0"/>
              <w:snapToGrid w:val="0"/>
              <w:jc w:val="center"/>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空间布局约束</w:t>
            </w:r>
          </w:p>
        </w:tc>
        <w:tc>
          <w:tcPr>
            <w:tcW w:w="2405" w:type="pct"/>
            <w:tcBorders>
              <w:tl2br w:val="nil"/>
              <w:tr2bl w:val="nil"/>
            </w:tcBorders>
            <w:noWrap w:val="0"/>
            <w:vAlign w:val="center"/>
          </w:tcPr>
          <w:p>
            <w:pPr>
              <w:widowControl w:val="0"/>
              <w:adjustRightInd w:val="0"/>
              <w:snapToGrid w:val="0"/>
              <w:jc w:val="both"/>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（1）生态保护红线内严禁不符合主体功能定位的各类开发活动。</w:t>
            </w:r>
          </w:p>
          <w:p>
            <w:pPr>
              <w:widowControl w:val="0"/>
              <w:adjustRightInd w:val="0"/>
              <w:snapToGrid w:val="0"/>
              <w:jc w:val="both"/>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2）生态空间管控区域以生态保护为重点，原则上不得开展有损主导生态功能的开发建设活动。生态空间管控区域内除国家另有规定外，禁止：新建、扩建排放含持久性有机污染物和含汞、镉、铅、砷、硫、铬、氰化物等污染物的建设项目；新建、扩建化学制浆造纸、制革、电镀、印制线路板、印染、染料、炼油、炼焦、农药、石棉、水泥、玻璃、冶炼等建设项目；建设高尔夫球场、废物回收（加工）场和有毒有害物品仓库、堆栈，或者设置煤场、灰场、垃圾填埋场；设置水</w:t>
            </w:r>
          </w:p>
          <w:p>
            <w:pPr>
              <w:widowControl w:val="0"/>
              <w:adjustRightInd w:val="0"/>
              <w:snapToGrid w:val="0"/>
              <w:jc w:val="both"/>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上餐饮、娱乐设施（场所），从事船舶、机动车等修造、拆解作业，或者在水域内采砂、取土；围垦河道和滩地，从事围网、网箱养殖，或者设置屠宰场。</w:t>
            </w:r>
          </w:p>
          <w:p>
            <w:pPr>
              <w:widowControl w:val="0"/>
              <w:adjustRightInd w:val="0"/>
              <w:snapToGrid w:val="0"/>
              <w:jc w:val="both"/>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（3）按照《中华人民共和国水污染防治法》《江苏省人民代表大会常务委员会关于加强饮用水源地保护</w:t>
            </w:r>
          </w:p>
          <w:p>
            <w:pPr>
              <w:widowControl w:val="0"/>
              <w:adjustRightInd w:val="0"/>
              <w:snapToGrid w:val="0"/>
              <w:jc w:val="both"/>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的决定》《江苏省生态空间管控区域规划》及相关法律法规实施保护管理。</w:t>
            </w:r>
          </w:p>
          <w:p>
            <w:pPr>
              <w:widowControl w:val="0"/>
              <w:adjustRightInd w:val="0"/>
              <w:snapToGrid w:val="0"/>
              <w:jc w:val="both"/>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4）根据《中华人民共和国水污染防治法》：禁止在一级保护区内新建、改建、扩建与供水设施和保护水源无关的建设项目；从事网箱养殖、旅游、游泳、垂钓或者其他可能污染饮用水水体的活动。禁止在二级保护区内新、改、扩建排放污</w:t>
            </w:r>
          </w:p>
          <w:p>
            <w:pPr>
              <w:widowControl w:val="0"/>
              <w:adjustRightInd w:val="0"/>
              <w:snapToGrid w:val="0"/>
              <w:jc w:val="both"/>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染物的建设项目。</w:t>
            </w:r>
          </w:p>
        </w:tc>
        <w:tc>
          <w:tcPr>
            <w:tcW w:w="908" w:type="pct"/>
            <w:tcBorders>
              <w:tl2br w:val="nil"/>
              <w:tr2bl w:val="nil"/>
            </w:tcBorders>
            <w:noWrap w:val="0"/>
            <w:vAlign w:val="center"/>
          </w:tcPr>
          <w:p>
            <w:pPr>
              <w:widowControl w:val="0"/>
              <w:adjustRightInd w:val="0"/>
              <w:snapToGrid w:val="0"/>
              <w:jc w:val="both"/>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本项目为渔洋山饮用水源地生态修复程，实施内容有利于水源地的安全和保护，有利于水源的涵养和水环境的质量改善，为与保护水源有关的项目，同时与其主体功能饮用水水源保护区的主体功能定位相符</w:t>
            </w:r>
          </w:p>
        </w:tc>
        <w:tc>
          <w:tcPr>
            <w:tcW w:w="5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431" w:type="pct"/>
            <w:tcBorders>
              <w:tl2br w:val="nil"/>
              <w:tr2bl w:val="nil"/>
            </w:tcBorders>
            <w:noWrap w:val="0"/>
            <w:vAlign w:val="center"/>
          </w:tcPr>
          <w:p>
            <w:pPr>
              <w:widowControl w:val="0"/>
              <w:adjustRightInd w:val="0"/>
              <w:snapToGrid w:val="0"/>
              <w:jc w:val="center"/>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污染物排放管</w:t>
            </w:r>
          </w:p>
          <w:p>
            <w:pPr>
              <w:widowControl w:val="0"/>
              <w:adjustRightInd w:val="0"/>
              <w:snapToGrid w:val="0"/>
              <w:jc w:val="center"/>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控</w:t>
            </w:r>
          </w:p>
        </w:tc>
        <w:tc>
          <w:tcPr>
            <w:tcW w:w="2405" w:type="pct"/>
            <w:tcBorders>
              <w:tl2br w:val="nil"/>
              <w:tr2bl w:val="nil"/>
            </w:tcBorders>
            <w:noWrap w:val="0"/>
            <w:vAlign w:val="center"/>
          </w:tcPr>
          <w:p>
            <w:pPr>
              <w:widowControl w:val="0"/>
              <w:adjustRightInd w:val="0"/>
              <w:snapToGrid w:val="0"/>
              <w:jc w:val="both"/>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1）根据《中华人民共和国水污染防治法》：在饮用水水源保护区内，禁止设置排污口。禁止在饮用水水源一级保护区内从事网箱养殖、旅游、游泳、垂钓或者其他可能污染饮用水水体的活动。禁止在饮用水水源二级保护区内新建、改建、扩建排放污染物的建设项目。禁止在饮用水水源准保护区内新建、扩建对水体污染严重的建设项目；改建建设项目，不得增加排污量。</w:t>
            </w:r>
          </w:p>
          <w:p>
            <w:pPr>
              <w:widowControl w:val="0"/>
              <w:adjustRightInd w:val="0"/>
              <w:snapToGrid w:val="0"/>
              <w:jc w:val="both"/>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2）根据《江苏省生态空间管控区域规划》：生态空间管控区域内除国家另有规定外，禁止：排放省人民政府公布的有机毒物控制名录中确定的污染物；新建、扩建对水体污染严重的其他建设项目，或者从事法律、法规禁止的其他活动；设置排污口；新建、改建、扩建排放污染物的其他建设项目，或者从事法律、法规禁止的其他活动；在饮用水水源地二级保护区内从事旅游等经营活动的，应当采取措施防止污染饮用水水体。</w:t>
            </w:r>
          </w:p>
        </w:tc>
        <w:tc>
          <w:tcPr>
            <w:tcW w:w="908" w:type="pct"/>
            <w:tcBorders>
              <w:tl2br w:val="nil"/>
              <w:tr2bl w:val="nil"/>
            </w:tcBorders>
            <w:noWrap w:val="0"/>
            <w:vAlign w:val="center"/>
          </w:tcPr>
          <w:p>
            <w:pPr>
              <w:widowControl w:val="0"/>
              <w:adjustRightInd w:val="0"/>
              <w:snapToGrid w:val="0"/>
              <w:jc w:val="both"/>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本项目为渔洋山饮用水源地生态修复程，位于渔洋山饮用水水源保护区内，实施内容有利于水源地的安全和保护，有利于水源的涵养和水环境的质量改善，为与保护水源有关的项目。</w:t>
            </w:r>
          </w:p>
        </w:tc>
        <w:tc>
          <w:tcPr>
            <w:tcW w:w="5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431" w:type="pct"/>
            <w:tcBorders>
              <w:tl2br w:val="nil"/>
              <w:tr2bl w:val="nil"/>
            </w:tcBorders>
            <w:noWrap w:val="0"/>
            <w:vAlign w:val="center"/>
          </w:tcPr>
          <w:p>
            <w:pPr>
              <w:widowControl w:val="0"/>
              <w:adjustRightInd w:val="0"/>
              <w:snapToGrid w:val="0"/>
              <w:jc w:val="center"/>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环境风险防控</w:t>
            </w:r>
          </w:p>
        </w:tc>
        <w:tc>
          <w:tcPr>
            <w:tcW w:w="2405" w:type="pct"/>
            <w:tcBorders>
              <w:tl2br w:val="nil"/>
              <w:tr2bl w:val="nil"/>
            </w:tcBorders>
            <w:noWrap w:val="0"/>
            <w:vAlign w:val="center"/>
          </w:tcPr>
          <w:p>
            <w:pPr>
              <w:widowControl w:val="0"/>
              <w:adjustRightInd w:val="0"/>
              <w:snapToGrid w:val="0"/>
              <w:jc w:val="both"/>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1）根据《中华人民共和国水污染防治法》：县级以上地方人民政府应当组织环境保护等部门，对饮用水水源保护区、地下水型饮用水源的补给区及供水单位周边区域的环境状况和污染风险进行调查估，筛查可能存在的污染风险因素，并采取相应的风险防范措施。</w:t>
            </w:r>
          </w:p>
          <w:p>
            <w:pPr>
              <w:widowControl w:val="0"/>
              <w:adjustRightInd w:val="0"/>
              <w:snapToGrid w:val="0"/>
              <w:jc w:val="both"/>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2）根据《中华人民共和国水污染防治法》：饮用水水源受到污染可能威胁供水安全的，环境保护主管部门应当责令有关企业事业单位和其他生产经营者采取停止排放水污染物等措施，并通报饮用水供水单位和供水、卫生、水行政等部门；跨行政区域的，还应当通报相关地方人民政府。</w:t>
            </w:r>
          </w:p>
          <w:p>
            <w:pPr>
              <w:widowControl w:val="0"/>
              <w:adjustRightInd w:val="0"/>
              <w:snapToGrid w:val="0"/>
              <w:jc w:val="both"/>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3）根据《中华人民共和国水污染防治法》：市、县级人民政府应当组织编制饮用水安全突发事件应急预案。饮用水供水单位应当根据所在地饮用水安全突发事件应急预案，制定相应的突发事件应急方案，报所在地市、县级人民政府备案，并定期进行演练。</w:t>
            </w:r>
          </w:p>
          <w:p>
            <w:pPr>
              <w:widowControl w:val="0"/>
              <w:adjustRightInd w:val="0"/>
              <w:snapToGrid w:val="0"/>
              <w:jc w:val="both"/>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（4）根据《江苏省生态空间管控区域规划》：生态空间管控区域内除国家另有规定外，禁止下列行为：从事危险化学品装卸作业或者煤炭、矿砂、水泥等散货装卸作业。</w:t>
            </w:r>
          </w:p>
        </w:tc>
        <w:tc>
          <w:tcPr>
            <w:tcW w:w="908" w:type="pct"/>
            <w:tcBorders>
              <w:tl2br w:val="nil"/>
              <w:tr2bl w:val="nil"/>
            </w:tcBorders>
            <w:noWrap w:val="0"/>
            <w:vAlign w:val="center"/>
          </w:tcPr>
          <w:p>
            <w:pPr>
              <w:widowControl w:val="0"/>
              <w:adjustRightInd w:val="0"/>
              <w:snapToGrid w:val="0"/>
              <w:jc w:val="both"/>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本项目不涉及危险化学品装卸作业或者煤炭、矿砂、水泥等散货装卸作业。</w:t>
            </w:r>
          </w:p>
        </w:tc>
        <w:tc>
          <w:tcPr>
            <w:tcW w:w="5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431" w:type="pct"/>
            <w:tcBorders>
              <w:tl2br w:val="nil"/>
              <w:tr2bl w:val="nil"/>
            </w:tcBorders>
            <w:noWrap w:val="0"/>
            <w:vAlign w:val="center"/>
          </w:tcPr>
          <w:p>
            <w:pPr>
              <w:widowControl w:val="0"/>
              <w:adjustRightInd w:val="0"/>
              <w:snapToGrid w:val="0"/>
              <w:jc w:val="center"/>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资源开发效率</w:t>
            </w:r>
          </w:p>
          <w:p>
            <w:pPr>
              <w:widowControl w:val="0"/>
              <w:adjustRightInd w:val="0"/>
              <w:snapToGrid w:val="0"/>
              <w:jc w:val="center"/>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要求</w:t>
            </w:r>
          </w:p>
        </w:tc>
        <w:tc>
          <w:tcPr>
            <w:tcW w:w="2405" w:type="pct"/>
            <w:tcBorders>
              <w:tl2br w:val="nil"/>
              <w:tr2bl w:val="nil"/>
            </w:tcBorders>
            <w:noWrap w:val="0"/>
            <w:vAlign w:val="center"/>
          </w:tcPr>
          <w:p>
            <w:pPr>
              <w:widowControl w:val="0"/>
              <w:adjustRightInd w:val="0"/>
              <w:snapToGrid w:val="0"/>
              <w:jc w:val="both"/>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（1）根据《中华人民共和国水污染防治法》：开发、利用和调节、调度水资源时，应当统筹兼顾，维持江河的合理流量和湖泊、水库以及地下水体的合理水位，保障基本生态用水，维护水体的生态功能。</w:t>
            </w:r>
          </w:p>
          <w:p>
            <w:pPr>
              <w:widowControl w:val="0"/>
              <w:adjustRightInd w:val="0"/>
              <w:snapToGrid w:val="0"/>
              <w:jc w:val="both"/>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（2）禁止销售使用燃料为</w:t>
            </w:r>
            <w:r>
              <w:rPr>
                <w:rStyle w:val="107"/>
                <w:rFonts w:hint="eastAsia" w:cs="Times New Roman"/>
                <w:color w:val="auto"/>
                <w:sz w:val="21"/>
                <w:szCs w:val="21"/>
                <w:lang w:val="en-US" w:eastAsia="zh-CN"/>
              </w:rPr>
              <w:t>“</w:t>
            </w:r>
            <w:r>
              <w:rPr>
                <w:rStyle w:val="107"/>
                <w:rFonts w:hint="default" w:ascii="Times New Roman" w:hAnsi="Times New Roman" w:eastAsia="宋体" w:cs="Times New Roman"/>
                <w:color w:val="auto"/>
                <w:sz w:val="21"/>
                <w:szCs w:val="21"/>
                <w:lang w:val="en-US" w:eastAsia="zh-CN"/>
              </w:rPr>
              <w:t>Ⅲ类</w:t>
            </w:r>
            <w:r>
              <w:rPr>
                <w:rStyle w:val="107"/>
                <w:rFonts w:hint="eastAsia" w:cs="Times New Roman"/>
                <w:color w:val="auto"/>
                <w:sz w:val="21"/>
                <w:szCs w:val="21"/>
                <w:lang w:val="en-US" w:eastAsia="zh-CN"/>
              </w:rPr>
              <w:t>”</w:t>
            </w:r>
            <w:r>
              <w:rPr>
                <w:rStyle w:val="107"/>
                <w:rFonts w:hint="default" w:ascii="Times New Roman" w:hAnsi="Times New Roman" w:eastAsia="宋体" w:cs="Times New Roman"/>
                <w:color w:val="auto"/>
                <w:sz w:val="21"/>
                <w:szCs w:val="21"/>
                <w:lang w:val="en-US" w:eastAsia="zh-CN"/>
              </w:rPr>
              <w:t>（严格），具体包括：1、煤炭及其制品（包括原煤、散煤、煤矸石、煤泥、煤粉、水煤浆、型煤、焦炭、兰炭等）；2、石油焦、油页岩、原油、重油、渣油、煤焦油；3、非专用锅炉或未配置高效除尘设施的专用锅炉燃用的生物质成型燃料；4、国家规定的其它</w:t>
            </w:r>
          </w:p>
          <w:p>
            <w:pPr>
              <w:widowControl w:val="0"/>
              <w:adjustRightInd w:val="0"/>
              <w:snapToGrid w:val="0"/>
              <w:jc w:val="both"/>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高污染燃料。</w:t>
            </w:r>
          </w:p>
        </w:tc>
        <w:tc>
          <w:tcPr>
            <w:tcW w:w="908" w:type="pct"/>
            <w:tcBorders>
              <w:tl2br w:val="nil"/>
              <w:tr2bl w:val="nil"/>
            </w:tcBorders>
            <w:noWrap w:val="0"/>
            <w:vAlign w:val="center"/>
          </w:tcPr>
          <w:p>
            <w:pPr>
              <w:widowControl w:val="0"/>
              <w:adjustRightInd w:val="0"/>
              <w:snapToGrid w:val="0"/>
              <w:jc w:val="both"/>
              <w:rPr>
                <w:rStyle w:val="107"/>
                <w:rFonts w:hint="default" w:ascii="Times New Roman" w:hAnsi="Times New Roman" w:eastAsia="宋体" w:cs="Times New Roman"/>
                <w:color w:val="auto"/>
                <w:sz w:val="21"/>
                <w:szCs w:val="21"/>
                <w:lang w:val="en-US" w:eastAsia="zh-CN"/>
              </w:rPr>
            </w:pPr>
            <w:r>
              <w:rPr>
                <w:rStyle w:val="107"/>
                <w:rFonts w:hint="default" w:ascii="Times New Roman" w:hAnsi="Times New Roman" w:eastAsia="宋体" w:cs="Times New Roman"/>
                <w:color w:val="auto"/>
                <w:sz w:val="21"/>
                <w:szCs w:val="21"/>
                <w:lang w:val="en-US" w:eastAsia="zh-CN"/>
              </w:rPr>
              <w:t>本项目为渔洋山饮用水源地生态修复程，实施内容有利于水源地的安全和护，有利于水源的涵养和水环境的质量改善。本项目不涉及高污染燃料。</w:t>
            </w:r>
          </w:p>
        </w:tc>
        <w:tc>
          <w:tcPr>
            <w:tcW w:w="5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000000"/>
                <w:sz w:val="21"/>
                <w:szCs w:val="21"/>
                <w:vertAlign w:val="baseline"/>
                <w:lang w:val="en-US" w:eastAsia="zh-CN"/>
              </w:rPr>
            </w:pPr>
          </w:p>
        </w:tc>
      </w:tr>
    </w:tbl>
    <w:p>
      <w:pPr>
        <w:pStyle w:val="8"/>
        <w:snapToGrid w:val="0"/>
        <w:spacing w:line="480" w:lineRule="exact"/>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11、与《江苏省城市集中式饮用水水源地保护攻坚战实施方案》(苏政办发[2018]107号)相符性分析</w:t>
      </w:r>
    </w:p>
    <w:p>
      <w:pPr>
        <w:pStyle w:val="8"/>
        <w:snapToGrid w:val="0"/>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《江苏省城市集中式饮用水水源地保护攻坚战实施方案》提出：（二） 深入推进水源地风险隐患整治。</w:t>
      </w:r>
    </w:p>
    <w:p>
      <w:pPr>
        <w:pStyle w:val="8"/>
        <w:snapToGrid w:val="0"/>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1．深入开展水源地环境保护专项行动。全面排查县级以上城市水源地，逐一核实水源地基本信息，查清保护区划定、边界设立及违法建设项目等环境违法问题，建立问题清单。按照</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一个水源地、一套方案、一抓到底</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原则，制定环境违法问题整改方案，明确具体措施、任务分工、时间节点、责任单位和责任人等。2018年底前，全面完成县级以上城市地表水型饮用水水源保护区</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划、立、治</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三项重点任务，即划定保护区、设立保护区边界标志、整治保护区内环境违法问题，努力实现</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保</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的目标。省生态环境厅、省水利厅、省住房城乡建设厅定期开展督查督办，对进度滞后的进行跟踪督查；对履职不力、弄虚作假、进展缓慢等问题突出的，以及水源地水质恶化的，采取通报批评、公开约谈等措施；2018年底前未完成整治任务的，移交有关地方实行问责。</w:t>
      </w:r>
    </w:p>
    <w:p>
      <w:pPr>
        <w:pStyle w:val="8"/>
        <w:snapToGrid w:val="0"/>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加强水域流动污染隐患防治。加强危化品船舶航运、码头管控，严格船舶载运危险货物进出港申报审批，禁止船舶在长江、太湖、苏北大运河、通榆河、徐洪河等主要饮用水水源运输剧毒化学品及《内河禁运危险化学品目录》中所列货物，严禁单壳化学品船和600载重吨以上单壳油船进入长江、苏北大运河等饮用水水源。2020年，长江、太湖、苏北大运河、通榆河、徐洪河等主要供水水体沿线港口、船舶修造厂建成船舶含油污水、化学品洗舱水、生活污水和垃圾等污染的接收设施或落实接收措施。</w:t>
      </w:r>
    </w:p>
    <w:p>
      <w:pPr>
        <w:pStyle w:val="8"/>
        <w:snapToGrid w:val="0"/>
        <w:spacing w:line="48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本工程为非污染生态类工程，项目污染物排放主要集中在施工期，项目工程范围内不设施工营地，</w:t>
      </w:r>
      <w:r>
        <w:rPr>
          <w:rFonts w:hint="eastAsia" w:cs="Times New Roman"/>
          <w:color w:val="auto"/>
          <w:sz w:val="24"/>
          <w:szCs w:val="24"/>
          <w:lang w:val="en-US" w:eastAsia="zh-CN"/>
        </w:rPr>
        <w:t>施工营地</w:t>
      </w:r>
      <w:r>
        <w:rPr>
          <w:rFonts w:hint="default" w:ascii="Times New Roman" w:hAnsi="Times New Roman" w:eastAsia="宋体" w:cs="Times New Roman"/>
          <w:color w:val="auto"/>
          <w:sz w:val="24"/>
          <w:szCs w:val="24"/>
        </w:rPr>
        <w:t>租用周边</w:t>
      </w:r>
      <w:r>
        <w:rPr>
          <w:rFonts w:hint="eastAsia" w:cs="Times New Roman"/>
          <w:color w:val="auto"/>
          <w:sz w:val="24"/>
          <w:szCs w:val="24"/>
          <w:lang w:val="en-US" w:eastAsia="zh-CN"/>
        </w:rPr>
        <w:t>民房</w:t>
      </w:r>
      <w:r>
        <w:rPr>
          <w:rFonts w:hint="default" w:ascii="Times New Roman" w:hAnsi="Times New Roman" w:eastAsia="宋体" w:cs="Times New Roman"/>
          <w:color w:val="auto"/>
          <w:sz w:val="24"/>
          <w:szCs w:val="24"/>
        </w:rPr>
        <w:t>，生活污水依托当地污水管网排入污水处理厂，不向太湖及水源地排放污染物，项目的建设有助于促进太湖水体的流动与交换，加强近岸带生态修复，保证水源地水量、水质安全，推进太湖水生态的保护修复，因此本项目与《江苏省城市集中式饮用水水源地保护攻坚战实施方案》相符。</w:t>
      </w:r>
    </w:p>
    <w:p>
      <w:pPr>
        <w:pStyle w:val="8"/>
        <w:snapToGrid w:val="0"/>
        <w:spacing w:line="480" w:lineRule="exact"/>
        <w:ind w:firstLine="482" w:firstLineChars="200"/>
        <w:jc w:val="both"/>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12、与《苏州市生态河湖行动计划实施方案(2018-2020年)》相符性分析</w:t>
      </w:r>
    </w:p>
    <w:p>
      <w:pPr>
        <w:pStyle w:val="8"/>
        <w:snapToGrid w:val="0"/>
        <w:spacing w:line="48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《苏州市生态河湖行动计划实施方案》提出：（四）加强水环境治理全面治理河湖</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三乱</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，消除河道黑臭现象，开展河湖清淤疏浚，遏制河湖富营养化，改善滨河湖环境质量，全面提升河湖生态景观功能。</w:t>
      </w:r>
    </w:p>
    <w:p>
      <w:pPr>
        <w:pStyle w:val="8"/>
        <w:snapToGrid w:val="0"/>
        <w:spacing w:line="480" w:lineRule="exact"/>
        <w:ind w:firstLine="480" w:firstLineChars="200"/>
        <w:jc w:val="both"/>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2、全面治理河湖</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三乱</w:t>
      </w:r>
      <w:r>
        <w:rPr>
          <w:rFonts w:hint="eastAsia" w:cs="Times New Roman"/>
          <w:color w:val="auto"/>
          <w:sz w:val="24"/>
          <w:szCs w:val="24"/>
          <w:lang w:eastAsia="zh-CN"/>
        </w:rPr>
        <w:t>”</w:t>
      </w:r>
    </w:p>
    <w:p>
      <w:pPr>
        <w:pStyle w:val="8"/>
        <w:snapToGrid w:val="0"/>
        <w:spacing w:line="48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清理乱占乱建。全面清理河道管理范围内违法违章设施，突出整治违法建设涉水建筑物、围湖造地（田）、围垦河道、非法设簖、非法养殖、非法采砂取土等行为，恢复河湖行蓄水空间；打击乱垦乱种，全面清理堤防滩地种植、养殖等违规违法生产活动；严惩乱排乱倒，重点对饮用水水源保护区、具有重要生态功能的水域进行入河排污口整治，打击偷排污水、乱倒垃圾等违法行为。</w:t>
      </w:r>
    </w:p>
    <w:p>
      <w:pPr>
        <w:pStyle w:val="8"/>
        <w:snapToGrid w:val="0"/>
        <w:spacing w:line="48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4、全面治理河湖富营养化</w:t>
      </w:r>
    </w:p>
    <w:p>
      <w:pPr>
        <w:pStyle w:val="8"/>
        <w:snapToGrid w:val="0"/>
        <w:spacing w:line="48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实施总磷总氮总量控制，对河湖汇水区范围内涉及氮磷排放的园区、行业、企业进行全面排查和严格监管，禁止使用含磷洗涤用品；减少内源性营养物质负荷，强化生态清淤、生物净化、蓝藻防控等措施，降低湖泊富营养化指数；加强科学调水引流，促进水体流动，合理缩短湖库换水周期，提高水体自净能力。</w:t>
      </w:r>
    </w:p>
    <w:p>
      <w:pPr>
        <w:pStyle w:val="8"/>
        <w:snapToGrid w:val="0"/>
        <w:spacing w:line="48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本项目为</w:t>
      </w:r>
      <w:r>
        <w:rPr>
          <w:rFonts w:hint="default" w:ascii="Times New Roman" w:hAnsi="Times New Roman" w:eastAsia="宋体" w:cs="Times New Roman"/>
          <w:color w:val="auto"/>
          <w:sz w:val="24"/>
          <w:szCs w:val="24"/>
          <w:lang w:val="en-US" w:eastAsia="zh-CN"/>
        </w:rPr>
        <w:t>渔洋山水源地生态修复工程项目</w:t>
      </w:r>
      <w:r>
        <w:rPr>
          <w:rFonts w:hint="default" w:ascii="Times New Roman" w:hAnsi="Times New Roman" w:eastAsia="宋体" w:cs="Times New Roman"/>
          <w:color w:val="auto"/>
          <w:sz w:val="24"/>
          <w:szCs w:val="24"/>
        </w:rPr>
        <w:t>，虽然本项目位于太湖</w:t>
      </w:r>
      <w:r>
        <w:rPr>
          <w:rFonts w:hint="default" w:ascii="Times New Roman" w:hAnsi="Times New Roman" w:eastAsia="宋体" w:cs="Times New Roman"/>
          <w:color w:val="auto"/>
          <w:sz w:val="24"/>
          <w:szCs w:val="24"/>
          <w:lang w:val="en-US" w:eastAsia="zh-CN"/>
        </w:rPr>
        <w:t>渔洋山</w:t>
      </w:r>
      <w:r>
        <w:rPr>
          <w:rFonts w:hint="default" w:ascii="Times New Roman" w:hAnsi="Times New Roman" w:eastAsia="宋体" w:cs="Times New Roman"/>
          <w:color w:val="auto"/>
          <w:sz w:val="24"/>
          <w:szCs w:val="24"/>
        </w:rPr>
        <w:t>饮用水水源保护区范围内，但本项目为生态类项目，项目实施后能将逐步改善太湖水质，推进太湖水生态的保护修复，保证水源地水量、水质安全，从源头保障饮用水的水源安全，故本项目与《苏州市生态河湖行动计划实施方案》相符。</w:t>
      </w:r>
    </w:p>
    <w:p>
      <w:pPr>
        <w:pStyle w:val="8"/>
        <w:snapToGrid w:val="0"/>
        <w:spacing w:line="480" w:lineRule="exact"/>
        <w:ind w:firstLine="482" w:firstLineChars="200"/>
        <w:jc w:val="both"/>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13、与产业政策的相符性分析</w:t>
      </w:r>
    </w:p>
    <w:p>
      <w:pPr>
        <w:widowControl w:val="0"/>
        <w:tabs>
          <w:tab w:val="left" w:pos="4860"/>
        </w:tabs>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根据《产业结构调整指导目录》（2019年本）中有关水利类部分第</w:t>
      </w:r>
      <w:r>
        <w:rPr>
          <w:rFonts w:hint="default" w:ascii="Times New Roman" w:hAnsi="Times New Roman" w:eastAsia="宋体" w:cs="Times New Roman"/>
          <w:color w:val="auto"/>
          <w:lang w:val="en-US" w:eastAsia="zh-CN"/>
        </w:rPr>
        <w:t>20</w:t>
      </w:r>
      <w:r>
        <w:rPr>
          <w:rFonts w:hint="default" w:ascii="Times New Roman" w:hAnsi="Times New Roman" w:eastAsia="宋体" w:cs="Times New Roman"/>
          <w:color w:val="auto"/>
        </w:rPr>
        <w:t>条</w:t>
      </w:r>
      <w:r>
        <w:rPr>
          <w:rFonts w:hint="eastAsia" w:cs="Times New Roman"/>
          <w:color w:val="auto"/>
          <w:lang w:val="en-US" w:eastAsia="zh-CN"/>
        </w:rPr>
        <w:t>“</w:t>
      </w:r>
      <w:r>
        <w:rPr>
          <w:rFonts w:hint="default" w:ascii="Times New Roman" w:hAnsi="Times New Roman" w:eastAsia="宋体" w:cs="Times New Roman"/>
          <w:color w:val="auto"/>
          <w:lang w:val="en-US" w:eastAsia="zh-CN"/>
        </w:rPr>
        <w:t>20、水源地保护工程（水源地保护区划分、隔离防护、水土保持、水资源保护、水生态环境修复及有关技术开发推广）</w:t>
      </w:r>
      <w:r>
        <w:rPr>
          <w:rFonts w:hint="eastAsia" w:cs="Times New Roman"/>
          <w:color w:val="auto"/>
          <w:lang w:val="en-US" w:eastAsia="zh-CN"/>
        </w:rPr>
        <w:t>”</w:t>
      </w:r>
      <w:r>
        <w:rPr>
          <w:rFonts w:hint="default" w:ascii="Times New Roman" w:hAnsi="Times New Roman" w:eastAsia="宋体" w:cs="Times New Roman"/>
          <w:color w:val="auto"/>
        </w:rPr>
        <w:t>被列为鼓励类。可见太湖</w:t>
      </w:r>
      <w:r>
        <w:rPr>
          <w:rFonts w:hint="default" w:ascii="Times New Roman" w:hAnsi="Times New Roman" w:eastAsia="宋体" w:cs="Times New Roman"/>
          <w:color w:val="auto"/>
          <w:lang w:val="en-US" w:eastAsia="zh-CN"/>
        </w:rPr>
        <w:t>渔洋山水源地生态修复</w:t>
      </w:r>
      <w:r>
        <w:rPr>
          <w:rFonts w:hint="default" w:ascii="Times New Roman" w:hAnsi="Times New Roman" w:eastAsia="宋体" w:cs="Times New Roman"/>
          <w:color w:val="auto"/>
        </w:rPr>
        <w:t>工程项目是国家发展改革委发布的《产业结构调整指导目录》（2019年本）中的鼓励类水利项目，项目符合国家产业政策。</w:t>
      </w:r>
    </w:p>
    <w:p>
      <w:pPr>
        <w:widowControl w:val="0"/>
        <w:tabs>
          <w:tab w:val="left" w:pos="4860"/>
        </w:tabs>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本项目不属于《江苏省工业和信息产业结构调整指导目录（2012 年）》（2013 修正）、《苏州市产业发展导向目录（2007 年本）》中限制、淘汰类</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为允许类。</w:t>
      </w:r>
    </w:p>
    <w:p>
      <w:pPr>
        <w:widowControl w:val="0"/>
        <w:tabs>
          <w:tab w:val="left" w:pos="4860"/>
        </w:tabs>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综上，本项目建设符合国家与地方产业政策。</w:t>
      </w:r>
    </w:p>
    <w:p>
      <w:pPr>
        <w:pStyle w:val="5"/>
        <w:pageBreakBefore w:val="0"/>
        <w:tabs>
          <w:tab w:val="left" w:pos="4860"/>
          <w:tab w:val="clear" w:pos="980"/>
        </w:tabs>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rPr>
      </w:pPr>
      <w:bookmarkStart w:id="192" w:name="_Toc22463"/>
      <w:r>
        <w:rPr>
          <w:rFonts w:hint="default" w:ascii="Times New Roman" w:hAnsi="Times New Roman" w:eastAsia="宋体" w:cs="Times New Roman"/>
          <w:color w:val="auto"/>
        </w:rPr>
        <w:t>2.</w:t>
      </w:r>
      <w:r>
        <w:rPr>
          <w:rFonts w:hint="eastAsia" w:cs="Times New Roman"/>
          <w:color w:val="auto"/>
          <w:lang w:val="en-US" w:eastAsia="zh-CN"/>
        </w:rPr>
        <w:t>5</w:t>
      </w:r>
      <w:r>
        <w:rPr>
          <w:rFonts w:hint="default" w:ascii="Times New Roman" w:hAnsi="Times New Roman" w:eastAsia="宋体" w:cs="Times New Roman"/>
          <w:color w:val="auto"/>
          <w:lang w:val="en-US" w:eastAsia="zh-CN"/>
        </w:rPr>
        <w:t>.7</w:t>
      </w:r>
      <w:r>
        <w:rPr>
          <w:rFonts w:hint="default" w:ascii="Times New Roman" w:hAnsi="Times New Roman" w:eastAsia="宋体" w:cs="Times New Roman"/>
          <w:color w:val="auto"/>
        </w:rPr>
        <w:t xml:space="preserve"> </w:t>
      </w:r>
      <w:r>
        <w:rPr>
          <w:rFonts w:hint="eastAsia" w:cs="Times New Roman"/>
          <w:color w:val="auto"/>
          <w:lang w:eastAsia="zh-CN"/>
        </w:rPr>
        <w:t>“</w:t>
      </w:r>
      <w:r>
        <w:rPr>
          <w:rFonts w:hint="default" w:ascii="Times New Roman" w:hAnsi="Times New Roman" w:eastAsia="宋体" w:cs="Times New Roman"/>
          <w:color w:val="auto"/>
        </w:rPr>
        <w:t>三线一单</w:t>
      </w:r>
      <w:r>
        <w:rPr>
          <w:rFonts w:hint="eastAsia" w:cs="Times New Roman"/>
          <w:color w:val="auto"/>
          <w:lang w:eastAsia="zh-CN"/>
        </w:rPr>
        <w:t>”</w:t>
      </w:r>
      <w:r>
        <w:rPr>
          <w:rFonts w:hint="default" w:ascii="Times New Roman" w:hAnsi="Times New Roman" w:eastAsia="宋体" w:cs="Times New Roman"/>
          <w:color w:val="auto"/>
        </w:rPr>
        <w:t>相符性</w:t>
      </w:r>
      <w:bookmarkEnd w:id="192"/>
    </w:p>
    <w:p>
      <w:pPr>
        <w:pStyle w:val="8"/>
        <w:snapToGrid w:val="0"/>
        <w:spacing w:line="480" w:lineRule="exact"/>
        <w:ind w:firstLine="482" w:firstLineChars="200"/>
        <w:jc w:val="both"/>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1、生态保护红线</w:t>
      </w:r>
    </w:p>
    <w:p>
      <w:pPr>
        <w:pStyle w:val="8"/>
        <w:snapToGrid w:val="0"/>
        <w:spacing w:line="480" w:lineRule="exact"/>
        <w:ind w:firstLine="482" w:firstLineChars="200"/>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（1）与生态红线区域位置关系分析</w:t>
      </w:r>
    </w:p>
    <w:p>
      <w:pPr>
        <w:spacing w:line="480" w:lineRule="exact"/>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1)与《江苏省国家级生态保护红线规划》生态红线区域位置关系</w:t>
      </w:r>
    </w:p>
    <w:p>
      <w:pPr>
        <w:spacing w:line="480" w:lineRule="exact"/>
        <w:ind w:firstLine="480" w:firstLineChars="200"/>
        <w:jc w:val="both"/>
        <w:rPr>
          <w:rStyle w:val="65"/>
          <w:rFonts w:hint="default" w:ascii="Times New Roman" w:hAnsi="Times New Roman" w:eastAsia="宋体" w:cs="Times New Roman"/>
          <w:color w:val="auto"/>
          <w:sz w:val="24"/>
          <w:szCs w:val="24"/>
        </w:rPr>
      </w:pPr>
      <w:r>
        <w:rPr>
          <w:rStyle w:val="65"/>
          <w:rFonts w:hint="default" w:ascii="Times New Roman" w:hAnsi="Times New Roman" w:eastAsia="宋体" w:cs="Times New Roman"/>
          <w:color w:val="auto"/>
          <w:sz w:val="24"/>
          <w:szCs w:val="24"/>
        </w:rPr>
        <w:t>2018年2月14日，经国务院同意，原环境保护部、国家发展改革委函复省政府（环生态函〔2018〕24号）以《省政府关于印发江苏省国家级生态保护红线规划的通知》（苏政发〔2018〕74号）同意《江苏省国家级生态保护红线规划》。根据文件，本项目评价范围内的国家级生态红线区域共有</w:t>
      </w:r>
      <w:r>
        <w:rPr>
          <w:rStyle w:val="65"/>
          <w:rFonts w:hint="eastAsia" w:cs="Times New Roman"/>
          <w:color w:val="auto"/>
          <w:sz w:val="24"/>
          <w:szCs w:val="24"/>
          <w:lang w:val="en-US" w:eastAsia="zh-CN"/>
        </w:rPr>
        <w:t>3</w:t>
      </w:r>
      <w:r>
        <w:rPr>
          <w:rStyle w:val="65"/>
          <w:rFonts w:hint="default" w:ascii="Times New Roman" w:hAnsi="Times New Roman" w:eastAsia="宋体" w:cs="Times New Roman"/>
          <w:color w:val="auto"/>
          <w:sz w:val="24"/>
          <w:szCs w:val="24"/>
        </w:rPr>
        <w:t>处，</w:t>
      </w:r>
      <w:r>
        <w:rPr>
          <w:rStyle w:val="65"/>
          <w:rFonts w:hint="eastAsia" w:cs="Times New Roman"/>
          <w:color w:val="auto"/>
          <w:sz w:val="24"/>
          <w:szCs w:val="24"/>
          <w:lang w:val="en-US" w:eastAsia="zh-CN"/>
        </w:rPr>
        <w:t>其中</w:t>
      </w:r>
      <w:r>
        <w:rPr>
          <w:rStyle w:val="65"/>
          <w:rFonts w:hint="default" w:ascii="Times New Roman" w:hAnsi="Times New Roman" w:eastAsia="宋体" w:cs="Times New Roman"/>
          <w:color w:val="auto"/>
          <w:sz w:val="24"/>
          <w:szCs w:val="24"/>
        </w:rPr>
        <w:t>工程涉及的国家级生态红线区域共有2处，</w:t>
      </w:r>
      <w:r>
        <w:rPr>
          <w:rStyle w:val="65"/>
          <w:rFonts w:hint="eastAsia" w:cs="Times New Roman"/>
          <w:color w:val="auto"/>
          <w:sz w:val="24"/>
          <w:szCs w:val="24"/>
          <w:lang w:val="en-US" w:eastAsia="zh-CN"/>
        </w:rPr>
        <w:t>分别为太湖渔洋山饮用水水源地保护区和太湖重要湿地（吴中区）。</w:t>
      </w:r>
      <w:r>
        <w:rPr>
          <w:rStyle w:val="65"/>
          <w:rFonts w:hint="default" w:ascii="Times New Roman" w:hAnsi="Times New Roman" w:eastAsia="宋体" w:cs="Times New Roman"/>
          <w:color w:val="auto"/>
          <w:sz w:val="24"/>
          <w:szCs w:val="24"/>
        </w:rPr>
        <w:t>《江苏省国家级生态保护红线规划》生态红线区域名录以及与工程的位置关系见表</w:t>
      </w:r>
      <w:r>
        <w:rPr>
          <w:rStyle w:val="65"/>
          <w:rFonts w:hint="eastAsia" w:cs="Times New Roman"/>
          <w:color w:val="auto"/>
          <w:sz w:val="24"/>
          <w:szCs w:val="24"/>
          <w:lang w:val="en-US" w:eastAsia="zh-CN"/>
        </w:rPr>
        <w:t>2.5-8</w:t>
      </w:r>
      <w:r>
        <w:rPr>
          <w:rStyle w:val="65"/>
          <w:rFonts w:hint="default" w:ascii="Times New Roman" w:hAnsi="Times New Roman" w:eastAsia="宋体" w:cs="Times New Roman"/>
          <w:color w:val="auto"/>
          <w:sz w:val="24"/>
          <w:szCs w:val="24"/>
        </w:rPr>
        <w:t>：</w:t>
      </w:r>
    </w:p>
    <w:p>
      <w:pPr>
        <w:spacing w:line="480" w:lineRule="exact"/>
        <w:ind w:firstLine="482" w:firstLineChars="200"/>
        <w:jc w:val="center"/>
        <w:rPr>
          <w:rStyle w:val="65"/>
          <w:rFonts w:hint="default" w:ascii="Times New Roman" w:hAnsi="Times New Roman" w:eastAsia="宋体" w:cs="Times New Roman"/>
          <w:color w:val="auto"/>
          <w:sz w:val="24"/>
          <w:szCs w:val="24"/>
        </w:rPr>
      </w:pPr>
      <w:r>
        <w:rPr>
          <w:rStyle w:val="65"/>
          <w:rFonts w:hint="default" w:ascii="Times New Roman" w:hAnsi="Times New Roman" w:eastAsia="宋体" w:cs="Times New Roman"/>
          <w:b/>
          <w:bCs/>
          <w:color w:val="auto"/>
          <w:sz w:val="24"/>
          <w:szCs w:val="24"/>
        </w:rPr>
        <w:t>表 2.</w:t>
      </w:r>
      <w:r>
        <w:rPr>
          <w:rStyle w:val="65"/>
          <w:rFonts w:hint="eastAsia" w:cs="Times New Roman"/>
          <w:b/>
          <w:bCs/>
          <w:color w:val="auto"/>
          <w:sz w:val="24"/>
          <w:szCs w:val="24"/>
          <w:lang w:val="en-US" w:eastAsia="zh-CN"/>
        </w:rPr>
        <w:t>5-8</w:t>
      </w:r>
      <w:r>
        <w:rPr>
          <w:rStyle w:val="65"/>
          <w:rFonts w:hint="default" w:ascii="Times New Roman" w:hAnsi="Times New Roman" w:eastAsia="宋体" w:cs="Times New Roman"/>
          <w:b/>
          <w:bCs/>
          <w:color w:val="auto"/>
          <w:sz w:val="24"/>
          <w:szCs w:val="24"/>
        </w:rPr>
        <w:t xml:space="preserve"> 江苏省国家级生态保护红线规划</w:t>
      </w:r>
    </w:p>
    <w:tbl>
      <w:tblPr>
        <w:tblStyle w:val="5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43"/>
        <w:gridCol w:w="1182"/>
        <w:gridCol w:w="3900"/>
        <w:gridCol w:w="1083"/>
        <w:gridCol w:w="11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871" w:type="pct"/>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Style w:val="65"/>
                <w:rFonts w:hint="default" w:ascii="Times New Roman" w:hAnsi="Times New Roman" w:eastAsia="宋体" w:cs="Times New Roman"/>
                <w:b/>
                <w:bCs/>
                <w:color w:val="auto"/>
              </w:rPr>
            </w:pPr>
            <w:r>
              <w:rPr>
                <w:rStyle w:val="65"/>
                <w:rFonts w:hint="default" w:ascii="Times New Roman" w:hAnsi="Times New Roman" w:eastAsia="宋体" w:cs="Times New Roman"/>
                <w:b/>
                <w:bCs/>
                <w:color w:val="auto"/>
              </w:rPr>
              <w:t>生态保护</w:t>
            </w:r>
          </w:p>
          <w:p>
            <w:pPr>
              <w:keepNext w:val="0"/>
              <w:keepLines w:val="0"/>
              <w:pageBreakBefore w:val="0"/>
              <w:kinsoku/>
              <w:wordWrap/>
              <w:overflowPunct/>
              <w:topLinePunct w:val="0"/>
              <w:autoSpaceDE/>
              <w:autoSpaceDN/>
              <w:bidi w:val="0"/>
              <w:adjustRightInd/>
              <w:snapToGrid/>
              <w:spacing w:line="320" w:lineRule="exact"/>
              <w:jc w:val="center"/>
              <w:textAlignment w:val="auto"/>
              <w:rPr>
                <w:rStyle w:val="65"/>
                <w:rFonts w:hint="default" w:ascii="Times New Roman" w:hAnsi="Times New Roman" w:eastAsia="宋体" w:cs="Times New Roman"/>
                <w:b/>
                <w:bCs/>
                <w:color w:val="auto"/>
              </w:rPr>
            </w:pPr>
            <w:r>
              <w:rPr>
                <w:rStyle w:val="65"/>
                <w:rFonts w:hint="default" w:ascii="Times New Roman" w:hAnsi="Times New Roman" w:eastAsia="宋体" w:cs="Times New Roman"/>
                <w:b/>
                <w:bCs/>
                <w:color w:val="auto"/>
              </w:rPr>
              <w:t>红线名称</w:t>
            </w:r>
          </w:p>
        </w:tc>
        <w:tc>
          <w:tcPr>
            <w:tcW w:w="667" w:type="pct"/>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Style w:val="65"/>
                <w:rFonts w:hint="default" w:ascii="Times New Roman" w:hAnsi="Times New Roman" w:eastAsia="宋体" w:cs="Times New Roman"/>
                <w:b/>
                <w:bCs/>
                <w:color w:val="auto"/>
              </w:rPr>
            </w:pPr>
            <w:r>
              <w:rPr>
                <w:rStyle w:val="65"/>
                <w:rFonts w:hint="default" w:ascii="Times New Roman" w:hAnsi="Times New Roman" w:eastAsia="宋体" w:cs="Times New Roman"/>
                <w:b/>
                <w:bCs/>
                <w:color w:val="auto"/>
              </w:rPr>
              <w:t>类型</w:t>
            </w:r>
          </w:p>
        </w:tc>
        <w:tc>
          <w:tcPr>
            <w:tcW w:w="2201" w:type="pct"/>
            <w:vAlign w:val="center"/>
          </w:tcPr>
          <w:p>
            <w:pPr>
              <w:keepNext w:val="0"/>
              <w:keepLines w:val="0"/>
              <w:pageBreakBefore w:val="0"/>
              <w:kinsoku/>
              <w:wordWrap/>
              <w:overflowPunct/>
              <w:topLinePunct w:val="0"/>
              <w:autoSpaceDE/>
              <w:autoSpaceDN/>
              <w:bidi w:val="0"/>
              <w:adjustRightInd/>
              <w:snapToGrid/>
              <w:spacing w:line="320" w:lineRule="exact"/>
              <w:ind w:firstLine="211" w:firstLineChars="100"/>
              <w:jc w:val="center"/>
              <w:textAlignment w:val="auto"/>
              <w:rPr>
                <w:rStyle w:val="65"/>
                <w:rFonts w:hint="default" w:ascii="Times New Roman" w:hAnsi="Times New Roman" w:eastAsia="宋体" w:cs="Times New Roman"/>
                <w:b/>
                <w:bCs/>
                <w:color w:val="auto"/>
              </w:rPr>
            </w:pPr>
            <w:r>
              <w:rPr>
                <w:rStyle w:val="65"/>
                <w:rFonts w:hint="default" w:ascii="Times New Roman" w:hAnsi="Times New Roman" w:eastAsia="宋体" w:cs="Times New Roman"/>
                <w:b/>
                <w:bCs/>
                <w:color w:val="auto"/>
              </w:rPr>
              <w:t>红线区域范围</w:t>
            </w:r>
          </w:p>
        </w:tc>
        <w:tc>
          <w:tcPr>
            <w:tcW w:w="611" w:type="pct"/>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Style w:val="65"/>
                <w:rFonts w:hint="default" w:ascii="Times New Roman" w:hAnsi="Times New Roman" w:eastAsia="宋体" w:cs="Times New Roman"/>
                <w:b/>
                <w:bCs/>
                <w:color w:val="auto"/>
              </w:rPr>
            </w:pPr>
            <w:r>
              <w:rPr>
                <w:rStyle w:val="65"/>
                <w:rFonts w:hint="default" w:ascii="Times New Roman" w:hAnsi="Times New Roman" w:eastAsia="宋体" w:cs="Times New Roman"/>
                <w:b/>
                <w:bCs/>
                <w:color w:val="auto"/>
              </w:rPr>
              <w:t>区域面积（km</w:t>
            </w:r>
            <w:r>
              <w:rPr>
                <w:rStyle w:val="65"/>
                <w:rFonts w:hint="default" w:ascii="Times New Roman" w:hAnsi="Times New Roman" w:eastAsia="宋体" w:cs="Times New Roman"/>
                <w:b/>
                <w:bCs/>
                <w:color w:val="auto"/>
                <w:vertAlign w:val="superscript"/>
              </w:rPr>
              <w:t>2</w:t>
            </w:r>
            <w:r>
              <w:rPr>
                <w:rStyle w:val="65"/>
                <w:rFonts w:hint="default" w:ascii="Times New Roman" w:hAnsi="Times New Roman" w:eastAsia="宋体" w:cs="Times New Roman"/>
                <w:b/>
                <w:bCs/>
                <w:color w:val="auto"/>
              </w:rPr>
              <w:t>）</w:t>
            </w:r>
          </w:p>
        </w:tc>
        <w:tc>
          <w:tcPr>
            <w:tcW w:w="648" w:type="pct"/>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Style w:val="65"/>
                <w:rFonts w:hint="default" w:ascii="Times New Roman" w:hAnsi="Times New Roman" w:eastAsia="宋体" w:cs="Times New Roman"/>
                <w:b/>
                <w:bCs/>
                <w:color w:val="auto"/>
              </w:rPr>
            </w:pPr>
            <w:r>
              <w:rPr>
                <w:rStyle w:val="65"/>
                <w:rFonts w:hint="default" w:ascii="Times New Roman" w:hAnsi="Times New Roman" w:eastAsia="宋体" w:cs="Times New Roman"/>
                <w:b/>
                <w:bCs/>
                <w:color w:val="auto"/>
              </w:rPr>
              <w:t>与本项目</w:t>
            </w:r>
          </w:p>
          <w:p>
            <w:pPr>
              <w:keepNext w:val="0"/>
              <w:keepLines w:val="0"/>
              <w:pageBreakBefore w:val="0"/>
              <w:kinsoku/>
              <w:wordWrap/>
              <w:overflowPunct/>
              <w:topLinePunct w:val="0"/>
              <w:autoSpaceDE/>
              <w:autoSpaceDN/>
              <w:bidi w:val="0"/>
              <w:adjustRightInd/>
              <w:snapToGrid/>
              <w:spacing w:line="320" w:lineRule="exact"/>
              <w:jc w:val="center"/>
              <w:textAlignment w:val="auto"/>
              <w:rPr>
                <w:rStyle w:val="65"/>
                <w:rFonts w:hint="default" w:ascii="Times New Roman" w:hAnsi="Times New Roman" w:eastAsia="宋体" w:cs="Times New Roman"/>
                <w:b/>
                <w:bCs/>
                <w:color w:val="auto"/>
              </w:rPr>
            </w:pPr>
            <w:r>
              <w:rPr>
                <w:rStyle w:val="65"/>
                <w:rFonts w:hint="default" w:ascii="Times New Roman" w:hAnsi="Times New Roman" w:eastAsia="宋体" w:cs="Times New Roman"/>
                <w:b/>
                <w:bCs/>
                <w:color w:val="auto"/>
              </w:rPr>
              <w:t>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1" w:type="pct"/>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太湖渔洋山饮用水水源保护区</w:t>
            </w:r>
          </w:p>
        </w:tc>
        <w:tc>
          <w:tcPr>
            <w:tcW w:w="667"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饮用水水源保护区</w:t>
            </w:r>
          </w:p>
        </w:tc>
        <w:tc>
          <w:tcPr>
            <w:tcW w:w="2201" w:type="pct"/>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Style w:val="65"/>
                <w:rFonts w:hint="default" w:ascii="Times New Roman" w:hAnsi="Times New Roman" w:eastAsia="宋体" w:cs="Times New Roman"/>
                <w:color w:val="auto"/>
              </w:rPr>
            </w:pPr>
            <w:r>
              <w:rPr>
                <w:rStyle w:val="65"/>
                <w:rFonts w:hint="default" w:ascii="Times New Roman" w:hAnsi="Times New Roman" w:eastAsia="宋体" w:cs="Times New Roman"/>
                <w:color w:val="auto"/>
              </w:rPr>
              <w:t>分别以2个水厂取水口为中心，半径500米的区域范围。取水口坐标：120°20'59.892"E，31°13'5.709"N</w:t>
            </w:r>
            <w:r>
              <w:rPr>
                <w:rStyle w:val="65"/>
                <w:rFonts w:hint="default" w:ascii="Times New Roman" w:hAnsi="Times New Roman" w:cs="Times New Roman"/>
                <w:color w:val="auto"/>
                <w:lang w:eastAsia="zh-CN"/>
              </w:rPr>
              <w:t>；</w:t>
            </w:r>
            <w:r>
              <w:rPr>
                <w:rStyle w:val="65"/>
                <w:rFonts w:hint="default" w:ascii="Times New Roman" w:hAnsi="Times New Roman" w:eastAsia="宋体" w:cs="Times New Roman"/>
                <w:color w:val="auto"/>
              </w:rPr>
              <w:t>120°20'59.866"E</w:t>
            </w:r>
            <w:r>
              <w:rPr>
                <w:rStyle w:val="65"/>
                <w:rFonts w:hint="default" w:ascii="Times New Roman" w:hAnsi="Times New Roman" w:cs="Times New Roman"/>
                <w:color w:val="auto"/>
                <w:lang w:eastAsia="zh-CN"/>
              </w:rPr>
              <w:t>，</w:t>
            </w:r>
            <w:r>
              <w:rPr>
                <w:rStyle w:val="65"/>
                <w:rFonts w:hint="default" w:ascii="Times New Roman" w:hAnsi="Times New Roman" w:eastAsia="宋体" w:cs="Times New Roman"/>
                <w:color w:val="auto"/>
              </w:rPr>
              <w:t>31°13'3.054"N</w:t>
            </w:r>
          </w:p>
        </w:tc>
        <w:tc>
          <w:tcPr>
            <w:tcW w:w="611" w:type="pct"/>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Style w:val="65"/>
                <w:rFonts w:hint="default" w:ascii="Times New Roman" w:hAnsi="Times New Roman" w:eastAsia="宋体" w:cs="Times New Roman"/>
                <w:color w:val="auto"/>
                <w:lang w:val="en-US" w:eastAsia="zh-CN"/>
              </w:rPr>
            </w:pPr>
            <w:r>
              <w:rPr>
                <w:rStyle w:val="65"/>
                <w:rFonts w:hint="eastAsia" w:cs="Times New Roman"/>
                <w:color w:val="auto"/>
                <w:lang w:val="en-US" w:eastAsia="zh-CN"/>
              </w:rPr>
              <w:t>17.88</w:t>
            </w:r>
          </w:p>
        </w:tc>
        <w:tc>
          <w:tcPr>
            <w:tcW w:w="648" w:type="pct"/>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Style w:val="65"/>
                <w:rFonts w:hint="eastAsia" w:cs="Times New Roman"/>
                <w:color w:val="auto"/>
                <w:highlight w:val="none"/>
                <w:lang w:val="en-US" w:eastAsia="zh-CN"/>
              </w:rPr>
            </w:pPr>
            <w:r>
              <w:rPr>
                <w:rStyle w:val="65"/>
                <w:rFonts w:hint="eastAsia" w:cs="Times New Roman"/>
                <w:color w:val="auto"/>
                <w:highlight w:val="none"/>
                <w:lang w:val="en-US" w:eastAsia="zh-CN"/>
              </w:rPr>
              <w:t>工程</w:t>
            </w:r>
          </w:p>
          <w:p>
            <w:pPr>
              <w:keepNext w:val="0"/>
              <w:keepLines w:val="0"/>
              <w:pageBreakBefore w:val="0"/>
              <w:kinsoku/>
              <w:wordWrap/>
              <w:overflowPunct/>
              <w:topLinePunct w:val="0"/>
              <w:autoSpaceDE/>
              <w:autoSpaceDN/>
              <w:bidi w:val="0"/>
              <w:adjustRightInd/>
              <w:snapToGrid/>
              <w:spacing w:line="320" w:lineRule="exact"/>
              <w:jc w:val="center"/>
              <w:textAlignment w:val="auto"/>
              <w:rPr>
                <w:rStyle w:val="65"/>
                <w:rFonts w:hint="default" w:ascii="Times New Roman" w:hAnsi="Times New Roman" w:eastAsia="宋体" w:cs="Times New Roman"/>
                <w:color w:val="auto"/>
                <w:highlight w:val="none"/>
                <w:lang w:val="en-US" w:eastAsia="zh-CN"/>
              </w:rPr>
            </w:pPr>
            <w:r>
              <w:rPr>
                <w:rStyle w:val="65"/>
                <w:rFonts w:hint="eastAsia" w:cs="Times New Roman"/>
                <w:color w:val="auto"/>
                <w:highlight w:val="none"/>
                <w:lang w:val="en-US" w:eastAsia="zh-CN"/>
              </w:rPr>
              <w:t>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1" w:type="pct"/>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太湖青虾中华绒螯蟹国家级水产种质资源保护区</w:t>
            </w:r>
          </w:p>
        </w:tc>
        <w:tc>
          <w:tcPr>
            <w:tcW w:w="667"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水产种质资源保护区的核心区</w:t>
            </w:r>
          </w:p>
        </w:tc>
        <w:tc>
          <w:tcPr>
            <w:tcW w:w="2201" w:type="pct"/>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核 心 区 四 至 范 围 为 长 岐 （ 120°21′38.82″E ，31°15′32.69″N ） ， 坎上（ 120°22′35.32″E ，31°16′03.21″N），度假区水厂（120°23′35.88″E，31°14′49.50″N ） ， 百花湾（ 120°21′26.32″E ，31°13′19.20″N）</w:t>
            </w:r>
          </w:p>
        </w:tc>
        <w:tc>
          <w:tcPr>
            <w:tcW w:w="611" w:type="pct"/>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Style w:val="65"/>
                <w:rFonts w:hint="default" w:ascii="Times New Roman" w:hAnsi="Times New Roman" w:eastAsia="宋体" w:cs="Times New Roman"/>
                <w:color w:val="auto"/>
                <w:lang w:val="en-US" w:eastAsia="zh-CN"/>
              </w:rPr>
            </w:pPr>
            <w:r>
              <w:rPr>
                <w:rStyle w:val="65"/>
                <w:rFonts w:hint="eastAsia" w:cs="Times New Roman"/>
                <w:color w:val="auto"/>
                <w:lang w:val="en-US" w:eastAsia="zh-CN"/>
              </w:rPr>
              <w:t>9.00</w:t>
            </w:r>
          </w:p>
        </w:tc>
        <w:tc>
          <w:tcPr>
            <w:tcW w:w="648" w:type="pct"/>
            <w:vAlign w:val="center"/>
          </w:tcPr>
          <w:p>
            <w:pPr>
              <w:keepNext w:val="0"/>
              <w:keepLines w:val="0"/>
              <w:pageBreakBefore w:val="0"/>
              <w:kinsoku/>
              <w:wordWrap/>
              <w:overflowPunct/>
              <w:topLinePunct w:val="0"/>
              <w:autoSpaceDE/>
              <w:autoSpaceDN/>
              <w:bidi w:val="0"/>
              <w:adjustRightInd/>
              <w:snapToGrid/>
              <w:spacing w:line="320" w:lineRule="exact"/>
              <w:ind w:firstLine="210" w:firstLineChars="100"/>
              <w:jc w:val="center"/>
              <w:textAlignment w:val="auto"/>
              <w:rPr>
                <w:rStyle w:val="65"/>
                <w:rFonts w:hint="default" w:ascii="Times New Roman" w:hAnsi="Times New Roman" w:eastAsia="宋体" w:cs="Times New Roman"/>
                <w:color w:val="auto"/>
                <w:highlight w:val="none"/>
                <w:lang w:val="en-US" w:eastAsia="zh-CN"/>
              </w:rPr>
            </w:pPr>
            <w:r>
              <w:rPr>
                <w:rStyle w:val="65"/>
                <w:rFonts w:hint="eastAsia" w:cs="Times New Roman"/>
                <w:color w:val="auto"/>
                <w:highlight w:val="none"/>
                <w:lang w:val="en-US" w:eastAsia="zh-CN"/>
              </w:rPr>
              <w:t>东北，500m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1" w:type="pct"/>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太湖重要湿地</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（吴中区）</w:t>
            </w:r>
          </w:p>
        </w:tc>
        <w:tc>
          <w:tcPr>
            <w:tcW w:w="667"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重要湖泊湿地</w:t>
            </w:r>
          </w:p>
        </w:tc>
        <w:tc>
          <w:tcPr>
            <w:tcW w:w="2201" w:type="pct"/>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太湖湖体水域</w:t>
            </w:r>
          </w:p>
        </w:tc>
        <w:tc>
          <w:tcPr>
            <w:tcW w:w="611" w:type="pct"/>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Style w:val="65"/>
                <w:rFonts w:hint="default" w:cs="Times New Roman"/>
                <w:color w:val="auto"/>
                <w:lang w:val="en-US" w:eastAsia="zh-CN"/>
              </w:rPr>
            </w:pPr>
            <w:r>
              <w:rPr>
                <w:rStyle w:val="65"/>
                <w:rFonts w:hint="eastAsia" w:cs="Times New Roman"/>
                <w:color w:val="auto"/>
                <w:lang w:val="en-US" w:eastAsia="zh-CN"/>
              </w:rPr>
              <w:t>1538.31</w:t>
            </w:r>
          </w:p>
        </w:tc>
        <w:tc>
          <w:tcPr>
            <w:tcW w:w="648" w:type="pct"/>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Style w:val="65"/>
                <w:rFonts w:hint="eastAsia" w:cs="Times New Roman"/>
                <w:color w:val="auto"/>
                <w:highlight w:val="none"/>
                <w:lang w:val="en-US" w:eastAsia="zh-CN"/>
              </w:rPr>
            </w:pPr>
            <w:r>
              <w:rPr>
                <w:rStyle w:val="65"/>
                <w:rFonts w:hint="eastAsia" w:cs="Times New Roman"/>
                <w:color w:val="auto"/>
                <w:highlight w:val="none"/>
                <w:lang w:val="en-US" w:eastAsia="zh-CN"/>
              </w:rPr>
              <w:t>工程</w:t>
            </w:r>
          </w:p>
          <w:p>
            <w:pPr>
              <w:keepNext w:val="0"/>
              <w:keepLines w:val="0"/>
              <w:pageBreakBefore w:val="0"/>
              <w:kinsoku/>
              <w:wordWrap/>
              <w:overflowPunct/>
              <w:topLinePunct w:val="0"/>
              <w:autoSpaceDE/>
              <w:autoSpaceDN/>
              <w:bidi w:val="0"/>
              <w:adjustRightInd/>
              <w:snapToGrid/>
              <w:spacing w:line="320" w:lineRule="exact"/>
              <w:jc w:val="center"/>
              <w:textAlignment w:val="auto"/>
              <w:rPr>
                <w:rStyle w:val="65"/>
                <w:rFonts w:hint="default" w:cs="Times New Roman"/>
                <w:color w:val="auto"/>
                <w:highlight w:val="none"/>
                <w:lang w:val="en-US" w:eastAsia="zh-CN"/>
              </w:rPr>
            </w:pPr>
            <w:r>
              <w:rPr>
                <w:rStyle w:val="65"/>
                <w:rFonts w:hint="eastAsia" w:cs="Times New Roman"/>
                <w:color w:val="auto"/>
                <w:highlight w:val="none"/>
                <w:lang w:val="en-US" w:eastAsia="zh-CN"/>
              </w:rPr>
              <w:t>范围内</w:t>
            </w:r>
          </w:p>
        </w:tc>
      </w:tr>
    </w:tbl>
    <w:p>
      <w:pPr>
        <w:adjustRightInd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2）与《江苏省生态空间管控区域规划》生态空间保护区域位置关系</w:t>
      </w:r>
    </w:p>
    <w:p>
      <w:pPr>
        <w:adjustRightInd w:val="0"/>
        <w:snapToGrid w:val="0"/>
        <w:spacing w:line="480" w:lineRule="exact"/>
        <w:ind w:firstLine="480" w:firstLineChars="200"/>
        <w:jc w:val="both"/>
        <w:rPr>
          <w:rFonts w:hint="default" w:ascii="Times New Roman" w:hAnsi="Times New Roman" w:eastAsia="宋体" w:cs="Times New Roman"/>
          <w:color w:val="auto"/>
        </w:rPr>
      </w:pPr>
      <w:r>
        <w:rPr>
          <w:rStyle w:val="65"/>
          <w:rFonts w:hint="default" w:ascii="Times New Roman" w:hAnsi="Times New Roman" w:eastAsia="宋体" w:cs="Times New Roman"/>
          <w:color w:val="auto"/>
          <w:sz w:val="24"/>
          <w:szCs w:val="24"/>
        </w:rPr>
        <w:t>根据《江苏省生态空间管控区域规划》苏政发[2020]1号，评价范围内生态红线区域有</w:t>
      </w:r>
      <w:r>
        <w:rPr>
          <w:rStyle w:val="65"/>
          <w:rFonts w:hint="eastAsia" w:cs="Times New Roman"/>
          <w:color w:val="auto"/>
          <w:sz w:val="24"/>
          <w:szCs w:val="24"/>
          <w:lang w:val="en-US" w:eastAsia="zh-CN"/>
        </w:rPr>
        <w:t>6</w:t>
      </w:r>
      <w:r>
        <w:rPr>
          <w:rStyle w:val="65"/>
          <w:rFonts w:hint="default" w:ascii="Times New Roman" w:hAnsi="Times New Roman" w:eastAsia="宋体" w:cs="Times New Roman"/>
          <w:color w:val="auto"/>
          <w:sz w:val="24"/>
          <w:szCs w:val="24"/>
        </w:rPr>
        <w:t>处，其中工程涉及</w:t>
      </w:r>
      <w:r>
        <w:rPr>
          <w:rStyle w:val="65"/>
          <w:rFonts w:hint="eastAsia" w:cs="Times New Roman"/>
          <w:color w:val="auto"/>
          <w:sz w:val="24"/>
          <w:szCs w:val="24"/>
          <w:lang w:val="en-US" w:eastAsia="zh-CN"/>
        </w:rPr>
        <w:t>的生态红线区域有2</w:t>
      </w:r>
      <w:r>
        <w:rPr>
          <w:rStyle w:val="65"/>
          <w:rFonts w:hint="default" w:ascii="Times New Roman" w:hAnsi="Times New Roman" w:eastAsia="宋体" w:cs="Times New Roman"/>
          <w:color w:val="auto"/>
          <w:sz w:val="24"/>
          <w:szCs w:val="24"/>
        </w:rPr>
        <w:t>处</w:t>
      </w:r>
      <w:r>
        <w:rPr>
          <w:rStyle w:val="65"/>
          <w:rFonts w:hint="eastAsia" w:cs="Times New Roman"/>
          <w:color w:val="auto"/>
          <w:sz w:val="24"/>
          <w:szCs w:val="24"/>
          <w:lang w:eastAsia="zh-CN"/>
        </w:rPr>
        <w:t>，</w:t>
      </w:r>
      <w:r>
        <w:rPr>
          <w:rStyle w:val="65"/>
          <w:rFonts w:hint="eastAsia" w:cs="Times New Roman"/>
          <w:color w:val="auto"/>
          <w:sz w:val="24"/>
          <w:szCs w:val="24"/>
          <w:lang w:val="en-US" w:eastAsia="zh-CN"/>
        </w:rPr>
        <w:t>为太湖渔洋山饮用水水源地保护区和太湖重要湿地（吴中区）</w:t>
      </w:r>
      <w:r>
        <w:rPr>
          <w:rStyle w:val="65"/>
          <w:rFonts w:hint="default" w:ascii="Times New Roman" w:hAnsi="Times New Roman" w:eastAsia="宋体" w:cs="Times New Roman"/>
          <w:color w:val="auto"/>
          <w:sz w:val="24"/>
          <w:szCs w:val="24"/>
        </w:rPr>
        <w:t>。评价范围涉及的《江苏省生态空间管控区域规划》生态空间管控区域名录以及与工程的位置关系见表</w:t>
      </w:r>
      <w:r>
        <w:rPr>
          <w:rStyle w:val="65"/>
          <w:rFonts w:hint="eastAsia" w:cs="Times New Roman"/>
          <w:color w:val="auto"/>
          <w:sz w:val="24"/>
          <w:szCs w:val="24"/>
          <w:lang w:val="en-US" w:eastAsia="zh-CN"/>
        </w:rPr>
        <w:t>2.5-9</w:t>
      </w:r>
      <w:r>
        <w:rPr>
          <w:rStyle w:val="65"/>
          <w:rFonts w:hint="default" w:ascii="Times New Roman" w:hAnsi="Times New Roman" w:eastAsia="宋体" w:cs="Times New Roman"/>
          <w:color w:val="auto"/>
          <w:sz w:val="24"/>
          <w:szCs w:val="24"/>
        </w:rPr>
        <w:t>：</w:t>
      </w:r>
    </w:p>
    <w:p>
      <w:pPr>
        <w:spacing w:line="480" w:lineRule="exact"/>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表2.</w:t>
      </w:r>
      <w:r>
        <w:rPr>
          <w:rFonts w:hint="eastAsia" w:cs="Times New Roman"/>
          <w:b/>
          <w:color w:val="auto"/>
          <w:lang w:val="en-US" w:eastAsia="zh-CN"/>
        </w:rPr>
        <w:t>5-9</w:t>
      </w:r>
      <w:r>
        <w:rPr>
          <w:rFonts w:hint="default" w:ascii="Times New Roman" w:hAnsi="Times New Roman" w:eastAsia="宋体" w:cs="Times New Roman"/>
          <w:b/>
          <w:color w:val="auto"/>
        </w:rPr>
        <w:t xml:space="preserve">  江苏省生态空间管控区域规划</w:t>
      </w:r>
    </w:p>
    <w:tbl>
      <w:tblPr>
        <w:tblStyle w:val="55"/>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568"/>
        <w:gridCol w:w="924"/>
        <w:gridCol w:w="3603"/>
        <w:gridCol w:w="1131"/>
        <w:gridCol w:w="14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3" w:hRule="atLeast"/>
          <w:jc w:val="center"/>
        </w:trPr>
        <w:tc>
          <w:tcPr>
            <w:tcW w:w="908" w:type="pct"/>
            <w:vAlign w:val="center"/>
          </w:tcPr>
          <w:p>
            <w:pPr>
              <w:tabs>
                <w:tab w:val="left" w:pos="3159"/>
              </w:tabs>
              <w:autoSpaceDE w:val="0"/>
              <w:autoSpaceDN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535" w:type="pct"/>
            <w:vAlign w:val="center"/>
          </w:tcPr>
          <w:p>
            <w:pPr>
              <w:tabs>
                <w:tab w:val="left" w:pos="3159"/>
              </w:tabs>
              <w:autoSpaceDE w:val="0"/>
              <w:autoSpaceDN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主导生</w:t>
            </w:r>
          </w:p>
          <w:p>
            <w:pPr>
              <w:tabs>
                <w:tab w:val="left" w:pos="3159"/>
              </w:tabs>
              <w:autoSpaceDE w:val="0"/>
              <w:autoSpaceDN w:val="0"/>
              <w:adjustRightInd w:val="0"/>
              <w:snapToGrid w:val="0"/>
              <w:jc w:val="center"/>
              <w:rPr>
                <w:rFonts w:hint="default" w:ascii="Times New Roman" w:hAnsi="Times New Roman" w:eastAsia="宋体" w:cs="Times New Roman"/>
                <w:b/>
                <w:bCs/>
                <w:i/>
                <w:color w:val="auto"/>
                <w:sz w:val="21"/>
                <w:szCs w:val="21"/>
              </w:rPr>
            </w:pPr>
            <w:r>
              <w:rPr>
                <w:rFonts w:hint="default" w:ascii="Times New Roman" w:hAnsi="Times New Roman" w:eastAsia="宋体" w:cs="Times New Roman"/>
                <w:b/>
                <w:bCs/>
                <w:color w:val="auto"/>
                <w:sz w:val="21"/>
                <w:szCs w:val="21"/>
              </w:rPr>
              <w:t>态功能</w:t>
            </w:r>
          </w:p>
        </w:tc>
        <w:tc>
          <w:tcPr>
            <w:tcW w:w="2087" w:type="pct"/>
            <w:vAlign w:val="center"/>
          </w:tcPr>
          <w:p>
            <w:pPr>
              <w:tabs>
                <w:tab w:val="left" w:pos="3159"/>
              </w:tabs>
              <w:autoSpaceDE w:val="0"/>
              <w:autoSpaceDN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管控区域范围</w:t>
            </w:r>
          </w:p>
        </w:tc>
        <w:tc>
          <w:tcPr>
            <w:tcW w:w="655" w:type="pct"/>
            <w:vAlign w:val="center"/>
          </w:tcPr>
          <w:p>
            <w:pPr>
              <w:tabs>
                <w:tab w:val="left" w:pos="3159"/>
              </w:tabs>
              <w:autoSpaceDE w:val="0"/>
              <w:autoSpaceDN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管控面积</w:t>
            </w:r>
          </w:p>
        </w:tc>
        <w:tc>
          <w:tcPr>
            <w:tcW w:w="813" w:type="pct"/>
            <w:vAlign w:val="center"/>
          </w:tcPr>
          <w:p>
            <w:pPr>
              <w:tabs>
                <w:tab w:val="left" w:pos="3159"/>
              </w:tabs>
              <w:autoSpaceDE w:val="0"/>
              <w:autoSpaceDN w:val="0"/>
              <w:adjustRightInd w:val="0"/>
              <w:snapToGrid w:val="0"/>
              <w:jc w:val="center"/>
              <w:rPr>
                <w:rFonts w:hint="default" w:ascii="Times New Roman" w:hAnsi="Times New Roman" w:eastAsia="宋体" w:cs="Times New Roman"/>
                <w:b/>
                <w:bCs/>
                <w:color w:val="auto"/>
                <w:sz w:val="21"/>
                <w:szCs w:val="21"/>
              </w:rPr>
            </w:pPr>
            <w:r>
              <w:rPr>
                <w:rStyle w:val="65"/>
                <w:rFonts w:hint="default" w:ascii="Times New Roman" w:hAnsi="Times New Roman" w:eastAsia="宋体" w:cs="Times New Roman"/>
                <w:b/>
                <w:bCs/>
                <w:color w:val="auto"/>
              </w:rPr>
              <w:t>与本项目距离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3" w:hRule="atLeast"/>
          <w:jc w:val="center"/>
        </w:trPr>
        <w:tc>
          <w:tcPr>
            <w:tcW w:w="908" w:type="pct"/>
            <w:vAlign w:val="center"/>
          </w:tcPr>
          <w:p>
            <w:pPr>
              <w:tabs>
                <w:tab w:val="left" w:pos="3159"/>
              </w:tabs>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太湖渔洋山饮用水水源保护区</w:t>
            </w:r>
          </w:p>
        </w:tc>
        <w:tc>
          <w:tcPr>
            <w:tcW w:w="535"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水源水质保护</w:t>
            </w:r>
          </w:p>
        </w:tc>
        <w:tc>
          <w:tcPr>
            <w:tcW w:w="2087" w:type="pct"/>
            <w:vAlign w:val="center"/>
          </w:tcPr>
          <w:p>
            <w:pPr>
              <w:tabs>
                <w:tab w:val="left" w:pos="3159"/>
              </w:tabs>
              <w:autoSpaceDE w:val="0"/>
              <w:autoSpaceDN w:val="0"/>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国家级生态保护红线范围</w:t>
            </w:r>
            <w:r>
              <w:rPr>
                <w:rFonts w:hint="eastAsia" w:cs="Times New Roman"/>
                <w:b/>
                <w:bCs/>
                <w:color w:val="auto"/>
                <w:sz w:val="21"/>
                <w:szCs w:val="21"/>
                <w:lang w:eastAsia="zh-CN"/>
              </w:rPr>
              <w:t>：</w:t>
            </w:r>
            <w:r>
              <w:rPr>
                <w:rFonts w:hint="default" w:ascii="Times New Roman" w:hAnsi="Times New Roman" w:eastAsia="宋体" w:cs="Times New Roman"/>
                <w:color w:val="auto"/>
                <w:sz w:val="21"/>
                <w:szCs w:val="21"/>
              </w:rPr>
              <w:t>一级保护区：分别以2个水厂取水口为中心，半径500米的区域范围。取水口坐标：120°20'59.892"E，31°13'5.709"N；</w:t>
            </w:r>
          </w:p>
          <w:p>
            <w:pPr>
              <w:tabs>
                <w:tab w:val="left" w:pos="3159"/>
              </w:tabs>
              <w:autoSpaceDE w:val="0"/>
              <w:autoSpaceDN w:val="0"/>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120°20'59.866"E，31°13'3.054"N。二级</w:t>
            </w:r>
          </w:p>
          <w:p>
            <w:pPr>
              <w:tabs>
                <w:tab w:val="left" w:pos="3159"/>
              </w:tabs>
              <w:autoSpaceDE w:val="0"/>
              <w:autoSpaceDN w:val="0"/>
              <w:adjustRightInd w:val="0"/>
              <w:snapToGrid w:val="0"/>
              <w:jc w:val="left"/>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保护区：一级保护区外，外延2000米的水域范围和相对应的本岸背水坡堤脚外100米之间的陆域范围</w:t>
            </w:r>
            <w:r>
              <w:rPr>
                <w:rFonts w:hint="eastAsia" w:cs="Times New Roman"/>
                <w:color w:val="auto"/>
                <w:sz w:val="21"/>
                <w:szCs w:val="21"/>
                <w:lang w:eastAsia="zh-CN"/>
              </w:rPr>
              <w:t>。</w:t>
            </w:r>
          </w:p>
          <w:p>
            <w:pPr>
              <w:tabs>
                <w:tab w:val="left" w:pos="3159"/>
              </w:tabs>
              <w:autoSpaceDE w:val="0"/>
              <w:autoSpaceDN w:val="0"/>
              <w:adjustRightInd w:val="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rPr>
              <w:t>生态空间管控区域范围</w:t>
            </w:r>
            <w:r>
              <w:rPr>
                <w:rFonts w:hint="eastAsia" w:cs="Times New Roman"/>
                <w:b/>
                <w:bCs/>
                <w:color w:val="auto"/>
                <w:sz w:val="21"/>
                <w:szCs w:val="21"/>
                <w:lang w:eastAsia="zh-CN"/>
              </w:rPr>
              <w:t>：</w:t>
            </w:r>
            <w:r>
              <w:rPr>
                <w:rFonts w:hint="eastAsia" w:cs="Times New Roman"/>
                <w:b/>
                <w:bCs/>
                <w:color w:val="auto"/>
                <w:sz w:val="21"/>
                <w:szCs w:val="21"/>
                <w:lang w:val="en-US" w:eastAsia="zh-CN"/>
              </w:rPr>
              <w:t>/</w:t>
            </w:r>
          </w:p>
        </w:tc>
        <w:tc>
          <w:tcPr>
            <w:tcW w:w="655" w:type="pct"/>
            <w:vAlign w:val="center"/>
          </w:tcPr>
          <w:p>
            <w:pPr>
              <w:tabs>
                <w:tab w:val="left" w:pos="3159"/>
              </w:tabs>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17.88km</w:t>
            </w:r>
            <w:r>
              <w:rPr>
                <w:rFonts w:hint="eastAsia" w:cs="Times New Roman"/>
                <w:color w:val="auto"/>
                <w:sz w:val="21"/>
                <w:szCs w:val="21"/>
                <w:vertAlign w:val="superscript"/>
                <w:lang w:val="en-US" w:eastAsia="zh-CN"/>
              </w:rPr>
              <w:t>2</w:t>
            </w:r>
          </w:p>
        </w:tc>
        <w:tc>
          <w:tcPr>
            <w:tcW w:w="813" w:type="pct"/>
            <w:vAlign w:val="center"/>
          </w:tcPr>
          <w:p>
            <w:pPr>
              <w:tabs>
                <w:tab w:val="left" w:pos="3159"/>
              </w:tabs>
              <w:autoSpaceDE w:val="0"/>
              <w:autoSpaceDN w:val="0"/>
              <w:adjustRightInd w:val="0"/>
              <w:snapToGrid w:val="0"/>
              <w:jc w:val="center"/>
              <w:rPr>
                <w:rStyle w:val="65"/>
                <w:rFonts w:hint="default" w:ascii="Times New Roman" w:hAnsi="Times New Roman" w:eastAsia="宋体" w:cs="Times New Roman"/>
                <w:color w:val="auto"/>
                <w:lang w:val="en-US" w:eastAsia="zh-CN"/>
              </w:rPr>
            </w:pPr>
            <w:r>
              <w:rPr>
                <w:rStyle w:val="65"/>
                <w:rFonts w:hint="eastAsia" w:cs="Times New Roman"/>
                <w:color w:val="auto"/>
                <w:lang w:val="en-US" w:eastAsia="zh-CN"/>
              </w:rPr>
              <w:t>工程范围内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3" w:hRule="atLeast"/>
          <w:jc w:val="center"/>
        </w:trPr>
        <w:tc>
          <w:tcPr>
            <w:tcW w:w="90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太湖青虾中华绒螯蟹国家级水产种质资源保护区</w:t>
            </w:r>
          </w:p>
        </w:tc>
        <w:tc>
          <w:tcPr>
            <w:tcW w:w="535"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渔业资源保护</w:t>
            </w:r>
          </w:p>
        </w:tc>
        <w:tc>
          <w:tcPr>
            <w:tcW w:w="2087" w:type="pct"/>
            <w:vAlign w:val="center"/>
          </w:tcPr>
          <w:p>
            <w:pPr>
              <w:tabs>
                <w:tab w:val="left" w:pos="3159"/>
              </w:tabs>
              <w:autoSpaceDE w:val="0"/>
              <w:autoSpaceDN w:val="0"/>
              <w:adjustRightInd w:val="0"/>
              <w:snapToGrid w:val="0"/>
              <w:jc w:val="left"/>
              <w:rPr>
                <w:rFonts w:hint="eastAsia" w:ascii="Times New Roman" w:hAnsi="Times New Roman" w:eastAsia="宋体" w:cs="Times New Roman"/>
                <w:color w:val="auto"/>
                <w:sz w:val="21"/>
                <w:szCs w:val="21"/>
                <w:lang w:eastAsia="zh-CN" w:bidi="ar"/>
              </w:rPr>
            </w:pPr>
            <w:r>
              <w:rPr>
                <w:rFonts w:hint="default" w:ascii="Times New Roman" w:hAnsi="Times New Roman" w:eastAsia="宋体" w:cs="Times New Roman"/>
                <w:b/>
                <w:bCs/>
                <w:color w:val="auto"/>
                <w:sz w:val="21"/>
                <w:szCs w:val="21"/>
              </w:rPr>
              <w:t>国家级生态保护红线范围</w:t>
            </w:r>
            <w:r>
              <w:rPr>
                <w:rFonts w:hint="eastAsia" w:cs="Times New Roman"/>
                <w:b/>
                <w:bCs/>
                <w:color w:val="auto"/>
                <w:sz w:val="21"/>
                <w:szCs w:val="21"/>
                <w:lang w:eastAsia="zh-CN"/>
              </w:rPr>
              <w:t>：</w:t>
            </w:r>
            <w:r>
              <w:rPr>
                <w:rFonts w:hint="default" w:ascii="Times New Roman" w:hAnsi="Times New Roman" w:eastAsia="宋体" w:cs="Times New Roman"/>
                <w:color w:val="auto"/>
                <w:sz w:val="21"/>
                <w:szCs w:val="21"/>
                <w:lang w:bidi="ar"/>
              </w:rPr>
              <w:t>核心区四至范围为长岐（120°21′38.82″E，31°15′32.69″N），坎上（120°22′35.32″E，31°16′03.21″N），度假区水厂（120°23′35.88″E，31°14′49.50″N），百花湾（120°21′26.32″E，31°13′19.20″N）</w:t>
            </w:r>
            <w:r>
              <w:rPr>
                <w:rFonts w:hint="eastAsia" w:cs="Times New Roman"/>
                <w:color w:val="auto"/>
                <w:sz w:val="21"/>
                <w:szCs w:val="21"/>
                <w:lang w:eastAsia="zh-CN" w:bidi="ar"/>
              </w:rPr>
              <w:t>。。</w:t>
            </w:r>
          </w:p>
          <w:p>
            <w:pPr>
              <w:tabs>
                <w:tab w:val="left" w:pos="3159"/>
              </w:tabs>
              <w:autoSpaceDE w:val="0"/>
              <w:autoSpaceDN w:val="0"/>
              <w:adjustRightInd w:val="0"/>
              <w:snapToGrid w:val="0"/>
              <w:jc w:val="left"/>
              <w:rPr>
                <w:rFonts w:hint="default" w:ascii="Times New Roman" w:hAnsi="Times New Roman" w:eastAsia="宋体" w:cs="Times New Roman"/>
                <w:color w:val="auto"/>
                <w:sz w:val="21"/>
                <w:szCs w:val="21"/>
                <w:lang w:val="en-US" w:bidi="ar"/>
              </w:rPr>
            </w:pPr>
            <w:r>
              <w:rPr>
                <w:rFonts w:hint="default" w:ascii="Times New Roman" w:hAnsi="Times New Roman" w:eastAsia="宋体" w:cs="Times New Roman"/>
                <w:b/>
                <w:bCs/>
                <w:color w:val="auto"/>
                <w:sz w:val="21"/>
                <w:szCs w:val="21"/>
              </w:rPr>
              <w:t>生态空间管控区域范围</w:t>
            </w:r>
            <w:r>
              <w:rPr>
                <w:rFonts w:hint="eastAsia" w:cs="Times New Roman"/>
                <w:b/>
                <w:bCs/>
                <w:color w:val="auto"/>
                <w:sz w:val="21"/>
                <w:szCs w:val="21"/>
                <w:lang w:eastAsia="zh-CN"/>
              </w:rPr>
              <w:t>：</w:t>
            </w:r>
            <w:r>
              <w:rPr>
                <w:rFonts w:hint="eastAsia" w:cs="Times New Roman"/>
                <w:b w:val="0"/>
                <w:bCs w:val="0"/>
                <w:color w:val="auto"/>
                <w:sz w:val="21"/>
                <w:szCs w:val="21"/>
                <w:lang w:eastAsia="zh-CN"/>
              </w:rPr>
              <w:t>太湖青虾中华绒螯蟹国家级水产种质资源保护区批复范围除核心区外的区域</w:t>
            </w:r>
            <w:r>
              <w:rPr>
                <w:rFonts w:hint="eastAsia" w:cs="Times New Roman"/>
                <w:b w:val="0"/>
                <w:bCs w:val="0"/>
                <w:color w:val="auto"/>
                <w:sz w:val="21"/>
                <w:szCs w:val="21"/>
                <w:lang w:val="en-US" w:eastAsia="zh-CN"/>
              </w:rPr>
              <w:t>。</w:t>
            </w:r>
          </w:p>
        </w:tc>
        <w:tc>
          <w:tcPr>
            <w:tcW w:w="655" w:type="pct"/>
            <w:vAlign w:val="center"/>
          </w:tcPr>
          <w:p>
            <w:pPr>
              <w:tabs>
                <w:tab w:val="left" w:pos="3159"/>
              </w:tabs>
              <w:autoSpaceDE w:val="0"/>
              <w:autoSpaceDN w:val="0"/>
              <w:adjustRightInd w:val="0"/>
              <w:snapToGrid w:val="0"/>
              <w:jc w:val="center"/>
              <w:rPr>
                <w:rFonts w:hint="default" w:ascii="Times New Roman" w:hAnsi="Times New Roman" w:eastAsia="宋体" w:cs="Times New Roman"/>
                <w:color w:val="auto"/>
                <w:sz w:val="21"/>
                <w:szCs w:val="21"/>
                <w:lang w:val="en-US" w:eastAsia="zh-CN" w:bidi="ar"/>
              </w:rPr>
            </w:pPr>
            <w:r>
              <w:rPr>
                <w:rFonts w:hint="eastAsia" w:cs="Times New Roman"/>
                <w:color w:val="auto"/>
                <w:sz w:val="21"/>
                <w:szCs w:val="21"/>
                <w:lang w:val="en-US" w:eastAsia="zh-CN" w:bidi="ar"/>
              </w:rPr>
              <w:t>19.0</w:t>
            </w:r>
            <w:r>
              <w:rPr>
                <w:rFonts w:hint="eastAsia" w:cs="Times New Roman"/>
                <w:color w:val="auto"/>
                <w:sz w:val="21"/>
                <w:szCs w:val="21"/>
                <w:lang w:val="en-US" w:eastAsia="zh-CN"/>
              </w:rPr>
              <w:t>km</w:t>
            </w:r>
            <w:r>
              <w:rPr>
                <w:rFonts w:hint="eastAsia" w:cs="Times New Roman"/>
                <w:color w:val="auto"/>
                <w:sz w:val="21"/>
                <w:szCs w:val="21"/>
                <w:vertAlign w:val="superscript"/>
                <w:lang w:val="en-US" w:eastAsia="zh-CN"/>
              </w:rPr>
              <w:t>2</w:t>
            </w:r>
          </w:p>
        </w:tc>
        <w:tc>
          <w:tcPr>
            <w:tcW w:w="813"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北，400m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3" w:hRule="atLeast"/>
          <w:jc w:val="center"/>
        </w:trPr>
        <w:tc>
          <w:tcPr>
            <w:tcW w:w="90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太湖重要湿</w:t>
            </w:r>
          </w:p>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地（吴中区）</w:t>
            </w:r>
          </w:p>
        </w:tc>
        <w:tc>
          <w:tcPr>
            <w:tcW w:w="535"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湿地生态系统保护</w:t>
            </w:r>
          </w:p>
        </w:tc>
        <w:tc>
          <w:tcPr>
            <w:tcW w:w="2087" w:type="pct"/>
            <w:vAlign w:val="center"/>
          </w:tcPr>
          <w:p>
            <w:pPr>
              <w:tabs>
                <w:tab w:val="left" w:pos="3159"/>
              </w:tabs>
              <w:autoSpaceDE w:val="0"/>
              <w:autoSpaceDN w:val="0"/>
              <w:adjustRightInd w:val="0"/>
              <w:snapToGrid w:val="0"/>
              <w:jc w:val="left"/>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sz w:val="21"/>
                <w:szCs w:val="21"/>
              </w:rPr>
              <w:t>国家级生态保护红线范围</w:t>
            </w:r>
            <w:r>
              <w:rPr>
                <w:rFonts w:hint="eastAsia" w:cs="Times New Roman"/>
                <w:b/>
                <w:bCs/>
                <w:color w:val="auto"/>
                <w:sz w:val="21"/>
                <w:szCs w:val="21"/>
                <w:lang w:eastAsia="zh-CN"/>
              </w:rPr>
              <w:t>：</w:t>
            </w:r>
            <w:r>
              <w:rPr>
                <w:rFonts w:hint="eastAsia" w:cs="Times New Roman"/>
                <w:b w:val="0"/>
                <w:bCs w:val="0"/>
                <w:color w:val="auto"/>
                <w:sz w:val="21"/>
                <w:szCs w:val="21"/>
                <w:lang w:eastAsia="zh-CN"/>
              </w:rPr>
              <w:t>太湖湖体水域</w:t>
            </w:r>
          </w:p>
          <w:p>
            <w:pPr>
              <w:tabs>
                <w:tab w:val="left" w:pos="3159"/>
              </w:tabs>
              <w:autoSpaceDE w:val="0"/>
              <w:autoSpaceDN w:val="0"/>
              <w:adjustRightInd w:val="0"/>
              <w:snapToGrid w:val="0"/>
              <w:jc w:val="left"/>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sz w:val="21"/>
                <w:szCs w:val="21"/>
              </w:rPr>
              <w:t>生态空间管控区域范围</w:t>
            </w:r>
            <w:r>
              <w:rPr>
                <w:rFonts w:hint="eastAsia" w:cs="Times New Roman"/>
                <w:b/>
                <w:bCs/>
                <w:color w:val="auto"/>
                <w:sz w:val="21"/>
                <w:szCs w:val="21"/>
                <w:lang w:eastAsia="zh-CN"/>
              </w:rPr>
              <w:t>：</w:t>
            </w:r>
            <w:r>
              <w:rPr>
                <w:rFonts w:hint="eastAsia" w:cs="Times New Roman"/>
                <w:b/>
                <w:bCs/>
                <w:color w:val="auto"/>
                <w:sz w:val="21"/>
                <w:szCs w:val="21"/>
                <w:lang w:val="en-US" w:eastAsia="zh-CN"/>
              </w:rPr>
              <w:t>/</w:t>
            </w:r>
          </w:p>
        </w:tc>
        <w:tc>
          <w:tcPr>
            <w:tcW w:w="655" w:type="pct"/>
            <w:vAlign w:val="center"/>
          </w:tcPr>
          <w:p>
            <w:pPr>
              <w:tabs>
                <w:tab w:val="left" w:pos="3159"/>
              </w:tabs>
              <w:autoSpaceDE w:val="0"/>
              <w:autoSpaceDN w:val="0"/>
              <w:adjustRightInd w:val="0"/>
              <w:snapToGrid w:val="0"/>
              <w:jc w:val="center"/>
              <w:rPr>
                <w:rFonts w:hint="default" w:cs="Times New Roman"/>
                <w:color w:val="auto"/>
                <w:sz w:val="21"/>
                <w:szCs w:val="21"/>
                <w:lang w:val="en-US" w:eastAsia="zh-CN" w:bidi="ar"/>
              </w:rPr>
            </w:pPr>
            <w:r>
              <w:rPr>
                <w:rFonts w:hint="eastAsia" w:cs="Times New Roman"/>
                <w:color w:val="auto"/>
                <w:sz w:val="21"/>
                <w:szCs w:val="21"/>
                <w:lang w:val="en-US" w:eastAsia="zh-CN" w:bidi="ar"/>
              </w:rPr>
              <w:t>1538.31</w:t>
            </w:r>
            <w:r>
              <w:rPr>
                <w:rFonts w:hint="eastAsia" w:cs="Times New Roman"/>
                <w:color w:val="auto"/>
                <w:sz w:val="21"/>
                <w:szCs w:val="21"/>
                <w:lang w:val="en-US" w:eastAsia="zh-CN"/>
              </w:rPr>
              <w:t>km</w:t>
            </w:r>
            <w:r>
              <w:rPr>
                <w:rFonts w:hint="eastAsia" w:cs="Times New Roman"/>
                <w:color w:val="auto"/>
                <w:sz w:val="21"/>
                <w:szCs w:val="21"/>
                <w:vertAlign w:val="superscript"/>
                <w:lang w:val="en-US" w:eastAsia="zh-CN"/>
              </w:rPr>
              <w:t>2</w:t>
            </w:r>
          </w:p>
        </w:tc>
        <w:tc>
          <w:tcPr>
            <w:tcW w:w="813" w:type="pct"/>
            <w:vAlign w:val="center"/>
          </w:tcPr>
          <w:p>
            <w:pPr>
              <w:widowControl w:val="0"/>
              <w:spacing w:line="32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工程范围内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3" w:hRule="atLeast"/>
          <w:jc w:val="center"/>
        </w:trPr>
        <w:tc>
          <w:tcPr>
            <w:tcW w:w="90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太湖（吴中区）重要保护区</w:t>
            </w:r>
          </w:p>
        </w:tc>
        <w:tc>
          <w:tcPr>
            <w:tcW w:w="535" w:type="pct"/>
            <w:vAlign w:val="center"/>
          </w:tcPr>
          <w:p>
            <w:pPr>
              <w:tabs>
                <w:tab w:val="left" w:pos="3159"/>
              </w:tabs>
              <w:autoSpaceDE w:val="0"/>
              <w:autoSpaceDN w:val="0"/>
              <w:adjustRightInd w:val="0"/>
              <w:snapToGrid w:val="0"/>
              <w:jc w:val="center"/>
              <w:rPr>
                <w:rFonts w:hint="default" w:ascii="Times New Roman" w:hAnsi="Times New Roman" w:eastAsia="宋体" w:cs="Times New Roman"/>
                <w:color w:val="auto"/>
                <w:sz w:val="21"/>
                <w:szCs w:val="21"/>
                <w:lang w:bidi="ar"/>
              </w:rPr>
            </w:pPr>
            <w:r>
              <w:rPr>
                <w:rFonts w:hint="eastAsia" w:cs="Times New Roman"/>
                <w:color w:val="auto"/>
                <w:sz w:val="21"/>
                <w:szCs w:val="21"/>
                <w:lang w:val="en-US" w:eastAsia="zh-CN"/>
              </w:rPr>
              <w:t>湿地生态系统保护</w:t>
            </w:r>
          </w:p>
        </w:tc>
        <w:tc>
          <w:tcPr>
            <w:tcW w:w="2087" w:type="pct"/>
            <w:vAlign w:val="center"/>
          </w:tcPr>
          <w:p>
            <w:pPr>
              <w:tabs>
                <w:tab w:val="left" w:pos="3159"/>
              </w:tabs>
              <w:autoSpaceDE w:val="0"/>
              <w:autoSpaceDN w:val="0"/>
              <w:adjustRightInd w:val="0"/>
              <w:snapToGrid w:val="0"/>
              <w:jc w:val="left"/>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sz w:val="21"/>
                <w:szCs w:val="21"/>
              </w:rPr>
              <w:t>国家级生态保护红线范围</w:t>
            </w:r>
            <w:r>
              <w:rPr>
                <w:rFonts w:hint="eastAsia" w:cs="Times New Roman"/>
                <w:b/>
                <w:bCs/>
                <w:color w:val="auto"/>
                <w:sz w:val="21"/>
                <w:szCs w:val="21"/>
                <w:lang w:eastAsia="zh-CN"/>
              </w:rPr>
              <w:t>：</w:t>
            </w:r>
            <w:r>
              <w:rPr>
                <w:rFonts w:hint="eastAsia" w:cs="Times New Roman"/>
                <w:b/>
                <w:bCs/>
                <w:color w:val="auto"/>
                <w:sz w:val="21"/>
                <w:szCs w:val="21"/>
                <w:lang w:val="en-US" w:eastAsia="zh-CN"/>
              </w:rPr>
              <w:t>/</w:t>
            </w:r>
          </w:p>
          <w:p>
            <w:pPr>
              <w:tabs>
                <w:tab w:val="left" w:pos="3159"/>
              </w:tabs>
              <w:autoSpaceDE w:val="0"/>
              <w:autoSpaceDN w:val="0"/>
              <w:adjustRightInd w:val="0"/>
              <w:snapToGrid w:val="0"/>
              <w:jc w:val="left"/>
              <w:rPr>
                <w:rFonts w:hint="default" w:ascii="Times New Roman" w:hAnsi="Times New Roman" w:eastAsia="宋体" w:cs="Times New Roman"/>
                <w:color w:val="auto"/>
                <w:sz w:val="21"/>
                <w:szCs w:val="21"/>
                <w:lang w:bidi="ar"/>
              </w:rPr>
            </w:pPr>
            <w:r>
              <w:rPr>
                <w:rFonts w:hint="default" w:ascii="Times New Roman" w:hAnsi="Times New Roman" w:eastAsia="宋体" w:cs="Times New Roman"/>
                <w:b/>
                <w:bCs/>
                <w:color w:val="auto"/>
                <w:sz w:val="21"/>
                <w:szCs w:val="21"/>
              </w:rPr>
              <w:t>生态空间管控区域范围</w:t>
            </w:r>
            <w:r>
              <w:rPr>
                <w:rFonts w:hint="eastAsia" w:cs="Times New Roman"/>
                <w:b/>
                <w:bCs/>
                <w:color w:val="auto"/>
                <w:sz w:val="21"/>
                <w:szCs w:val="21"/>
                <w:lang w:eastAsia="zh-CN"/>
              </w:rPr>
              <w:t>：</w:t>
            </w:r>
            <w:r>
              <w:rPr>
                <w:rFonts w:hint="eastAsia" w:cs="Times New Roman"/>
                <w:b w:val="0"/>
                <w:bCs w:val="0"/>
                <w:color w:val="auto"/>
                <w:sz w:val="21"/>
                <w:szCs w:val="21"/>
                <w:lang w:eastAsia="zh-CN"/>
              </w:rPr>
              <w:t>分为两部分：湖体和湖岸。湖体为吴中区内太湖水体（不包括渔洋山、浦庄饮用水源保护区、太湖湖滨湿地公园以及太湖银鱼翘嘴红鲌秀丽白虾国家级水产种质资源保护区、太湖青虾中华绒螯蟹国家级水产种质资源保护区的核心区）。湖岸部分为（除吴中经济开发区和太湖新城）沿湖岸5公里范围，不包括光福、东山风景名胜区，米堆山、渔洋山、清明山生态公益林，石湖风景名胜区。吴中经济开发区及太湖新城（吴中区）沿湖岸大堤1公里陆域范围</w:t>
            </w:r>
          </w:p>
        </w:tc>
        <w:tc>
          <w:tcPr>
            <w:tcW w:w="655" w:type="pct"/>
            <w:vAlign w:val="center"/>
          </w:tcPr>
          <w:p>
            <w:pPr>
              <w:tabs>
                <w:tab w:val="left" w:pos="3159"/>
              </w:tabs>
              <w:autoSpaceDE w:val="0"/>
              <w:autoSpaceDN w:val="0"/>
              <w:adjustRightInd w:val="0"/>
              <w:snapToGrid w:val="0"/>
              <w:jc w:val="center"/>
              <w:rPr>
                <w:rFonts w:hint="default" w:ascii="Times New Roman" w:hAnsi="Times New Roman" w:eastAsia="宋体" w:cs="Times New Roman"/>
                <w:color w:val="auto"/>
                <w:sz w:val="21"/>
                <w:szCs w:val="21"/>
                <w:lang w:val="en-US" w:eastAsia="zh-CN" w:bidi="ar"/>
              </w:rPr>
            </w:pPr>
            <w:r>
              <w:rPr>
                <w:rFonts w:hint="eastAsia" w:cs="Times New Roman"/>
                <w:color w:val="auto"/>
                <w:sz w:val="21"/>
                <w:szCs w:val="21"/>
                <w:lang w:val="en-US" w:eastAsia="zh-CN" w:bidi="ar"/>
              </w:rPr>
              <w:t>1630.61</w:t>
            </w:r>
            <w:r>
              <w:rPr>
                <w:rFonts w:hint="eastAsia" w:cs="Times New Roman"/>
                <w:color w:val="auto"/>
                <w:sz w:val="21"/>
                <w:szCs w:val="21"/>
                <w:lang w:val="en-US" w:eastAsia="zh-CN"/>
              </w:rPr>
              <w:t>km</w:t>
            </w:r>
            <w:r>
              <w:rPr>
                <w:rFonts w:hint="eastAsia" w:cs="Times New Roman"/>
                <w:color w:val="auto"/>
                <w:sz w:val="21"/>
                <w:szCs w:val="21"/>
                <w:vertAlign w:val="superscript"/>
                <w:lang w:val="en-US" w:eastAsia="zh-CN"/>
              </w:rPr>
              <w:t>2</w:t>
            </w:r>
          </w:p>
        </w:tc>
        <w:tc>
          <w:tcPr>
            <w:tcW w:w="813"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相邻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3" w:hRule="atLeast"/>
          <w:jc w:val="center"/>
        </w:trPr>
        <w:tc>
          <w:tcPr>
            <w:tcW w:w="90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渔洋山生态</w:t>
            </w:r>
          </w:p>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公益林</w:t>
            </w:r>
          </w:p>
        </w:tc>
        <w:tc>
          <w:tcPr>
            <w:tcW w:w="535" w:type="pct"/>
            <w:vAlign w:val="center"/>
          </w:tcPr>
          <w:p>
            <w:pPr>
              <w:widowControl w:val="0"/>
              <w:spacing w:line="320" w:lineRule="exact"/>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水土保持</w:t>
            </w:r>
          </w:p>
        </w:tc>
        <w:tc>
          <w:tcPr>
            <w:tcW w:w="2087" w:type="pct"/>
            <w:vAlign w:val="center"/>
          </w:tcPr>
          <w:p>
            <w:pPr>
              <w:tabs>
                <w:tab w:val="left" w:pos="3159"/>
              </w:tabs>
              <w:autoSpaceDE w:val="0"/>
              <w:autoSpaceDN w:val="0"/>
              <w:adjustRightInd w:val="0"/>
              <w:snapToGrid w:val="0"/>
              <w:jc w:val="left"/>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sz w:val="21"/>
                <w:szCs w:val="21"/>
              </w:rPr>
              <w:t>国家级生态保护红线范围</w:t>
            </w:r>
            <w:r>
              <w:rPr>
                <w:rFonts w:hint="eastAsia" w:cs="Times New Roman"/>
                <w:b/>
                <w:bCs/>
                <w:color w:val="auto"/>
                <w:sz w:val="21"/>
                <w:szCs w:val="21"/>
                <w:lang w:eastAsia="zh-CN"/>
              </w:rPr>
              <w:t>：</w:t>
            </w:r>
            <w:r>
              <w:rPr>
                <w:rFonts w:hint="eastAsia" w:cs="Times New Roman"/>
                <w:b/>
                <w:bCs/>
                <w:color w:val="auto"/>
                <w:sz w:val="21"/>
                <w:szCs w:val="21"/>
                <w:lang w:val="en-US" w:eastAsia="zh-CN"/>
              </w:rPr>
              <w:t>/</w:t>
            </w:r>
          </w:p>
          <w:p>
            <w:pPr>
              <w:tabs>
                <w:tab w:val="left" w:pos="3159"/>
              </w:tabs>
              <w:autoSpaceDE w:val="0"/>
              <w:autoSpaceDN w:val="0"/>
              <w:adjustRightInd w:val="0"/>
              <w:snapToGrid w:val="0"/>
              <w:jc w:val="left"/>
              <w:rPr>
                <w:rFonts w:hint="default" w:ascii="Times New Roman" w:hAnsi="Times New Roman" w:eastAsia="宋体" w:cs="Times New Roman"/>
                <w:color w:val="auto"/>
                <w:sz w:val="21"/>
                <w:szCs w:val="21"/>
                <w:lang w:bidi="ar"/>
              </w:rPr>
            </w:pPr>
            <w:r>
              <w:rPr>
                <w:rFonts w:hint="default" w:ascii="Times New Roman" w:hAnsi="Times New Roman" w:eastAsia="宋体" w:cs="Times New Roman"/>
                <w:b/>
                <w:bCs/>
                <w:color w:val="auto"/>
                <w:sz w:val="21"/>
                <w:szCs w:val="21"/>
              </w:rPr>
              <w:t>生态空间管控区域范围</w:t>
            </w:r>
            <w:r>
              <w:rPr>
                <w:rFonts w:hint="eastAsia" w:cs="Times New Roman"/>
                <w:b/>
                <w:bCs/>
                <w:color w:val="auto"/>
                <w:sz w:val="21"/>
                <w:szCs w:val="21"/>
                <w:lang w:eastAsia="zh-CN"/>
              </w:rPr>
              <w:t>：</w:t>
            </w:r>
            <w:r>
              <w:rPr>
                <w:rFonts w:hint="default" w:ascii="Times New Roman" w:hAnsi="Times New Roman" w:eastAsia="宋体" w:cs="Times New Roman"/>
                <w:color w:val="auto"/>
                <w:sz w:val="21"/>
                <w:szCs w:val="21"/>
                <w:lang w:bidi="ar"/>
              </w:rPr>
              <w:t>吴中区城区西部渔洋山山麓，包括蒋墩村、墅里村林地</w:t>
            </w:r>
          </w:p>
        </w:tc>
        <w:tc>
          <w:tcPr>
            <w:tcW w:w="655" w:type="pct"/>
            <w:vAlign w:val="center"/>
          </w:tcPr>
          <w:p>
            <w:pPr>
              <w:tabs>
                <w:tab w:val="left" w:pos="3159"/>
              </w:tabs>
              <w:autoSpaceDE w:val="0"/>
              <w:autoSpaceDN w:val="0"/>
              <w:adjustRightInd w:val="0"/>
              <w:snapToGrid w:val="0"/>
              <w:jc w:val="center"/>
              <w:rPr>
                <w:rFonts w:hint="default" w:ascii="Times New Roman" w:hAnsi="Times New Roman" w:eastAsia="宋体" w:cs="Times New Roman"/>
                <w:color w:val="auto"/>
                <w:sz w:val="21"/>
                <w:szCs w:val="21"/>
                <w:lang w:val="en-US" w:eastAsia="zh-CN" w:bidi="ar"/>
              </w:rPr>
            </w:pPr>
            <w:r>
              <w:rPr>
                <w:rFonts w:hint="eastAsia" w:cs="Times New Roman"/>
                <w:color w:val="auto"/>
                <w:sz w:val="21"/>
                <w:szCs w:val="21"/>
                <w:lang w:val="en-US" w:eastAsia="zh-CN" w:bidi="ar"/>
              </w:rPr>
              <w:t>0.82</w:t>
            </w:r>
            <w:r>
              <w:rPr>
                <w:rFonts w:hint="eastAsia" w:cs="Times New Roman"/>
                <w:color w:val="auto"/>
                <w:sz w:val="21"/>
                <w:szCs w:val="21"/>
                <w:lang w:val="en-US" w:eastAsia="zh-CN"/>
              </w:rPr>
              <w:t>km</w:t>
            </w:r>
            <w:r>
              <w:rPr>
                <w:rFonts w:hint="eastAsia" w:cs="Times New Roman"/>
                <w:color w:val="auto"/>
                <w:sz w:val="21"/>
                <w:szCs w:val="21"/>
                <w:vertAlign w:val="superscript"/>
                <w:lang w:val="en-US" w:eastAsia="zh-CN"/>
              </w:rPr>
              <w:t>2</w:t>
            </w:r>
          </w:p>
        </w:tc>
        <w:tc>
          <w:tcPr>
            <w:tcW w:w="813"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东，35m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3" w:hRule="atLeast"/>
          <w:jc w:val="center"/>
        </w:trPr>
        <w:tc>
          <w:tcPr>
            <w:tcW w:w="90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米堆山生态</w:t>
            </w:r>
          </w:p>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公益林</w:t>
            </w:r>
          </w:p>
        </w:tc>
        <w:tc>
          <w:tcPr>
            <w:tcW w:w="535" w:type="pct"/>
            <w:vAlign w:val="center"/>
          </w:tcPr>
          <w:p>
            <w:pPr>
              <w:widowControl w:val="0"/>
              <w:spacing w:line="320" w:lineRule="exact"/>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水土保持</w:t>
            </w:r>
          </w:p>
        </w:tc>
        <w:tc>
          <w:tcPr>
            <w:tcW w:w="2087" w:type="pct"/>
            <w:vAlign w:val="center"/>
          </w:tcPr>
          <w:p>
            <w:pPr>
              <w:tabs>
                <w:tab w:val="left" w:pos="3159"/>
              </w:tabs>
              <w:autoSpaceDE w:val="0"/>
              <w:autoSpaceDN w:val="0"/>
              <w:adjustRightInd w:val="0"/>
              <w:snapToGrid w:val="0"/>
              <w:jc w:val="left"/>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sz w:val="21"/>
                <w:szCs w:val="21"/>
              </w:rPr>
              <w:t>国家级生态保护红线范围</w:t>
            </w:r>
            <w:r>
              <w:rPr>
                <w:rFonts w:hint="eastAsia" w:cs="Times New Roman"/>
                <w:b/>
                <w:bCs/>
                <w:color w:val="auto"/>
                <w:sz w:val="21"/>
                <w:szCs w:val="21"/>
                <w:lang w:eastAsia="zh-CN"/>
              </w:rPr>
              <w:t>：</w:t>
            </w:r>
            <w:r>
              <w:rPr>
                <w:rFonts w:hint="eastAsia" w:cs="Times New Roman"/>
                <w:b/>
                <w:bCs/>
                <w:color w:val="auto"/>
                <w:sz w:val="21"/>
                <w:szCs w:val="21"/>
                <w:lang w:val="en-US" w:eastAsia="zh-CN"/>
              </w:rPr>
              <w:t>/</w:t>
            </w:r>
          </w:p>
          <w:p>
            <w:pPr>
              <w:tabs>
                <w:tab w:val="left" w:pos="3159"/>
              </w:tabs>
              <w:autoSpaceDE w:val="0"/>
              <w:autoSpaceDN w:val="0"/>
              <w:adjustRightInd w:val="0"/>
              <w:snapToGrid w:val="0"/>
              <w:jc w:val="left"/>
              <w:rPr>
                <w:rFonts w:hint="default" w:ascii="Times New Roman" w:hAnsi="Times New Roman" w:eastAsia="宋体" w:cs="Times New Roman"/>
                <w:color w:val="auto"/>
                <w:sz w:val="21"/>
                <w:szCs w:val="21"/>
                <w:lang w:bidi="ar"/>
              </w:rPr>
            </w:pPr>
            <w:r>
              <w:rPr>
                <w:rFonts w:hint="default" w:ascii="Times New Roman" w:hAnsi="Times New Roman" w:eastAsia="宋体" w:cs="Times New Roman"/>
                <w:b/>
                <w:bCs/>
                <w:color w:val="auto"/>
                <w:sz w:val="21"/>
                <w:szCs w:val="21"/>
              </w:rPr>
              <w:t>生态空间管控区域范围</w:t>
            </w:r>
            <w:r>
              <w:rPr>
                <w:rFonts w:hint="eastAsia" w:cs="Times New Roman"/>
                <w:b/>
                <w:bCs/>
                <w:color w:val="auto"/>
                <w:sz w:val="21"/>
                <w:szCs w:val="21"/>
                <w:lang w:eastAsia="zh-CN"/>
              </w:rPr>
              <w:t>：</w:t>
            </w:r>
            <w:r>
              <w:rPr>
                <w:rFonts w:hint="eastAsia" w:cs="Times New Roman"/>
                <w:b w:val="0"/>
                <w:bCs w:val="0"/>
                <w:color w:val="auto"/>
                <w:sz w:val="21"/>
                <w:szCs w:val="21"/>
                <w:lang w:eastAsia="zh-CN"/>
              </w:rPr>
              <w:t>包括山西湾、下鲤山、桑园里、山城郎、山窑村郁闭度较高的林地</w:t>
            </w:r>
          </w:p>
        </w:tc>
        <w:tc>
          <w:tcPr>
            <w:tcW w:w="655" w:type="pct"/>
            <w:vAlign w:val="center"/>
          </w:tcPr>
          <w:p>
            <w:pPr>
              <w:tabs>
                <w:tab w:val="left" w:pos="3159"/>
              </w:tabs>
              <w:autoSpaceDE w:val="0"/>
              <w:autoSpaceDN w:val="0"/>
              <w:adjustRightInd w:val="0"/>
              <w:snapToGrid w:val="0"/>
              <w:jc w:val="center"/>
              <w:rPr>
                <w:rFonts w:hint="default" w:ascii="Times New Roman" w:hAnsi="Times New Roman" w:eastAsia="宋体" w:cs="Times New Roman"/>
                <w:color w:val="auto"/>
                <w:sz w:val="21"/>
                <w:szCs w:val="21"/>
                <w:lang w:val="en-US" w:eastAsia="zh-CN" w:bidi="ar"/>
              </w:rPr>
            </w:pPr>
            <w:r>
              <w:rPr>
                <w:rFonts w:hint="eastAsia" w:cs="Times New Roman"/>
                <w:color w:val="auto"/>
                <w:sz w:val="21"/>
                <w:szCs w:val="21"/>
                <w:lang w:val="en-US" w:eastAsia="zh-CN" w:bidi="ar"/>
              </w:rPr>
              <w:t>3.10</w:t>
            </w:r>
            <w:r>
              <w:rPr>
                <w:rFonts w:hint="eastAsia" w:cs="Times New Roman"/>
                <w:color w:val="auto"/>
                <w:sz w:val="21"/>
                <w:szCs w:val="21"/>
                <w:lang w:val="en-US" w:eastAsia="zh-CN"/>
              </w:rPr>
              <w:t>km</w:t>
            </w:r>
            <w:r>
              <w:rPr>
                <w:rFonts w:hint="eastAsia" w:cs="Times New Roman"/>
                <w:color w:val="auto"/>
                <w:sz w:val="21"/>
                <w:szCs w:val="21"/>
                <w:vertAlign w:val="superscript"/>
                <w:lang w:val="en-US" w:eastAsia="zh-CN"/>
              </w:rPr>
              <w:t>2</w:t>
            </w:r>
          </w:p>
        </w:tc>
        <w:tc>
          <w:tcPr>
            <w:tcW w:w="813"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东北，4.7km</w:t>
            </w:r>
          </w:p>
        </w:tc>
      </w:tr>
    </w:tbl>
    <w:p>
      <w:pPr>
        <w:widowControl w:val="0"/>
        <w:spacing w:line="480" w:lineRule="exact"/>
        <w:ind w:firstLine="482" w:firstLineChars="200"/>
        <w:jc w:val="both"/>
        <w:rPr>
          <w:rFonts w:hint="default" w:ascii="Times New Roman" w:hAnsi="Times New Roman" w:eastAsia="宋体" w:cs="Times New Roman"/>
          <w:b/>
          <w:bCs/>
          <w:color w:val="auto"/>
          <w:lang w:bidi="ar"/>
        </w:rPr>
      </w:pPr>
      <w:r>
        <w:rPr>
          <w:rFonts w:hint="default" w:ascii="Times New Roman" w:hAnsi="Times New Roman" w:eastAsia="宋体" w:cs="Times New Roman"/>
          <w:b/>
          <w:bCs/>
          <w:color w:val="auto"/>
          <w:lang w:eastAsia="zh-CN" w:bidi="ar"/>
        </w:rPr>
        <w:t>（</w:t>
      </w:r>
      <w:r>
        <w:rPr>
          <w:rFonts w:hint="default" w:ascii="Times New Roman" w:hAnsi="Times New Roman" w:eastAsia="宋体" w:cs="Times New Roman"/>
          <w:b/>
          <w:bCs/>
          <w:color w:val="auto"/>
          <w:lang w:val="en-US" w:eastAsia="zh-CN" w:bidi="ar"/>
        </w:rPr>
        <w:t>2</w:t>
      </w:r>
      <w:r>
        <w:rPr>
          <w:rFonts w:hint="default" w:ascii="Times New Roman" w:hAnsi="Times New Roman" w:eastAsia="宋体" w:cs="Times New Roman"/>
          <w:b/>
          <w:bCs/>
          <w:color w:val="auto"/>
          <w:lang w:eastAsia="zh-CN" w:bidi="ar"/>
        </w:rPr>
        <w:t>）</w:t>
      </w:r>
      <w:r>
        <w:rPr>
          <w:rFonts w:hint="default" w:ascii="Times New Roman" w:hAnsi="Times New Roman" w:eastAsia="宋体" w:cs="Times New Roman"/>
          <w:b/>
          <w:bCs/>
          <w:color w:val="auto"/>
          <w:lang w:bidi="ar"/>
        </w:rPr>
        <w:t>生态红线管控区管理规定及协调性分析</w:t>
      </w:r>
    </w:p>
    <w:p>
      <w:pPr>
        <w:widowControl w:val="0"/>
        <w:spacing w:line="480" w:lineRule="exact"/>
        <w:ind w:firstLine="480" w:firstLineChars="200"/>
        <w:jc w:val="both"/>
        <w:rPr>
          <w:rFonts w:hint="default" w:ascii="Times New Roman" w:hAnsi="Times New Roman" w:eastAsia="宋体" w:cs="Times New Roman"/>
          <w:color w:val="auto"/>
          <w:highlight w:val="none"/>
          <w:lang w:bidi="ar"/>
        </w:rPr>
      </w:pPr>
      <w:r>
        <w:rPr>
          <w:rFonts w:hint="default" w:ascii="Times New Roman" w:hAnsi="Times New Roman" w:eastAsia="宋体" w:cs="Times New Roman"/>
          <w:color w:val="auto"/>
          <w:highlight w:val="none"/>
          <w:lang w:val="en-US" w:eastAsia="zh-CN" w:bidi="ar"/>
        </w:rPr>
        <w:t>1）</w:t>
      </w:r>
      <w:r>
        <w:rPr>
          <w:rFonts w:hint="default" w:ascii="Times New Roman" w:hAnsi="Times New Roman" w:eastAsia="宋体" w:cs="Times New Roman"/>
          <w:color w:val="auto"/>
          <w:highlight w:val="none"/>
          <w:lang w:bidi="ar"/>
        </w:rPr>
        <w:t>生态红线管控区管理规定及协调性分析</w:t>
      </w:r>
    </w:p>
    <w:p>
      <w:pPr>
        <w:widowControl w:val="0"/>
        <w:spacing w:line="480" w:lineRule="exact"/>
        <w:ind w:firstLine="480" w:firstLineChars="200"/>
        <w:jc w:val="both"/>
        <w:rPr>
          <w:rFonts w:hint="default" w:ascii="Times New Roman" w:hAnsi="Times New Roman" w:eastAsia="宋体" w:cs="Times New Roman"/>
          <w:color w:val="auto"/>
          <w:highlight w:val="none"/>
          <w:lang w:bidi="ar"/>
        </w:rPr>
      </w:pPr>
      <w:r>
        <w:rPr>
          <w:rFonts w:hint="default" w:ascii="Times New Roman" w:hAnsi="Times New Roman" w:eastAsia="宋体" w:cs="Times New Roman"/>
          <w:color w:val="auto"/>
          <w:highlight w:val="none"/>
          <w:lang w:bidi="ar"/>
        </w:rPr>
        <w:t>目前江苏省国家级生态保护红线暂未发布管控措施，本次管控措施要求协调性评价以《江苏省生态空间管控区域规划》（2020年）进行分析。</w:t>
      </w:r>
    </w:p>
    <w:p>
      <w:pPr>
        <w:widowControl w:val="0"/>
        <w:spacing w:line="480" w:lineRule="exact"/>
        <w:ind w:firstLine="480" w:firstLineChars="200"/>
        <w:jc w:val="both"/>
        <w:rPr>
          <w:rFonts w:hint="default" w:ascii="Times New Roman" w:hAnsi="Times New Roman" w:eastAsia="宋体" w:cs="Times New Roman"/>
          <w:color w:val="auto"/>
          <w:highlight w:val="none"/>
          <w:lang w:bidi="ar"/>
        </w:rPr>
      </w:pPr>
      <w:r>
        <w:rPr>
          <w:rFonts w:hint="default" w:ascii="Times New Roman" w:hAnsi="Times New Roman" w:eastAsia="宋体" w:cs="Times New Roman"/>
          <w:color w:val="auto"/>
          <w:highlight w:val="none"/>
          <w:lang w:val="en-US" w:eastAsia="zh-CN" w:bidi="ar"/>
        </w:rPr>
        <w:t>2）</w:t>
      </w:r>
      <w:r>
        <w:rPr>
          <w:rFonts w:hint="default" w:ascii="Times New Roman" w:hAnsi="Times New Roman" w:eastAsia="宋体" w:cs="Times New Roman"/>
          <w:color w:val="auto"/>
          <w:highlight w:val="none"/>
          <w:lang w:bidi="ar"/>
        </w:rPr>
        <w:t>太湖</w:t>
      </w:r>
      <w:r>
        <w:rPr>
          <w:rFonts w:hint="default" w:ascii="Times New Roman" w:hAnsi="Times New Roman" w:eastAsia="宋体" w:cs="Times New Roman"/>
          <w:color w:val="auto"/>
          <w:highlight w:val="none"/>
          <w:lang w:val="en-US" w:eastAsia="zh-CN" w:bidi="ar"/>
        </w:rPr>
        <w:t>渔洋山</w:t>
      </w:r>
      <w:r>
        <w:rPr>
          <w:rFonts w:hint="default" w:ascii="Times New Roman" w:hAnsi="Times New Roman" w:eastAsia="宋体" w:cs="Times New Roman"/>
          <w:color w:val="auto"/>
          <w:highlight w:val="none"/>
          <w:lang w:bidi="ar"/>
        </w:rPr>
        <w:t>饮用水水源保护区理规定及协调性分析</w:t>
      </w:r>
    </w:p>
    <w:p>
      <w:pPr>
        <w:widowControl w:val="0"/>
        <w:spacing w:line="480" w:lineRule="exact"/>
        <w:ind w:firstLine="480" w:firstLineChars="200"/>
        <w:jc w:val="both"/>
        <w:rPr>
          <w:rFonts w:hint="default" w:ascii="Times New Roman" w:hAnsi="Times New Roman" w:eastAsia="宋体" w:cs="Times New Roman"/>
          <w:color w:val="auto"/>
          <w:highlight w:val="none"/>
          <w:lang w:bidi="ar"/>
        </w:rPr>
      </w:pPr>
      <w:r>
        <w:rPr>
          <w:rFonts w:hint="default" w:ascii="Times New Roman" w:hAnsi="Times New Roman" w:eastAsia="宋体" w:cs="Times New Roman"/>
          <w:color w:val="auto"/>
          <w:highlight w:val="none"/>
          <w:lang w:val="en-US" w:eastAsia="zh-CN" w:bidi="ar"/>
        </w:rPr>
        <w:t>①</w:t>
      </w:r>
      <w:r>
        <w:rPr>
          <w:rFonts w:hint="default" w:ascii="Times New Roman" w:hAnsi="Times New Roman" w:eastAsia="宋体" w:cs="Times New Roman"/>
          <w:color w:val="auto"/>
          <w:highlight w:val="none"/>
          <w:lang w:bidi="ar"/>
        </w:rPr>
        <w:t>太湖</w:t>
      </w:r>
      <w:r>
        <w:rPr>
          <w:rFonts w:hint="default" w:ascii="Times New Roman" w:hAnsi="Times New Roman" w:eastAsia="宋体" w:cs="Times New Roman"/>
          <w:color w:val="auto"/>
          <w:highlight w:val="none"/>
          <w:lang w:val="en-US" w:eastAsia="zh-CN" w:bidi="ar"/>
        </w:rPr>
        <w:t>渔洋山</w:t>
      </w:r>
      <w:r>
        <w:rPr>
          <w:rFonts w:hint="default" w:ascii="Times New Roman" w:hAnsi="Times New Roman" w:eastAsia="宋体" w:cs="Times New Roman"/>
          <w:color w:val="auto"/>
          <w:highlight w:val="none"/>
          <w:lang w:bidi="ar"/>
        </w:rPr>
        <w:t>饮用水水源保护区管控要求</w:t>
      </w:r>
    </w:p>
    <w:p>
      <w:pPr>
        <w:widowControl w:val="0"/>
        <w:spacing w:line="480" w:lineRule="exact"/>
        <w:ind w:firstLine="480" w:firstLineChars="200"/>
        <w:jc w:val="both"/>
        <w:rPr>
          <w:rFonts w:hint="default" w:ascii="Times New Roman" w:hAnsi="Times New Roman" w:eastAsia="宋体" w:cs="Times New Roman"/>
          <w:color w:val="auto"/>
          <w:highlight w:val="none"/>
          <w:lang w:bidi="ar"/>
        </w:rPr>
      </w:pPr>
      <w:r>
        <w:rPr>
          <w:rFonts w:hint="default" w:ascii="Times New Roman" w:hAnsi="Times New Roman" w:eastAsia="宋体" w:cs="Times New Roman"/>
          <w:color w:val="auto"/>
          <w:highlight w:val="none"/>
          <w:lang w:bidi="ar"/>
        </w:rPr>
        <w:t>国家级生态保护红线内严禁不符合主体功能定位的各类开发活动。</w:t>
      </w:r>
    </w:p>
    <w:bookmarkEnd w:id="159"/>
    <w:bookmarkEnd w:id="160"/>
    <w:bookmarkEnd w:id="161"/>
    <w:p>
      <w:pPr>
        <w:widowControl w:val="0"/>
        <w:spacing w:line="480" w:lineRule="exact"/>
        <w:ind w:firstLine="480" w:firstLineChars="200"/>
        <w:jc w:val="both"/>
        <w:rPr>
          <w:rFonts w:hint="default" w:ascii="Times New Roman" w:hAnsi="Times New Roman" w:eastAsia="宋体" w:cs="Times New Roman"/>
          <w:color w:val="auto"/>
          <w:lang w:bidi="ar"/>
        </w:rPr>
      </w:pPr>
      <w:r>
        <w:rPr>
          <w:rFonts w:hint="default" w:ascii="Times New Roman" w:hAnsi="Times New Roman" w:eastAsia="宋体" w:cs="Times New Roman"/>
          <w:color w:val="auto"/>
          <w:lang w:bidi="ar"/>
        </w:rPr>
        <w:t>生态空间管控区域内除国家另有规定外，禁止下列行为：新建、扩建排放含持久性有机污染物和含汞、镉、铅、砷、硫、铬、氰化物等污染物的建设项目；新建、扩建化学制浆造纸、制革、电镀、印制线路板、印染、染料、炼油、炼焦、农药、石棉、水泥、玻璃、冶炼等建设项目；排放省人民政府公布的有机毒物控制名录中确定的污染物；建设高尔夫球场、废物回收（加工）场和有毒有害物品仓库、堆栈，或者设置煤场、灰场、垃圾填埋场；新建、扩建对水体污染严重的其他建设项目，或者从事法律、法规禁止的其他活动；设置排污口；从事危险化学品装卸作业或者煤炭、矿砂、水泥等散货装卸作业；设置水上餐饮、娱乐设施（场所），从事船舶、机动车等修造、拆解作业，或者在水域内采砂、取土；围垦河道和滩地，从事围网、网箱养殖，或者设置屠宰场；新建、改建、扩建排放污染物的其他建设项目，或者从事法律、法规禁止的其他活动。在饮用水水源地二级保护区内从事旅游等经营活动的，应当采取措施防止污染饮用水水体。</w:t>
      </w:r>
    </w:p>
    <w:p>
      <w:pPr>
        <w:widowControl w:val="0"/>
        <w:spacing w:line="480" w:lineRule="exact"/>
        <w:ind w:firstLine="480" w:firstLineChars="200"/>
        <w:jc w:val="both"/>
        <w:rPr>
          <w:rFonts w:hint="default" w:ascii="Times New Roman" w:hAnsi="Times New Roman" w:eastAsia="宋体" w:cs="Times New Roman"/>
          <w:color w:val="auto"/>
          <w:lang w:bidi="ar"/>
        </w:rPr>
      </w:pPr>
      <w:r>
        <w:rPr>
          <w:rFonts w:hint="default" w:ascii="Times New Roman" w:hAnsi="Times New Roman" w:eastAsia="宋体" w:cs="Times New Roman"/>
          <w:color w:val="auto"/>
          <w:lang w:bidi="ar"/>
        </w:rPr>
        <w:t>②工程与太湖</w:t>
      </w:r>
      <w:r>
        <w:rPr>
          <w:rFonts w:hint="default" w:ascii="Times New Roman" w:hAnsi="Times New Roman" w:eastAsia="宋体" w:cs="Times New Roman"/>
          <w:color w:val="auto"/>
          <w:lang w:val="en-US" w:eastAsia="zh-CN" w:bidi="ar"/>
        </w:rPr>
        <w:t>渔洋山</w:t>
      </w:r>
      <w:r>
        <w:rPr>
          <w:rFonts w:hint="default" w:ascii="Times New Roman" w:hAnsi="Times New Roman" w:eastAsia="宋体" w:cs="Times New Roman"/>
          <w:color w:val="auto"/>
          <w:lang w:bidi="ar"/>
        </w:rPr>
        <w:t>饮用水水源保护区协调性分析</w:t>
      </w:r>
    </w:p>
    <w:p>
      <w:pPr>
        <w:widowControl w:val="0"/>
        <w:spacing w:line="480" w:lineRule="exact"/>
        <w:ind w:firstLine="480" w:firstLineChars="200"/>
        <w:jc w:val="both"/>
        <w:rPr>
          <w:rFonts w:hint="default" w:ascii="Times New Roman" w:hAnsi="Times New Roman" w:eastAsia="宋体" w:cs="Times New Roman"/>
          <w:color w:val="auto"/>
          <w:lang w:bidi="ar"/>
        </w:rPr>
      </w:pPr>
      <w:r>
        <w:rPr>
          <w:rFonts w:hint="eastAsia" w:cs="Times New Roman"/>
          <w:color w:val="auto"/>
          <w:highlight w:val="none"/>
          <w:lang w:eastAsia="zh-CN" w:bidi="ar"/>
        </w:rPr>
        <w:t>本项目</w:t>
      </w:r>
      <w:r>
        <w:rPr>
          <w:rFonts w:hint="eastAsia" w:cs="Times New Roman"/>
          <w:color w:val="auto"/>
          <w:highlight w:val="none"/>
          <w:lang w:val="en-US" w:eastAsia="zh-CN" w:bidi="ar"/>
        </w:rPr>
        <w:t>工程</w:t>
      </w:r>
      <w:r>
        <w:rPr>
          <w:rFonts w:hint="default" w:ascii="Times New Roman" w:hAnsi="Times New Roman" w:eastAsia="宋体" w:cs="Times New Roman"/>
          <w:color w:val="auto"/>
          <w:highlight w:val="none"/>
          <w:lang w:bidi="ar"/>
        </w:rPr>
        <w:t>位于太湖</w:t>
      </w:r>
      <w:r>
        <w:rPr>
          <w:rFonts w:hint="default" w:ascii="Times New Roman" w:hAnsi="Times New Roman" w:eastAsia="宋体" w:cs="Times New Roman"/>
          <w:color w:val="auto"/>
          <w:highlight w:val="none"/>
          <w:lang w:eastAsia="zh-CN" w:bidi="ar"/>
        </w:rPr>
        <w:t>渔洋山</w:t>
      </w:r>
      <w:r>
        <w:rPr>
          <w:rFonts w:hint="default" w:ascii="Times New Roman" w:hAnsi="Times New Roman" w:eastAsia="宋体" w:cs="Times New Roman"/>
          <w:color w:val="auto"/>
          <w:highlight w:val="none"/>
          <w:lang w:bidi="ar"/>
        </w:rPr>
        <w:t>饮用水水源保护区国家级生态保护红线范围内，其最近的地方距离取水口约</w:t>
      </w:r>
      <w:r>
        <w:rPr>
          <w:rFonts w:hint="eastAsia" w:cs="Times New Roman"/>
          <w:color w:val="auto"/>
          <w:highlight w:val="none"/>
          <w:lang w:val="en-US" w:eastAsia="zh-CN" w:bidi="ar"/>
        </w:rPr>
        <w:t>430</w:t>
      </w:r>
      <w:r>
        <w:rPr>
          <w:rFonts w:hint="default" w:ascii="Times New Roman" w:hAnsi="Times New Roman" w:eastAsia="宋体" w:cs="Times New Roman"/>
          <w:color w:val="auto"/>
          <w:highlight w:val="none"/>
          <w:lang w:bidi="ar"/>
        </w:rPr>
        <w:t>m，施工期采取废水、废气、噪声、固废、生态环境等污染防治措施，可使废水、废气、噪声达标排放，固废得到妥善处置</w:t>
      </w:r>
      <w:r>
        <w:rPr>
          <w:rFonts w:hint="eastAsia" w:cs="Times New Roman"/>
          <w:color w:val="auto"/>
          <w:highlight w:val="none"/>
          <w:lang w:eastAsia="zh-CN" w:bidi="ar"/>
        </w:rPr>
        <w:t>，</w:t>
      </w:r>
      <w:r>
        <w:rPr>
          <w:rFonts w:hint="default" w:ascii="Times New Roman" w:hAnsi="Times New Roman" w:eastAsia="宋体" w:cs="Times New Roman"/>
          <w:color w:val="auto"/>
          <w:highlight w:val="none"/>
          <w:lang w:bidi="ar"/>
        </w:rPr>
        <w:t>对城市供水没有影响。</w:t>
      </w:r>
      <w:r>
        <w:rPr>
          <w:rFonts w:hint="eastAsia" w:cs="Times New Roman"/>
          <w:color w:val="auto"/>
          <w:highlight w:val="none"/>
          <w:lang w:val="en-US" w:eastAsia="zh-CN" w:bidi="ar"/>
        </w:rPr>
        <w:t>且本项目</w:t>
      </w:r>
      <w:r>
        <w:rPr>
          <w:rFonts w:hint="default" w:ascii="Times New Roman" w:hAnsi="Times New Roman" w:eastAsia="宋体" w:cs="Times New Roman"/>
          <w:color w:val="auto"/>
          <w:lang w:bidi="ar"/>
        </w:rPr>
        <w:t>工程实施后</w:t>
      </w:r>
      <w:r>
        <w:rPr>
          <w:rFonts w:hint="default" w:ascii="Times New Roman" w:hAnsi="Times New Roman" w:eastAsia="宋体" w:cs="Times New Roman"/>
          <w:color w:val="auto"/>
          <w:lang w:eastAsia="zh-CN" w:bidi="ar"/>
        </w:rPr>
        <w:t>，</w:t>
      </w:r>
      <w:r>
        <w:rPr>
          <w:rFonts w:hint="default" w:ascii="Times New Roman" w:hAnsi="Times New Roman" w:eastAsia="宋体" w:cs="Times New Roman"/>
          <w:color w:val="auto"/>
          <w:lang w:bidi="ar"/>
        </w:rPr>
        <w:t>可以促进水体的流动与交换</w:t>
      </w:r>
      <w:r>
        <w:rPr>
          <w:rFonts w:hint="eastAsia" w:cs="Times New Roman"/>
          <w:color w:val="auto"/>
          <w:lang w:eastAsia="zh-CN" w:bidi="ar"/>
        </w:rPr>
        <w:t>，</w:t>
      </w:r>
      <w:r>
        <w:rPr>
          <w:rFonts w:hint="eastAsia" w:cs="Times New Roman"/>
          <w:color w:val="auto"/>
          <w:lang w:val="en-US" w:eastAsia="zh-CN" w:bidi="ar"/>
        </w:rPr>
        <w:t>改善水源地水质</w:t>
      </w:r>
      <w:r>
        <w:rPr>
          <w:rFonts w:hint="default" w:ascii="Times New Roman" w:hAnsi="Times New Roman" w:eastAsia="宋体" w:cs="Times New Roman"/>
          <w:color w:val="auto"/>
          <w:lang w:bidi="ar"/>
        </w:rPr>
        <w:t>。</w:t>
      </w:r>
    </w:p>
    <w:p>
      <w:pPr>
        <w:widowControl w:val="0"/>
        <w:spacing w:line="480" w:lineRule="exact"/>
        <w:ind w:firstLine="480" w:firstLineChars="200"/>
        <w:jc w:val="both"/>
        <w:rPr>
          <w:rFonts w:hint="default" w:ascii="Times New Roman" w:hAnsi="Times New Roman" w:eastAsia="宋体" w:cs="Times New Roman"/>
          <w:color w:val="auto"/>
          <w:lang w:bidi="ar"/>
        </w:rPr>
      </w:pPr>
      <w:r>
        <w:rPr>
          <w:rFonts w:hint="default" w:ascii="Times New Roman" w:hAnsi="Times New Roman" w:eastAsia="宋体" w:cs="Times New Roman"/>
          <w:color w:val="auto"/>
          <w:lang w:val="en-US" w:eastAsia="zh-CN" w:bidi="ar"/>
        </w:rPr>
        <w:t>本</w:t>
      </w:r>
      <w:r>
        <w:rPr>
          <w:rFonts w:hint="default" w:ascii="Times New Roman" w:hAnsi="Times New Roman" w:eastAsia="宋体" w:cs="Times New Roman"/>
          <w:color w:val="auto"/>
          <w:lang w:bidi="ar"/>
        </w:rPr>
        <w:t>项目为生态治理工程，工程不包括任何开发建设活动，不属于生态空间管控区域内禁止行为。项目实施后，在保护区范围内不从事任何旅游等经营活动。有利于改善太湖区域水环境、满足区域供水的需要，提高城市供水安全保障能力。符合太湖</w:t>
      </w:r>
      <w:r>
        <w:rPr>
          <w:rFonts w:hint="default" w:ascii="Times New Roman" w:hAnsi="Times New Roman" w:eastAsia="宋体" w:cs="Times New Roman"/>
          <w:color w:val="auto"/>
          <w:lang w:val="en-US" w:eastAsia="zh-CN" w:bidi="ar"/>
        </w:rPr>
        <w:t>渔洋山</w:t>
      </w:r>
      <w:r>
        <w:rPr>
          <w:rFonts w:hint="default" w:ascii="Times New Roman" w:hAnsi="Times New Roman" w:eastAsia="宋体" w:cs="Times New Roman"/>
          <w:color w:val="auto"/>
          <w:lang w:bidi="ar"/>
        </w:rPr>
        <w:t>饮用水水源保护区生态空间管控要求。</w:t>
      </w:r>
    </w:p>
    <w:p>
      <w:pPr>
        <w:widowControl w:val="0"/>
        <w:numPr>
          <w:ilvl w:val="0"/>
          <w:numId w:val="12"/>
        </w:numPr>
        <w:spacing w:line="480" w:lineRule="exact"/>
        <w:ind w:left="-2" w:leftChars="0" w:firstLine="482" w:firstLineChars="0"/>
        <w:jc w:val="both"/>
        <w:rPr>
          <w:rFonts w:hint="default" w:ascii="Times New Roman" w:hAnsi="Times New Roman" w:eastAsia="宋体" w:cs="Times New Roman"/>
          <w:b/>
          <w:bCs/>
          <w:color w:val="auto"/>
          <w:lang w:val="en-US" w:eastAsia="zh-CN" w:bidi="ar"/>
        </w:rPr>
      </w:pPr>
      <w:r>
        <w:rPr>
          <w:rFonts w:hint="default" w:ascii="Times New Roman" w:hAnsi="Times New Roman" w:eastAsia="宋体" w:cs="Times New Roman"/>
          <w:b/>
          <w:bCs/>
          <w:color w:val="auto"/>
          <w:lang w:val="en-US" w:eastAsia="zh-CN" w:bidi="ar"/>
        </w:rPr>
        <w:t>环境质量底线</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①环境空气</w:t>
      </w:r>
    </w:p>
    <w:p>
      <w:pPr>
        <w:spacing w:line="480" w:lineRule="exact"/>
        <w:ind w:firstLine="480" w:firstLineChars="20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根据《2020年度苏州市生态环境状况公报》</w:t>
      </w:r>
      <w:r>
        <w:rPr>
          <w:rFonts w:hint="default" w:ascii="Times New Roman" w:hAnsi="Times New Roman" w:eastAsia="宋体" w:cs="Times New Roman"/>
          <w:color w:val="auto"/>
          <w:lang w:eastAsia="zh-CN"/>
        </w:rPr>
        <w:t>，2020年苏州市区环境空气质量优良天数比率为84.4%。</w:t>
      </w:r>
      <w:r>
        <w:rPr>
          <w:rFonts w:hint="default" w:ascii="Times New Roman" w:hAnsi="Times New Roman" w:eastAsia="宋体" w:cs="Times New Roman"/>
          <w:color w:val="auto"/>
          <w:lang w:val="en-US" w:eastAsia="zh-CN"/>
        </w:rPr>
        <w:t>苏州市区</w:t>
      </w:r>
      <w:r>
        <w:rPr>
          <w:rFonts w:hint="default" w:ascii="Times New Roman" w:hAnsi="Times New Roman" w:eastAsia="宋体" w:cs="Times New Roman"/>
          <w:color w:val="auto"/>
          <w:lang w:eastAsia="zh-CN"/>
        </w:rPr>
        <w:t>细颗粒物（PM</w:t>
      </w:r>
      <w:r>
        <w:rPr>
          <w:rFonts w:hint="default" w:ascii="Times New Roman" w:hAnsi="Times New Roman" w:eastAsia="宋体" w:cs="Times New Roman"/>
          <w:color w:val="auto"/>
          <w:vertAlign w:val="subscript"/>
          <w:lang w:eastAsia="zh-CN"/>
        </w:rPr>
        <w:t>2.5</w:t>
      </w:r>
      <w:r>
        <w:rPr>
          <w:rFonts w:hint="default" w:ascii="Times New Roman" w:hAnsi="Times New Roman" w:eastAsia="宋体" w:cs="Times New Roman"/>
          <w:color w:val="auto"/>
          <w:lang w:eastAsia="zh-CN"/>
        </w:rPr>
        <w:t>）、可吸入颗粒物（PM</w:t>
      </w:r>
      <w:r>
        <w:rPr>
          <w:rFonts w:hint="default" w:ascii="Times New Roman" w:hAnsi="Times New Roman" w:eastAsia="宋体" w:cs="Times New Roman"/>
          <w:color w:val="auto"/>
          <w:vertAlign w:val="subscript"/>
          <w:lang w:eastAsia="zh-CN"/>
        </w:rPr>
        <w:t>10</w:t>
      </w:r>
      <w:r>
        <w:rPr>
          <w:rFonts w:hint="default" w:ascii="Times New Roman" w:hAnsi="Times New Roman" w:eastAsia="宋体" w:cs="Times New Roman"/>
          <w:color w:val="auto"/>
          <w:lang w:eastAsia="zh-CN"/>
        </w:rPr>
        <w:t>）、二氧化硫（SO</w:t>
      </w:r>
      <w:r>
        <w:rPr>
          <w:rFonts w:hint="default" w:ascii="Times New Roman" w:hAnsi="Times New Roman" w:eastAsia="宋体" w:cs="Times New Roman"/>
          <w:color w:val="auto"/>
          <w:vertAlign w:val="subscript"/>
          <w:lang w:eastAsia="zh-CN"/>
        </w:rPr>
        <w:t>2</w:t>
      </w:r>
      <w:r>
        <w:rPr>
          <w:rFonts w:hint="default" w:ascii="Times New Roman" w:hAnsi="Times New Roman" w:eastAsia="宋体" w:cs="Times New Roman"/>
          <w:color w:val="auto"/>
          <w:lang w:eastAsia="zh-CN"/>
        </w:rPr>
        <w:t>）、二氧化氮（NO</w:t>
      </w:r>
      <w:r>
        <w:rPr>
          <w:rFonts w:hint="default" w:ascii="Times New Roman" w:hAnsi="Times New Roman" w:eastAsia="宋体" w:cs="Times New Roman"/>
          <w:color w:val="auto"/>
          <w:vertAlign w:val="subscript"/>
          <w:lang w:eastAsia="zh-CN"/>
        </w:rPr>
        <w:t>2</w:t>
      </w:r>
      <w:r>
        <w:rPr>
          <w:rFonts w:hint="default" w:ascii="Times New Roman" w:hAnsi="Times New Roman" w:eastAsia="宋体" w:cs="Times New Roman"/>
          <w:color w:val="auto"/>
          <w:lang w:eastAsia="zh-CN"/>
        </w:rPr>
        <w:t>）年均浓度分别为</w:t>
      </w:r>
      <w:r>
        <w:rPr>
          <w:rFonts w:hint="default" w:ascii="Times New Roman" w:hAnsi="Times New Roman" w:eastAsia="宋体" w:cs="Times New Roman"/>
          <w:color w:val="auto"/>
          <w:lang w:val="en-US" w:eastAsia="zh-CN"/>
        </w:rPr>
        <w:t>33</w:t>
      </w:r>
      <w:r>
        <w:rPr>
          <w:rFonts w:hint="default" w:ascii="Times New Roman" w:hAnsi="Times New Roman" w:eastAsia="宋体" w:cs="Times New Roman"/>
          <w:color w:val="auto"/>
          <w:lang w:eastAsia="zh-CN"/>
        </w:rPr>
        <w:t>微克/立方米、</w:t>
      </w:r>
      <w:r>
        <w:rPr>
          <w:rFonts w:hint="default" w:ascii="Times New Roman" w:hAnsi="Times New Roman" w:eastAsia="宋体" w:cs="Times New Roman"/>
          <w:color w:val="auto"/>
          <w:lang w:val="en-US" w:eastAsia="zh-CN"/>
        </w:rPr>
        <w:t>47</w:t>
      </w:r>
      <w:r>
        <w:rPr>
          <w:rFonts w:hint="default" w:ascii="Times New Roman" w:hAnsi="Times New Roman" w:eastAsia="宋体" w:cs="Times New Roman"/>
          <w:color w:val="auto"/>
          <w:lang w:eastAsia="zh-CN"/>
        </w:rPr>
        <w:t>微克/立方米、6微克/立方米和3</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lang w:eastAsia="zh-CN"/>
        </w:rPr>
        <w:t>微克/立方米；一氧化碳（CO）和臭氧（O</w:t>
      </w:r>
      <w:r>
        <w:rPr>
          <w:rFonts w:hint="default" w:ascii="Times New Roman" w:hAnsi="Times New Roman" w:eastAsia="宋体" w:cs="Times New Roman"/>
          <w:color w:val="auto"/>
          <w:vertAlign w:val="subscript"/>
          <w:lang w:eastAsia="zh-CN"/>
        </w:rPr>
        <w:t>3</w:t>
      </w:r>
      <w:r>
        <w:rPr>
          <w:rFonts w:hint="default" w:ascii="Times New Roman" w:hAnsi="Times New Roman" w:eastAsia="宋体" w:cs="Times New Roman"/>
          <w:color w:val="auto"/>
          <w:lang w:eastAsia="zh-CN"/>
        </w:rPr>
        <w:t>）浓度分别为1.</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eastAsia="zh-CN"/>
        </w:rPr>
        <w:t>毫克/立方米和16</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eastAsia="zh-CN"/>
        </w:rPr>
        <w:t>微克/立方米。细颗粒物、可吸入颗粒物、二氧化硫、二氧化氮、一氧化碳指标年均值达到国家《环境空气质量标准》（GB3095-2012）及其修改单中年均值的二级标准，臭氧的年均值未达到国家《环境空气质量标准》（GB3095-2012）其修改单中年均值的二级标准。</w:t>
      </w:r>
    </w:p>
    <w:p>
      <w:pPr>
        <w:spacing w:line="480" w:lineRule="exact"/>
        <w:ind w:firstLine="480" w:firstLineChars="200"/>
        <w:jc w:val="both"/>
        <w:rPr>
          <w:rFonts w:hint="default" w:ascii="Times New Roman" w:hAnsi="Times New Roman" w:eastAsia="宋体" w:cs="Times New Roman"/>
          <w:color w:val="FF0000"/>
        </w:rPr>
      </w:pPr>
      <w:r>
        <w:rPr>
          <w:rFonts w:hint="default" w:ascii="Times New Roman" w:hAnsi="Times New Roman" w:eastAsia="宋体" w:cs="Times New Roman"/>
          <w:color w:val="auto"/>
        </w:rPr>
        <w:t>根据《环境影响评价技术导则大气环境》（HJ2.2-2018），苏州</w:t>
      </w:r>
      <w:r>
        <w:rPr>
          <w:rFonts w:hint="default" w:ascii="Times New Roman" w:hAnsi="Times New Roman" w:eastAsia="宋体" w:cs="Times New Roman"/>
          <w:color w:val="auto"/>
          <w:lang w:val="en-US" w:eastAsia="zh-CN"/>
        </w:rPr>
        <w:t>市</w:t>
      </w:r>
      <w:r>
        <w:rPr>
          <w:rFonts w:hint="default" w:ascii="Times New Roman" w:hAnsi="Times New Roman" w:eastAsia="宋体" w:cs="Times New Roman"/>
          <w:color w:val="auto"/>
        </w:rPr>
        <w:t>区环境控制属于不达标区。工程项目运营期对空气质量无影响，施工期正常生产情况下，控制好施工扬尘，项目对评价区环境敏感目标影响较小。</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根据《苏州市空气质量改善达标规划2019-2024》，苏州市环境空气质量在2024 年实现全面达标。</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市政府在《苏州市空气质量改善达标规划（2019-2024年）》中提出了综合治理大气污染的7项措施，到2024年苏州市PM</w:t>
      </w:r>
      <w:r>
        <w:rPr>
          <w:rFonts w:hint="default" w:ascii="Times New Roman" w:hAnsi="Times New Roman" w:eastAsia="宋体" w:cs="Times New Roman"/>
          <w:color w:val="auto"/>
          <w:vertAlign w:val="subscript"/>
          <w:lang w:val="en-US" w:eastAsia="zh-CN"/>
        </w:rPr>
        <w:t>2.5</w:t>
      </w:r>
      <w:r>
        <w:rPr>
          <w:rFonts w:hint="default" w:ascii="Times New Roman" w:hAnsi="Times New Roman" w:eastAsia="宋体" w:cs="Times New Roman"/>
          <w:color w:val="auto"/>
          <w:lang w:val="en-US" w:eastAsia="zh-CN"/>
        </w:rPr>
        <w:t>浓度达到35μg/m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左右，O</w:t>
      </w:r>
      <w:r>
        <w:rPr>
          <w:rFonts w:hint="default" w:ascii="Times New Roman" w:hAnsi="Times New Roman" w:eastAsia="宋体" w:cs="Times New Roman"/>
          <w:color w:val="auto"/>
          <w:vertAlign w:val="subscript"/>
          <w:lang w:val="en-US" w:eastAsia="zh-CN"/>
        </w:rPr>
        <w:t>3</w:t>
      </w:r>
      <w:r>
        <w:rPr>
          <w:rFonts w:hint="default" w:ascii="Times New Roman" w:hAnsi="Times New Roman" w:eastAsia="宋体" w:cs="Times New Roman"/>
          <w:color w:val="auto"/>
          <w:lang w:val="en-US" w:eastAsia="zh-CN"/>
        </w:rPr>
        <w:t>浓度达到拐点，除O</w:t>
      </w:r>
      <w:r>
        <w:rPr>
          <w:rFonts w:hint="default" w:ascii="Times New Roman" w:hAnsi="Times New Roman" w:eastAsia="宋体" w:cs="Times New Roman"/>
          <w:color w:val="auto"/>
          <w:vertAlign w:val="subscript"/>
          <w:lang w:val="en-US" w:eastAsia="zh-CN"/>
        </w:rPr>
        <w:t>3</w:t>
      </w:r>
      <w:r>
        <w:rPr>
          <w:rFonts w:hint="default" w:ascii="Times New Roman" w:hAnsi="Times New Roman" w:eastAsia="宋体" w:cs="Times New Roman"/>
          <w:color w:val="auto"/>
          <w:lang w:val="en-US" w:eastAsia="zh-CN"/>
        </w:rPr>
        <w:t>以外的主要大气污染物浓度达到国家二级标准要求，空气质量优良天数比率达到80%。</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②地表水环境</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根据现状监测结果</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太湖湖泊</w:t>
      </w:r>
      <w:r>
        <w:rPr>
          <w:rFonts w:hint="eastAsia" w:cs="Times New Roman"/>
          <w:color w:val="auto"/>
          <w:lang w:val="en-US" w:eastAsia="zh-CN"/>
        </w:rPr>
        <w:t>总氮、</w:t>
      </w:r>
      <w:r>
        <w:rPr>
          <w:rFonts w:hint="default" w:ascii="Times New Roman" w:hAnsi="Times New Roman" w:eastAsia="宋体" w:cs="Times New Roman"/>
          <w:color w:val="auto"/>
          <w:lang w:val="en-US" w:eastAsia="zh-CN"/>
        </w:rPr>
        <w:t>总磷</w:t>
      </w:r>
      <w:r>
        <w:rPr>
          <w:rFonts w:hint="eastAsia" w:cs="Times New Roman"/>
          <w:color w:val="auto"/>
          <w:lang w:val="en-US" w:eastAsia="zh-CN"/>
        </w:rPr>
        <w:t>、高锰酸盐指数</w:t>
      </w:r>
      <w:r>
        <w:rPr>
          <w:rFonts w:hint="default" w:ascii="Times New Roman" w:hAnsi="Times New Roman" w:eastAsia="宋体" w:cs="Times New Roman"/>
          <w:color w:val="auto"/>
          <w:lang w:val="en-US" w:eastAsia="zh-CN"/>
        </w:rPr>
        <w:t>超标原因有：</w:t>
      </w:r>
      <w:r>
        <w:rPr>
          <w:rFonts w:hint="eastAsia" w:cs="Times New Roman"/>
          <w:color w:val="auto"/>
          <w:lang w:val="en-US" w:eastAsia="zh-CN"/>
        </w:rPr>
        <w:t>a.</w:t>
      </w:r>
      <w:r>
        <w:rPr>
          <w:rFonts w:hint="default" w:ascii="Times New Roman" w:hAnsi="Times New Roman" w:eastAsia="宋体" w:cs="Times New Roman"/>
          <w:color w:val="auto"/>
          <w:lang w:val="en-US" w:eastAsia="zh-CN"/>
        </w:rPr>
        <w:t>2019年之前太湖周边存在大量养殖户，养殖户施肥养鱼养蟹，肥料中含有大量的含</w:t>
      </w:r>
      <w:r>
        <w:rPr>
          <w:rFonts w:hint="eastAsia" w:cs="Times New Roman"/>
          <w:color w:val="auto"/>
          <w:lang w:val="en-US" w:eastAsia="zh-CN"/>
        </w:rPr>
        <w:t>氮</w:t>
      </w:r>
      <w:r>
        <w:rPr>
          <w:rFonts w:hint="default" w:ascii="Times New Roman" w:hAnsi="Times New Roman" w:eastAsia="宋体" w:cs="Times New Roman"/>
          <w:color w:val="auto"/>
          <w:lang w:val="en-US" w:eastAsia="zh-CN"/>
        </w:rPr>
        <w:t>磷物质，这些物质通过太湖周边沟渠进入太湖；</w:t>
      </w:r>
      <w:r>
        <w:rPr>
          <w:rFonts w:hint="eastAsia" w:cs="Times New Roman"/>
          <w:color w:val="auto"/>
          <w:lang w:val="en-US" w:eastAsia="zh-CN"/>
        </w:rPr>
        <w:t>b.</w:t>
      </w:r>
      <w:r>
        <w:rPr>
          <w:rFonts w:hint="default" w:ascii="Times New Roman" w:hAnsi="Times New Roman" w:eastAsia="宋体" w:cs="Times New Roman"/>
          <w:color w:val="auto"/>
          <w:lang w:val="en-US" w:eastAsia="zh-CN"/>
        </w:rPr>
        <w:t>乡镇企业的快速发展和布局的分散性、经营方式的多变性及其初级粗加工，造成的污染极为严重。</w:t>
      </w:r>
      <w:r>
        <w:rPr>
          <w:rFonts w:hint="eastAsia" w:cs="Times New Roman"/>
          <w:color w:val="auto"/>
          <w:lang w:val="en-US" w:eastAsia="zh-CN"/>
        </w:rPr>
        <w:t>c.</w:t>
      </w:r>
      <w:r>
        <w:rPr>
          <w:rFonts w:hint="default" w:ascii="Times New Roman" w:hAnsi="Times New Roman" w:eastAsia="宋体" w:cs="Times New Roman"/>
          <w:color w:val="auto"/>
          <w:lang w:val="en-US" w:eastAsia="zh-CN"/>
        </w:rPr>
        <w:t>来自生活污水排放和农业面源污染。</w:t>
      </w:r>
      <w:r>
        <w:rPr>
          <w:rFonts w:hint="eastAsia" w:cs="Times New Roman"/>
          <w:color w:val="auto"/>
          <w:lang w:val="en-US" w:eastAsia="zh-CN"/>
        </w:rPr>
        <w:t>d.</w:t>
      </w:r>
      <w:r>
        <w:rPr>
          <w:rFonts w:hint="default" w:ascii="Times New Roman" w:hAnsi="Times New Roman" w:eastAsia="宋体" w:cs="Times New Roman"/>
          <w:color w:val="auto"/>
          <w:lang w:val="en-US" w:eastAsia="zh-CN"/>
        </w:rPr>
        <w:t>治理资金难以到位也是太湖水污染防治未能取得预期效果的重要原因。本项目建设完成后，将能够有效增加水源地水域面积，并能够增加一定的水环境容量，促进水体的流动与交换，可以改善太湖水质。</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为渔洋山水源地生态修复工程，项目在施工期及运营期均不会向水体排放含氮、磷物质，项目的建设有助于改善工程周边水环境质量，可以促进水体的流动与交换，改善湖泊生态环境状况、提升生态系统功能，促进经济可持续发展。</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③声环境质量</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项目附近敏感点声环境均满足《声环境质量标准》(GB3096-2008)中的2类标准。本项目施工过程中，施工机械和施工活动将对区域声环境造成一定的影响，但这些影响是暂时的，随着施工的结束影响也随之消失。</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综上所述，本项目在建设过程中会对周围环境造成一定的影响，但本项目施工期严格执行各项污染防治措施，废气、废水、固废均得到合理处置，对周边影响较不大，不会对区域环境质量底线造成冲击，同时项目投入运营后对改善区域大气环境质量和水环境质量现正效益。</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（3）资源利用上线</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施工过程中所用的资源主要为水、电等。施工生产用水太湖取水，生活用水采用自来水。项目工程范围内已有自来水管网分布，可根据施工需要引接，基本可满足施工生活用水的供应要求。本工程用电量不大，城区供电基本有保障，为确保工程顺利施工，施工单位自备</w:t>
      </w:r>
      <w:r>
        <w:rPr>
          <w:rFonts w:hint="eastAsia" w:cs="Times New Roman"/>
          <w:color w:val="auto"/>
          <w:lang w:val="en-US" w:eastAsia="zh-CN"/>
        </w:rPr>
        <w:t>2</w:t>
      </w:r>
      <w:r>
        <w:rPr>
          <w:rFonts w:hint="default" w:ascii="Times New Roman" w:hAnsi="Times New Roman" w:eastAsia="宋体" w:cs="Times New Roman"/>
          <w:color w:val="auto"/>
          <w:lang w:val="en-US" w:eastAsia="zh-CN"/>
        </w:rPr>
        <w:t>台</w:t>
      </w:r>
      <w:r>
        <w:rPr>
          <w:rFonts w:hint="eastAsia" w:cs="Times New Roman"/>
          <w:color w:val="auto"/>
          <w:lang w:val="en-US" w:eastAsia="zh-CN"/>
        </w:rPr>
        <w:t>120</w:t>
      </w:r>
      <w:r>
        <w:rPr>
          <w:rFonts w:hint="default" w:ascii="Times New Roman" w:hAnsi="Times New Roman" w:eastAsia="宋体" w:cs="Times New Roman"/>
          <w:color w:val="auto"/>
          <w:lang w:val="en-US" w:eastAsia="zh-CN"/>
        </w:rPr>
        <w:t>kW 柴油发电机组。本工程所在地水、电供应基础设施完备，为本工程提供了优越的水、电供应条件。因此，本项目建设符合资源利用上线标准。</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（4）环境准入负面清单</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本项目属于水源地生态修复工程，属于《产业结构调整指导目录（2019年本）》鼓励类</w:t>
      </w:r>
      <w:r>
        <w:rPr>
          <w:rFonts w:hint="eastAsia" w:cs="Times New Roman"/>
          <w:color w:val="auto"/>
          <w:lang w:val="en-US" w:eastAsia="zh-CN"/>
        </w:rPr>
        <w:t>“</w:t>
      </w:r>
      <w:r>
        <w:rPr>
          <w:rFonts w:hint="default" w:ascii="Times New Roman" w:hAnsi="Times New Roman" w:eastAsia="宋体" w:cs="Times New Roman"/>
          <w:color w:val="auto"/>
          <w:lang w:val="en-US" w:eastAsia="zh-CN"/>
        </w:rPr>
        <w:t>二、水利类</w:t>
      </w:r>
      <w:r>
        <w:rPr>
          <w:rFonts w:hint="eastAsia" w:cs="Times New Roman"/>
          <w:color w:val="auto"/>
          <w:lang w:val="en-US" w:eastAsia="zh-CN"/>
        </w:rPr>
        <w:t>”</w:t>
      </w:r>
      <w:r>
        <w:rPr>
          <w:rFonts w:hint="default" w:ascii="Times New Roman" w:hAnsi="Times New Roman" w:eastAsia="宋体" w:cs="Times New Roman"/>
          <w:color w:val="auto"/>
          <w:lang w:val="en-US" w:eastAsia="zh-CN"/>
        </w:rPr>
        <w:t>中</w:t>
      </w:r>
      <w:r>
        <w:rPr>
          <w:rFonts w:hint="eastAsia" w:cs="Times New Roman"/>
          <w:color w:val="auto"/>
          <w:lang w:val="en-US" w:eastAsia="zh-CN"/>
        </w:rPr>
        <w:t>“</w:t>
      </w:r>
      <w:r>
        <w:rPr>
          <w:rFonts w:hint="default" w:ascii="Times New Roman" w:hAnsi="Times New Roman" w:eastAsia="宋体" w:cs="Times New Roman"/>
          <w:color w:val="auto"/>
          <w:lang w:val="en-US" w:eastAsia="zh-CN"/>
        </w:rPr>
        <w:t>20、水源地保护工程（水源地保护区划分、隔离防护、水土保持、水资源保护、水生态环境修复及有关技术开发推广）</w:t>
      </w:r>
      <w:r>
        <w:rPr>
          <w:rFonts w:hint="eastAsia" w:cs="Times New Roman"/>
          <w:color w:val="auto"/>
          <w:lang w:val="en-US" w:eastAsia="zh-CN"/>
        </w:rPr>
        <w:t>”</w:t>
      </w:r>
      <w:r>
        <w:rPr>
          <w:rFonts w:hint="default" w:ascii="Times New Roman" w:hAnsi="Times New Roman" w:eastAsia="宋体" w:cs="Times New Roman"/>
          <w:color w:val="auto"/>
          <w:lang w:val="en-US" w:eastAsia="zh-CN"/>
        </w:rPr>
        <w:t>。</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根据《苏州市主体功能区实施意见》，其</w:t>
      </w:r>
      <w:r>
        <w:rPr>
          <w:rFonts w:hint="eastAsia" w:cs="Times New Roman"/>
          <w:color w:val="auto"/>
          <w:lang w:val="en-US" w:eastAsia="zh-CN"/>
        </w:rPr>
        <w:t>“</w:t>
      </w:r>
      <w:r>
        <w:rPr>
          <w:rFonts w:hint="default" w:ascii="Times New Roman" w:hAnsi="Times New Roman" w:eastAsia="宋体" w:cs="Times New Roman"/>
          <w:color w:val="auto"/>
          <w:lang w:val="en-US" w:eastAsia="zh-CN"/>
        </w:rPr>
        <w:t>禁止开发区域：具有重要生态服务功能、需要特殊保护的区域，除太湖和长江水面外，点状分布于优化和限制开发区域内，应该禁止工业化和城市化开发、必须实行严格管理和维护的自然文化资源保护区域，包括纳入国家和省主体功能区规划的禁止开发区域、自然保护区、风景名胜区、森林公园、地质公园等，还包括饮用水源保护区、清水通道维护区、重要湿地和渔业水域、生态公益林等生态红线区域的一级管控区</w:t>
      </w:r>
      <w:r>
        <w:rPr>
          <w:rFonts w:hint="eastAsia" w:cs="Times New Roman"/>
          <w:color w:val="auto"/>
          <w:lang w:val="en-US" w:eastAsia="zh-CN"/>
        </w:rPr>
        <w:t>”</w:t>
      </w:r>
      <w:r>
        <w:rPr>
          <w:rFonts w:hint="default" w:ascii="Times New Roman" w:hAnsi="Times New Roman" w:eastAsia="宋体" w:cs="Times New Roman"/>
          <w:color w:val="auto"/>
          <w:lang w:val="en-US" w:eastAsia="zh-CN"/>
        </w:rPr>
        <w:t>。</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为渔洋山饮用水源地生态修复工程，建设内容有利于水源地水环境的保护和改善，不属于与保护水源无关的项目，不属于改变饮用水水源保护区用途项目和不符合主体功能区定位要求项目，不属于工业化和城市化开发；对饮用水水源保护区的保护具有正效益；故符合《苏州市主体功能区实施意见》要求。</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符合《江苏省生态空间管控区域规划》和《江苏省国家级生态保护红线规划》相关要求，不属于改变其饮用水水源保护区用途和主体功能区定位开发活动，不属于与保护水源无关的项目，符合《饮用水水源保护区污染防治管理规定》（2010修改）相关规定；根据《市场准入负面清单（2020年版）》，本项目不属于法律法规禁止的项目，不属于不符合主体功能区建设要求的各类开发活动，符合《市场准入负面清单（2020年版）》要求。</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综上所述，本项目符合</w:t>
      </w:r>
      <w:r>
        <w:rPr>
          <w:rFonts w:hint="eastAsia" w:cs="Times New Roman"/>
          <w:color w:val="auto"/>
          <w:lang w:val="en-US" w:eastAsia="zh-CN"/>
        </w:rPr>
        <w:t>“</w:t>
      </w:r>
      <w:r>
        <w:rPr>
          <w:rFonts w:hint="default" w:ascii="Times New Roman" w:hAnsi="Times New Roman" w:eastAsia="宋体" w:cs="Times New Roman"/>
          <w:color w:val="auto"/>
          <w:lang w:val="en-US" w:eastAsia="zh-CN"/>
        </w:rPr>
        <w:t>三线一单</w:t>
      </w:r>
      <w:r>
        <w:rPr>
          <w:rFonts w:hint="eastAsia" w:cs="Times New Roman"/>
          <w:color w:val="auto"/>
          <w:lang w:val="en-US" w:eastAsia="zh-CN"/>
        </w:rPr>
        <w:t>”</w:t>
      </w:r>
      <w:r>
        <w:rPr>
          <w:rFonts w:hint="default" w:ascii="Times New Roman" w:hAnsi="Times New Roman" w:eastAsia="宋体" w:cs="Times New Roman"/>
          <w:color w:val="auto"/>
          <w:lang w:val="en-US" w:eastAsia="zh-CN"/>
        </w:rPr>
        <w:t>要求。</w:t>
      </w:r>
    </w:p>
    <w:p>
      <w:pPr>
        <w:widowControl w:val="0"/>
        <w:numPr>
          <w:ilvl w:val="0"/>
          <w:numId w:val="0"/>
        </w:numPr>
        <w:spacing w:line="480" w:lineRule="exact"/>
        <w:jc w:val="both"/>
        <w:rPr>
          <w:rFonts w:hint="default" w:ascii="Times New Roman" w:hAnsi="Times New Roman" w:eastAsia="宋体" w:cs="Times New Roman"/>
          <w:b/>
          <w:bCs/>
          <w:color w:val="auto"/>
          <w:lang w:val="en-US" w:eastAsia="zh-CN" w:bidi="ar"/>
        </w:rPr>
        <w:sectPr>
          <w:footerReference r:id="rId8" w:type="default"/>
          <w:pgSz w:w="12240" w:h="15840"/>
          <w:pgMar w:top="1440" w:right="1800" w:bottom="1440" w:left="1800" w:header="720" w:footer="720" w:gutter="0"/>
          <w:pgBorders>
            <w:top w:val="none" w:sz="0" w:space="0"/>
            <w:left w:val="none" w:sz="0" w:space="0"/>
            <w:bottom w:val="none" w:sz="0" w:space="0"/>
            <w:right w:val="none" w:sz="0" w:space="0"/>
          </w:pgBorders>
          <w:pgNumType w:fmt="decimal"/>
          <w:cols w:space="720" w:num="1"/>
          <w:docGrid w:type="lines" w:linePitch="392" w:charSpace="0"/>
        </w:sectPr>
      </w:pPr>
    </w:p>
    <w:p>
      <w:pPr>
        <w:pStyle w:val="3"/>
        <w:spacing w:before="196" w:beforeLines="50" w:after="196" w:afterLines="50" w:line="480" w:lineRule="exact"/>
        <w:rPr>
          <w:rFonts w:hint="default" w:ascii="Times New Roman" w:hAnsi="Times New Roman" w:eastAsia="宋体" w:cs="Times New Roman"/>
          <w:color w:val="auto"/>
        </w:rPr>
      </w:pPr>
      <w:bookmarkStart w:id="193" w:name="_Toc312155970"/>
      <w:bookmarkStart w:id="194" w:name="_Toc492644428"/>
      <w:bookmarkStart w:id="195" w:name="_Toc310244015"/>
      <w:bookmarkStart w:id="196" w:name="_Toc214355820"/>
      <w:bookmarkStart w:id="197" w:name="_Toc11216"/>
      <w:r>
        <w:rPr>
          <w:rFonts w:hint="default" w:ascii="Times New Roman" w:hAnsi="Times New Roman" w:eastAsia="宋体" w:cs="Times New Roman"/>
          <w:color w:val="auto"/>
        </w:rPr>
        <w:t>3项目工程分析</w:t>
      </w:r>
      <w:bookmarkEnd w:id="193"/>
      <w:bookmarkEnd w:id="194"/>
      <w:bookmarkEnd w:id="195"/>
      <w:bookmarkEnd w:id="196"/>
      <w:bookmarkEnd w:id="197"/>
    </w:p>
    <w:p>
      <w:pPr>
        <w:pStyle w:val="4"/>
        <w:spacing w:before="0" w:beforeLines="0" w:after="0" w:afterLines="0" w:line="480" w:lineRule="exact"/>
        <w:jc w:val="both"/>
        <w:rPr>
          <w:rFonts w:hint="default" w:ascii="Times New Roman" w:hAnsi="Times New Roman" w:eastAsia="宋体" w:cs="Times New Roman"/>
          <w:color w:val="auto"/>
          <w:sz w:val="30"/>
          <w:szCs w:val="30"/>
        </w:rPr>
      </w:pPr>
      <w:bookmarkStart w:id="198" w:name="_Toc6843"/>
      <w:bookmarkStart w:id="199" w:name="_Toc312155973"/>
      <w:bookmarkStart w:id="200" w:name="_Toc310244018"/>
      <w:bookmarkStart w:id="201" w:name="_Toc507334577"/>
      <w:bookmarkStart w:id="202" w:name="_Toc492644516"/>
      <w:bookmarkStart w:id="203" w:name="_Toc503461557"/>
      <w:r>
        <w:rPr>
          <w:rFonts w:hint="default" w:ascii="Times New Roman" w:hAnsi="Times New Roman" w:eastAsia="宋体" w:cs="Times New Roman"/>
          <w:color w:val="auto"/>
          <w:sz w:val="30"/>
          <w:szCs w:val="30"/>
        </w:rPr>
        <w:t>3.1工程地理位置及现状</w:t>
      </w:r>
      <w:bookmarkEnd w:id="198"/>
    </w:p>
    <w:p>
      <w:pPr>
        <w:pStyle w:val="5"/>
        <w:tabs>
          <w:tab w:val="left" w:pos="4860"/>
          <w:tab w:val="clear" w:pos="980"/>
        </w:tabs>
        <w:spacing w:before="196" w:beforeLines="50" w:after="196" w:afterLines="50"/>
        <w:rPr>
          <w:rFonts w:hint="default" w:ascii="Times New Roman" w:hAnsi="Times New Roman" w:eastAsia="宋体" w:cs="Times New Roman"/>
          <w:color w:val="auto"/>
          <w:lang w:val="en-US" w:eastAsia="zh-CN"/>
        </w:rPr>
      </w:pPr>
      <w:bookmarkStart w:id="204" w:name="_Toc21906"/>
      <w:r>
        <w:rPr>
          <w:rFonts w:hint="default" w:ascii="Times New Roman" w:hAnsi="Times New Roman" w:eastAsia="宋体" w:cs="Times New Roman"/>
          <w:color w:val="auto"/>
          <w:lang w:val="en-US" w:eastAsia="zh-CN"/>
        </w:rPr>
        <w:t>3.1.1工程地理位置</w:t>
      </w:r>
      <w:bookmarkEnd w:id="204"/>
    </w:p>
    <w:p>
      <w:pPr>
        <w:pStyle w:val="97"/>
        <w:spacing w:line="480" w:lineRule="exact"/>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太湖位于北纬30°55'40"~31°32'58"和东经119°52'32"~120°36'10"之间，横跨江、浙两省，北临无锡，南濒湖州，西依宜兴，东近苏州。太湖湖泊面积2427.8平方公里，水域面积为2338.1平方公里，湖岸线全长393.2公里。其西和西南侧为丘陵山地，东侧以平原及水网为主。</w:t>
      </w:r>
    </w:p>
    <w:p>
      <w:pPr>
        <w:pStyle w:val="97"/>
        <w:spacing w:line="480" w:lineRule="exact"/>
        <w:ind w:firstLine="48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整个太湖共被划分为9 个湖区，分别为：五里湖、梅梁湖、贡湖、竺山湖、湖心区、东部沿岸区（胥湖）、东太湖、西部沿岸区及南部沿岸区。太湖水源地主要分布在贡湖、梅梁湖、胥湖及东太湖，供无锡市与苏州市及各区县使用。其中苏州市的主要水源地有贡湖金墅湾水源地、太湖镇湖水源地、太湖渔洋山水源地、太湖寺前水源地、太湖庙港水源地、吴江区太湖北亭子港水源地，其区位分布如图</w:t>
      </w:r>
      <w:r>
        <w:rPr>
          <w:rFonts w:hint="eastAsia" w:cs="Times New Roman"/>
          <w:color w:val="auto"/>
          <w:sz w:val="24"/>
          <w:szCs w:val="24"/>
          <w:lang w:val="en-US" w:eastAsia="zh-CN"/>
        </w:rPr>
        <w:t>3.1-1</w:t>
      </w:r>
      <w:r>
        <w:rPr>
          <w:rFonts w:hint="default" w:ascii="Times New Roman" w:hAnsi="Times New Roman" w:eastAsia="宋体" w:cs="Times New Roman"/>
          <w:color w:val="auto"/>
          <w:sz w:val="24"/>
          <w:szCs w:val="24"/>
          <w:lang w:eastAsia="zh-CN"/>
        </w:rPr>
        <w:t>所示。</w:t>
      </w:r>
    </w:p>
    <w:p>
      <w:pPr>
        <w:pStyle w:val="97"/>
        <w:spacing w:line="480" w:lineRule="exact"/>
        <w:ind w:firstLine="48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rPr>
        <w:drawing>
          <wp:anchor distT="0" distB="0" distL="114300" distR="114300" simplePos="0" relativeHeight="251671552" behindDoc="0" locked="0" layoutInCell="1" allowOverlap="1">
            <wp:simplePos x="0" y="0"/>
            <wp:positionH relativeFrom="column">
              <wp:posOffset>962660</wp:posOffset>
            </wp:positionH>
            <wp:positionV relativeFrom="paragraph">
              <wp:posOffset>71755</wp:posOffset>
            </wp:positionV>
            <wp:extent cx="4164965" cy="3557905"/>
            <wp:effectExtent l="0" t="0" r="6985" b="4445"/>
            <wp:wrapNone/>
            <wp:docPr id="4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9"/>
                    <pic:cNvPicPr>
                      <a:picLocks noChangeAspect="1"/>
                    </pic:cNvPicPr>
                  </pic:nvPicPr>
                  <pic:blipFill>
                    <a:blip r:embed="rId14"/>
                    <a:stretch>
                      <a:fillRect/>
                    </a:stretch>
                  </pic:blipFill>
                  <pic:spPr>
                    <a:xfrm>
                      <a:off x="0" y="0"/>
                      <a:ext cx="4164965" cy="3557905"/>
                    </a:xfrm>
                    <a:prstGeom prst="rect">
                      <a:avLst/>
                    </a:prstGeom>
                    <a:noFill/>
                    <a:ln>
                      <a:noFill/>
                    </a:ln>
                  </pic:spPr>
                </pic:pic>
              </a:graphicData>
            </a:graphic>
          </wp:anchor>
        </w:drawing>
      </w:r>
    </w:p>
    <w:p>
      <w:pPr>
        <w:pStyle w:val="97"/>
        <w:spacing w:line="480" w:lineRule="exact"/>
        <w:ind w:firstLine="480"/>
        <w:rPr>
          <w:rFonts w:hint="default" w:ascii="Times New Roman" w:hAnsi="Times New Roman" w:eastAsia="宋体" w:cs="Times New Roman"/>
          <w:color w:val="auto"/>
          <w:sz w:val="24"/>
          <w:szCs w:val="24"/>
          <w:lang w:eastAsia="zh-CN"/>
        </w:rPr>
      </w:pPr>
    </w:p>
    <w:p>
      <w:pPr>
        <w:pStyle w:val="97"/>
        <w:spacing w:line="480" w:lineRule="exact"/>
        <w:ind w:firstLine="480"/>
        <w:rPr>
          <w:rFonts w:hint="default" w:ascii="Times New Roman" w:hAnsi="Times New Roman" w:eastAsia="宋体" w:cs="Times New Roman"/>
          <w:color w:val="auto"/>
          <w:sz w:val="24"/>
          <w:szCs w:val="24"/>
          <w:lang w:eastAsia="zh-CN"/>
        </w:rPr>
      </w:pPr>
    </w:p>
    <w:p>
      <w:pPr>
        <w:pStyle w:val="97"/>
        <w:spacing w:line="480" w:lineRule="exact"/>
        <w:ind w:firstLine="480"/>
        <w:rPr>
          <w:rFonts w:hint="default" w:ascii="Times New Roman" w:hAnsi="Times New Roman" w:eastAsia="宋体" w:cs="Times New Roman"/>
          <w:color w:val="auto"/>
          <w:sz w:val="24"/>
          <w:szCs w:val="24"/>
          <w:lang w:eastAsia="zh-CN"/>
        </w:rPr>
      </w:pPr>
    </w:p>
    <w:p>
      <w:pPr>
        <w:pStyle w:val="97"/>
        <w:spacing w:line="480" w:lineRule="exact"/>
        <w:ind w:firstLine="480"/>
        <w:rPr>
          <w:rFonts w:hint="default" w:ascii="Times New Roman" w:hAnsi="Times New Roman" w:eastAsia="宋体" w:cs="Times New Roman"/>
          <w:color w:val="auto"/>
          <w:sz w:val="24"/>
          <w:szCs w:val="24"/>
          <w:lang w:eastAsia="zh-CN"/>
        </w:rPr>
      </w:pPr>
    </w:p>
    <w:p>
      <w:pPr>
        <w:pStyle w:val="97"/>
        <w:spacing w:line="480" w:lineRule="exact"/>
        <w:ind w:firstLine="480"/>
        <w:rPr>
          <w:rFonts w:hint="default" w:ascii="Times New Roman" w:hAnsi="Times New Roman" w:eastAsia="宋体" w:cs="Times New Roman"/>
          <w:color w:val="auto"/>
          <w:sz w:val="24"/>
          <w:szCs w:val="24"/>
          <w:lang w:eastAsia="zh-CN"/>
        </w:rPr>
      </w:pPr>
    </w:p>
    <w:p>
      <w:pPr>
        <w:pStyle w:val="97"/>
        <w:spacing w:line="480" w:lineRule="exact"/>
        <w:ind w:firstLine="480"/>
        <w:rPr>
          <w:rFonts w:hint="default" w:ascii="Times New Roman" w:hAnsi="Times New Roman" w:eastAsia="宋体" w:cs="Times New Roman"/>
          <w:color w:val="auto"/>
          <w:sz w:val="24"/>
          <w:szCs w:val="24"/>
          <w:lang w:eastAsia="zh-CN"/>
        </w:rPr>
      </w:pPr>
    </w:p>
    <w:p>
      <w:pPr>
        <w:pStyle w:val="97"/>
        <w:spacing w:line="480" w:lineRule="exact"/>
        <w:ind w:firstLine="480"/>
        <w:rPr>
          <w:rFonts w:hint="default" w:ascii="Times New Roman" w:hAnsi="Times New Roman" w:eastAsia="宋体" w:cs="Times New Roman"/>
          <w:color w:val="auto"/>
          <w:sz w:val="24"/>
          <w:szCs w:val="24"/>
          <w:lang w:eastAsia="zh-CN"/>
        </w:rPr>
      </w:pPr>
    </w:p>
    <w:p>
      <w:pPr>
        <w:pStyle w:val="97"/>
        <w:spacing w:line="480" w:lineRule="exact"/>
        <w:ind w:firstLine="480"/>
        <w:rPr>
          <w:rFonts w:hint="default" w:ascii="Times New Roman" w:hAnsi="Times New Roman" w:eastAsia="宋体" w:cs="Times New Roman"/>
          <w:color w:val="auto"/>
          <w:sz w:val="24"/>
          <w:szCs w:val="24"/>
          <w:lang w:eastAsia="zh-CN"/>
        </w:rPr>
      </w:pPr>
    </w:p>
    <w:p>
      <w:pPr>
        <w:pStyle w:val="97"/>
        <w:spacing w:line="480" w:lineRule="exact"/>
        <w:ind w:firstLine="480"/>
        <w:rPr>
          <w:rFonts w:hint="default" w:ascii="Times New Roman" w:hAnsi="Times New Roman" w:eastAsia="宋体" w:cs="Times New Roman"/>
          <w:color w:val="auto"/>
          <w:sz w:val="24"/>
          <w:szCs w:val="24"/>
          <w:lang w:eastAsia="zh-CN"/>
        </w:rPr>
      </w:pPr>
    </w:p>
    <w:p>
      <w:pPr>
        <w:pStyle w:val="97"/>
        <w:spacing w:line="480" w:lineRule="exact"/>
        <w:ind w:firstLine="480"/>
        <w:rPr>
          <w:rFonts w:hint="default" w:ascii="Times New Roman" w:hAnsi="Times New Roman" w:eastAsia="宋体" w:cs="Times New Roman"/>
          <w:color w:val="auto"/>
          <w:sz w:val="24"/>
          <w:szCs w:val="24"/>
          <w:lang w:eastAsia="zh-CN"/>
        </w:rPr>
      </w:pPr>
    </w:p>
    <w:p>
      <w:pPr>
        <w:pStyle w:val="97"/>
        <w:spacing w:line="480" w:lineRule="exact"/>
        <w:ind w:firstLine="480"/>
        <w:rPr>
          <w:rFonts w:hint="default" w:ascii="Times New Roman" w:hAnsi="Times New Roman" w:eastAsia="宋体" w:cs="Times New Roman"/>
          <w:color w:val="auto"/>
          <w:sz w:val="24"/>
          <w:szCs w:val="24"/>
          <w:lang w:eastAsia="zh-CN"/>
        </w:rPr>
      </w:pPr>
    </w:p>
    <w:p>
      <w:pPr>
        <w:pStyle w:val="97"/>
        <w:spacing w:line="480" w:lineRule="exact"/>
        <w:ind w:firstLine="480"/>
        <w:jc w:val="center"/>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图</w:t>
      </w:r>
      <w:r>
        <w:rPr>
          <w:rFonts w:hint="eastAsia" w:cs="Times New Roman"/>
          <w:b/>
          <w:bCs/>
          <w:color w:val="auto"/>
          <w:sz w:val="24"/>
          <w:szCs w:val="24"/>
          <w:lang w:val="en-US" w:eastAsia="zh-CN"/>
        </w:rPr>
        <w:t>3</w:t>
      </w:r>
      <w:r>
        <w:rPr>
          <w:rFonts w:hint="default" w:ascii="Times New Roman" w:hAnsi="Times New Roman" w:eastAsia="宋体" w:cs="Times New Roman"/>
          <w:b/>
          <w:bCs/>
          <w:color w:val="auto"/>
          <w:sz w:val="24"/>
          <w:szCs w:val="24"/>
          <w:lang w:eastAsia="zh-CN"/>
        </w:rPr>
        <w:t>.1-</w:t>
      </w:r>
      <w:r>
        <w:rPr>
          <w:rFonts w:hint="eastAsia" w:cs="Times New Roman"/>
          <w:b/>
          <w:bCs/>
          <w:color w:val="auto"/>
          <w:sz w:val="24"/>
          <w:szCs w:val="24"/>
          <w:lang w:val="en-US" w:eastAsia="zh-CN"/>
        </w:rPr>
        <w:t>1</w:t>
      </w:r>
      <w:r>
        <w:rPr>
          <w:rFonts w:hint="default" w:ascii="Times New Roman" w:hAnsi="Times New Roman" w:eastAsia="宋体" w:cs="Times New Roman"/>
          <w:b/>
          <w:bCs/>
          <w:color w:val="auto"/>
          <w:sz w:val="24"/>
          <w:szCs w:val="24"/>
          <w:lang w:eastAsia="zh-CN"/>
        </w:rPr>
        <w:t xml:space="preserve"> 太湖主要水源地区位分布示意图</w:t>
      </w:r>
    </w:p>
    <w:p>
      <w:pPr>
        <w:pStyle w:val="97"/>
        <w:spacing w:line="480" w:lineRule="exact"/>
        <w:ind w:firstLine="48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渔洋山水源地位于太湖东部湖区，苏州市吴中区渔洋山景区附近，其中一级保护区0.87km</w:t>
      </w:r>
      <w:r>
        <w:rPr>
          <w:rFonts w:hint="default" w:ascii="Times New Roman" w:hAnsi="Times New Roman" w:eastAsia="宋体" w:cs="Times New Roman"/>
          <w:color w:val="auto"/>
          <w:sz w:val="24"/>
          <w:szCs w:val="24"/>
          <w:vertAlign w:val="superscript"/>
          <w:lang w:eastAsia="zh-CN"/>
        </w:rPr>
        <w:t>2</w:t>
      </w:r>
      <w:r>
        <w:rPr>
          <w:rFonts w:hint="default" w:ascii="Times New Roman" w:hAnsi="Times New Roman" w:eastAsia="宋体" w:cs="Times New Roman"/>
          <w:color w:val="auto"/>
          <w:sz w:val="24"/>
          <w:szCs w:val="24"/>
          <w:lang w:eastAsia="zh-CN"/>
        </w:rPr>
        <w:t>，二级保护区17.01km</w:t>
      </w:r>
      <w:r>
        <w:rPr>
          <w:rFonts w:hint="default" w:ascii="Times New Roman" w:hAnsi="Times New Roman" w:eastAsia="宋体" w:cs="Times New Roman"/>
          <w:color w:val="auto"/>
          <w:sz w:val="24"/>
          <w:szCs w:val="24"/>
          <w:vertAlign w:val="superscript"/>
          <w:lang w:eastAsia="zh-CN"/>
        </w:rPr>
        <w:t>2</w:t>
      </w:r>
      <w:r>
        <w:rPr>
          <w:rFonts w:hint="default" w:ascii="Times New Roman" w:hAnsi="Times New Roman" w:eastAsia="宋体" w:cs="Times New Roman"/>
          <w:color w:val="auto"/>
          <w:sz w:val="24"/>
          <w:szCs w:val="24"/>
          <w:lang w:eastAsia="zh-CN"/>
        </w:rPr>
        <w:t>。</w:t>
      </w:r>
    </w:p>
    <w:p>
      <w:pPr>
        <w:pStyle w:val="97"/>
        <w:spacing w:line="480" w:lineRule="exact"/>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本项目工程区域位于渔洋山水源地一级保护区和二级保护区内，具体地理位置图见附图1。</w:t>
      </w:r>
    </w:p>
    <w:p>
      <w:pPr>
        <w:pStyle w:val="5"/>
        <w:tabs>
          <w:tab w:val="left" w:pos="4860"/>
          <w:tab w:val="clear" w:pos="980"/>
        </w:tabs>
        <w:spacing w:before="196" w:beforeLines="50" w:after="196" w:afterLines="50"/>
        <w:rPr>
          <w:rFonts w:hint="default" w:ascii="Times New Roman" w:hAnsi="Times New Roman" w:eastAsia="宋体" w:cs="Times New Roman"/>
          <w:color w:val="auto"/>
          <w:lang w:val="en-US" w:eastAsia="zh-CN"/>
        </w:rPr>
      </w:pPr>
      <w:bookmarkStart w:id="205" w:name="_Toc29560"/>
      <w:r>
        <w:rPr>
          <w:rFonts w:hint="default" w:ascii="Times New Roman" w:hAnsi="Times New Roman" w:eastAsia="宋体" w:cs="Times New Roman"/>
          <w:color w:val="auto"/>
          <w:lang w:val="en-US" w:eastAsia="zh-CN"/>
        </w:rPr>
        <w:t>3.1.2工程位置现状</w:t>
      </w:r>
      <w:bookmarkEnd w:id="205"/>
    </w:p>
    <w:p>
      <w:pPr>
        <w:pStyle w:val="97"/>
        <w:spacing w:line="480" w:lineRule="exact"/>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渔洋山水源地共设置2 个取水口，分别是胥江水厂1#取水口（离岸较近）和新区一水厂2#取水口，1＃取水口距岸边580 米，2＃取水口距岸边655 米，取水口的具体位置见表</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.1-1。</w:t>
      </w:r>
    </w:p>
    <w:p>
      <w:pPr>
        <w:pStyle w:val="97"/>
        <w:spacing w:line="480" w:lineRule="exact"/>
        <w:ind w:firstLine="480"/>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w:t>
      </w:r>
      <w:r>
        <w:rPr>
          <w:rFonts w:hint="eastAsia"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.1-1 太湖渔洋山水源地取水口位置一览表</w:t>
      </w:r>
    </w:p>
    <w:tbl>
      <w:tblPr>
        <w:tblStyle w:val="55"/>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636"/>
        <w:gridCol w:w="1651"/>
        <w:gridCol w:w="1378"/>
        <w:gridCol w:w="2147"/>
        <w:gridCol w:w="22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1" w:hRule="atLeast"/>
          <w:jc w:val="center"/>
        </w:trPr>
        <w:tc>
          <w:tcPr>
            <w:tcW w:w="907" w:type="pct"/>
            <w:vMerge w:val="restart"/>
            <w:vAlign w:val="center"/>
          </w:tcPr>
          <w:p>
            <w:pPr>
              <w:tabs>
                <w:tab w:val="left" w:pos="3159"/>
              </w:tabs>
              <w:autoSpaceDE w:val="0"/>
              <w:autoSpaceDN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915" w:type="pct"/>
            <w:vMerge w:val="restart"/>
            <w:vAlign w:val="center"/>
          </w:tcPr>
          <w:p>
            <w:pPr>
              <w:tabs>
                <w:tab w:val="left" w:pos="3159"/>
              </w:tabs>
              <w:autoSpaceDE w:val="0"/>
              <w:autoSpaceDN w:val="0"/>
              <w:adjustRightInd w:val="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取水水厂名称</w:t>
            </w:r>
          </w:p>
        </w:tc>
        <w:tc>
          <w:tcPr>
            <w:tcW w:w="764" w:type="pct"/>
            <w:vMerge w:val="restart"/>
            <w:vAlign w:val="center"/>
          </w:tcPr>
          <w:p>
            <w:pPr>
              <w:tabs>
                <w:tab w:val="left" w:pos="3159"/>
              </w:tabs>
              <w:autoSpaceDE w:val="0"/>
              <w:autoSpaceDN w:val="0"/>
              <w:adjustRightInd w:val="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取水口编号</w:t>
            </w:r>
          </w:p>
        </w:tc>
        <w:tc>
          <w:tcPr>
            <w:tcW w:w="2412" w:type="pct"/>
            <w:gridSpan w:val="2"/>
            <w:vAlign w:val="center"/>
          </w:tcPr>
          <w:p>
            <w:pPr>
              <w:tabs>
                <w:tab w:val="left" w:pos="3159"/>
              </w:tabs>
              <w:autoSpaceDE w:val="0"/>
              <w:autoSpaceDN w:val="0"/>
              <w:adjustRightInd w:val="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水源取水口位置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1" w:hRule="atLeast"/>
          <w:jc w:val="center"/>
        </w:trPr>
        <w:tc>
          <w:tcPr>
            <w:tcW w:w="907" w:type="pct"/>
            <w:vMerge w:val="continue"/>
            <w:vAlign w:val="center"/>
          </w:tcPr>
          <w:p>
            <w:pPr>
              <w:tabs>
                <w:tab w:val="left" w:pos="3159"/>
              </w:tabs>
              <w:autoSpaceDE w:val="0"/>
              <w:autoSpaceDN w:val="0"/>
              <w:adjustRightInd w:val="0"/>
              <w:snapToGrid w:val="0"/>
              <w:jc w:val="center"/>
              <w:rPr>
                <w:rFonts w:hint="default" w:ascii="Times New Roman" w:hAnsi="Times New Roman" w:eastAsia="宋体" w:cs="Times New Roman"/>
              </w:rPr>
            </w:pPr>
          </w:p>
        </w:tc>
        <w:tc>
          <w:tcPr>
            <w:tcW w:w="915" w:type="pct"/>
            <w:vMerge w:val="continue"/>
            <w:vAlign w:val="center"/>
          </w:tcPr>
          <w:p>
            <w:pPr>
              <w:tabs>
                <w:tab w:val="left" w:pos="3159"/>
              </w:tabs>
              <w:autoSpaceDE w:val="0"/>
              <w:autoSpaceDN w:val="0"/>
              <w:adjustRightInd w:val="0"/>
              <w:snapToGrid w:val="0"/>
              <w:jc w:val="center"/>
              <w:rPr>
                <w:rFonts w:hint="default" w:ascii="Times New Roman" w:hAnsi="Times New Roman" w:eastAsia="宋体" w:cs="Times New Roman"/>
              </w:rPr>
            </w:pPr>
          </w:p>
        </w:tc>
        <w:tc>
          <w:tcPr>
            <w:tcW w:w="764" w:type="pct"/>
            <w:vMerge w:val="continue"/>
            <w:vAlign w:val="center"/>
          </w:tcPr>
          <w:p>
            <w:pPr>
              <w:tabs>
                <w:tab w:val="left" w:pos="3159"/>
              </w:tabs>
              <w:autoSpaceDE w:val="0"/>
              <w:autoSpaceDN w:val="0"/>
              <w:adjustRightInd w:val="0"/>
              <w:snapToGrid w:val="0"/>
              <w:jc w:val="center"/>
              <w:rPr>
                <w:rFonts w:hint="default" w:ascii="Times New Roman" w:hAnsi="Times New Roman" w:eastAsia="宋体" w:cs="Times New Roman"/>
              </w:rPr>
            </w:pPr>
          </w:p>
        </w:tc>
        <w:tc>
          <w:tcPr>
            <w:tcW w:w="1190" w:type="pct"/>
            <w:vAlign w:val="center"/>
          </w:tcPr>
          <w:p>
            <w:pPr>
              <w:tabs>
                <w:tab w:val="left" w:pos="3159"/>
              </w:tabs>
              <w:autoSpaceDE w:val="0"/>
              <w:autoSpaceDN w:val="0"/>
              <w:adjustRightInd w:val="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中心经度（E）</w:t>
            </w:r>
          </w:p>
        </w:tc>
        <w:tc>
          <w:tcPr>
            <w:tcW w:w="1222" w:type="pct"/>
            <w:vAlign w:val="center"/>
          </w:tcPr>
          <w:p>
            <w:pPr>
              <w:tabs>
                <w:tab w:val="left" w:pos="3159"/>
              </w:tabs>
              <w:autoSpaceDE w:val="0"/>
              <w:autoSpaceDN w:val="0"/>
              <w:adjustRightInd w:val="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中心纬度（N）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83" w:hRule="atLeast"/>
          <w:jc w:val="center"/>
        </w:trPr>
        <w:tc>
          <w:tcPr>
            <w:tcW w:w="907" w:type="pct"/>
            <w:vMerge w:val="restart"/>
            <w:vAlign w:val="center"/>
          </w:tcPr>
          <w:p>
            <w:pPr>
              <w:tabs>
                <w:tab w:val="left" w:pos="3159"/>
              </w:tabs>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渔洋山水源</w:t>
            </w:r>
          </w:p>
        </w:tc>
        <w:tc>
          <w:tcPr>
            <w:tcW w:w="915" w:type="pct"/>
            <w:vAlign w:val="center"/>
          </w:tcPr>
          <w:p>
            <w:pPr>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胥江水厂</w:t>
            </w:r>
          </w:p>
        </w:tc>
        <w:tc>
          <w:tcPr>
            <w:tcW w:w="764" w:type="pct"/>
            <w:vAlign w:val="center"/>
          </w:tcPr>
          <w:p>
            <w:pPr>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p>
        </w:tc>
        <w:tc>
          <w:tcPr>
            <w:tcW w:w="1190" w:type="pct"/>
            <w:vAlign w:val="center"/>
          </w:tcPr>
          <w:p>
            <w:pPr>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120°21′26″</w:t>
            </w:r>
          </w:p>
        </w:tc>
        <w:tc>
          <w:tcPr>
            <w:tcW w:w="1222" w:type="pct"/>
            <w:vAlign w:val="center"/>
          </w:tcPr>
          <w:p>
            <w:pPr>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31°13′5″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93" w:hRule="atLeast"/>
          <w:jc w:val="center"/>
        </w:trPr>
        <w:tc>
          <w:tcPr>
            <w:tcW w:w="907" w:type="pct"/>
            <w:vMerge w:val="continue"/>
            <w:vAlign w:val="center"/>
          </w:tcPr>
          <w:p>
            <w:pPr>
              <w:tabs>
                <w:tab w:val="left" w:pos="3159"/>
              </w:tabs>
              <w:autoSpaceDE w:val="0"/>
              <w:autoSpaceDN w:val="0"/>
              <w:adjustRightInd w:val="0"/>
              <w:snapToGrid w:val="0"/>
              <w:jc w:val="center"/>
              <w:rPr>
                <w:rFonts w:hint="default" w:ascii="Times New Roman" w:hAnsi="Times New Roman" w:eastAsia="宋体" w:cs="Times New Roman"/>
                <w:color w:val="auto"/>
                <w:sz w:val="21"/>
                <w:szCs w:val="21"/>
                <w:lang w:bidi="ar"/>
              </w:rPr>
            </w:pPr>
          </w:p>
        </w:tc>
        <w:tc>
          <w:tcPr>
            <w:tcW w:w="915" w:type="pct"/>
            <w:vAlign w:val="center"/>
          </w:tcPr>
          <w:p>
            <w:pPr>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bidi="ar"/>
              </w:rPr>
            </w:pPr>
            <w:r>
              <w:rPr>
                <w:rFonts w:hint="default" w:ascii="Times New Roman" w:hAnsi="Times New Roman" w:eastAsia="宋体" w:cs="Times New Roman"/>
                <w:b w:val="0"/>
                <w:bCs w:val="0"/>
                <w:color w:val="auto"/>
                <w:sz w:val="21"/>
                <w:szCs w:val="21"/>
                <w:lang w:val="en-US" w:eastAsia="zh-CN" w:bidi="ar"/>
              </w:rPr>
              <w:t>新区一水厂</w:t>
            </w:r>
          </w:p>
        </w:tc>
        <w:tc>
          <w:tcPr>
            <w:tcW w:w="764" w:type="pct"/>
            <w:vAlign w:val="center"/>
          </w:tcPr>
          <w:p>
            <w:pPr>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bidi="ar"/>
              </w:rPr>
            </w:pPr>
            <w:r>
              <w:rPr>
                <w:rFonts w:hint="default" w:ascii="Times New Roman" w:hAnsi="Times New Roman" w:eastAsia="宋体" w:cs="Times New Roman"/>
                <w:b w:val="0"/>
                <w:bCs w:val="0"/>
                <w:color w:val="auto"/>
                <w:sz w:val="21"/>
                <w:szCs w:val="21"/>
                <w:lang w:val="en-US" w:eastAsia="zh-CN" w:bidi="ar"/>
              </w:rPr>
              <w:t>2#</w:t>
            </w:r>
          </w:p>
        </w:tc>
        <w:tc>
          <w:tcPr>
            <w:tcW w:w="1190" w:type="pct"/>
            <w:vAlign w:val="center"/>
          </w:tcPr>
          <w:p>
            <w:pPr>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lang w:val="en-US" w:eastAsia="zh-CN"/>
              </w:rPr>
              <w:t>120°21′23″</w:t>
            </w:r>
          </w:p>
        </w:tc>
        <w:tc>
          <w:tcPr>
            <w:tcW w:w="1222" w:type="pct"/>
            <w:vAlign w:val="center"/>
          </w:tcPr>
          <w:p>
            <w:pPr>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lang w:val="en-US" w:eastAsia="zh-CN"/>
              </w:rPr>
              <w:t>31°13′4″</w:t>
            </w:r>
          </w:p>
        </w:tc>
      </w:tr>
    </w:tbl>
    <w:p>
      <w:pPr>
        <w:pStyle w:val="97"/>
        <w:spacing w:line="480" w:lineRule="exact"/>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太湖渔洋山饮用水水源保护区范围见下图：</w:t>
      </w:r>
    </w:p>
    <w:p>
      <w:pPr>
        <w:pStyle w:val="97"/>
        <w:spacing w:line="480" w:lineRule="exact"/>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rPr>
        <w:drawing>
          <wp:anchor distT="0" distB="0" distL="114300" distR="114300" simplePos="0" relativeHeight="251665408" behindDoc="0" locked="0" layoutInCell="1" allowOverlap="1">
            <wp:simplePos x="0" y="0"/>
            <wp:positionH relativeFrom="column">
              <wp:posOffset>774700</wp:posOffset>
            </wp:positionH>
            <wp:positionV relativeFrom="paragraph">
              <wp:posOffset>72390</wp:posOffset>
            </wp:positionV>
            <wp:extent cx="3952875" cy="3048000"/>
            <wp:effectExtent l="0" t="0" r="9525" b="0"/>
            <wp:wrapNone/>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pic:cNvPicPr>
                      <a:picLocks noChangeAspect="1"/>
                    </pic:cNvPicPr>
                  </pic:nvPicPr>
                  <pic:blipFill>
                    <a:blip r:embed="rId15"/>
                    <a:stretch>
                      <a:fillRect/>
                    </a:stretch>
                  </pic:blipFill>
                  <pic:spPr>
                    <a:xfrm>
                      <a:off x="0" y="0"/>
                      <a:ext cx="3952875" cy="3048000"/>
                    </a:xfrm>
                    <a:prstGeom prst="rect">
                      <a:avLst/>
                    </a:prstGeom>
                    <a:noFill/>
                    <a:ln>
                      <a:noFill/>
                    </a:ln>
                  </pic:spPr>
                </pic:pic>
              </a:graphicData>
            </a:graphic>
          </wp:anchor>
        </w:drawing>
      </w:r>
    </w:p>
    <w:p>
      <w:pPr>
        <w:pStyle w:val="97"/>
        <w:spacing w:line="480" w:lineRule="exact"/>
        <w:ind w:firstLine="480"/>
        <w:rPr>
          <w:rFonts w:hint="default" w:ascii="Times New Roman" w:hAnsi="Times New Roman" w:eastAsia="宋体" w:cs="Times New Roman"/>
          <w:color w:val="auto"/>
          <w:sz w:val="24"/>
          <w:szCs w:val="24"/>
          <w:lang w:val="en-US" w:eastAsia="zh-CN"/>
        </w:rPr>
      </w:pPr>
    </w:p>
    <w:p>
      <w:pPr>
        <w:pStyle w:val="97"/>
        <w:spacing w:line="480" w:lineRule="exact"/>
        <w:ind w:firstLine="480"/>
        <w:rPr>
          <w:rFonts w:hint="default" w:ascii="Times New Roman" w:hAnsi="Times New Roman" w:eastAsia="宋体" w:cs="Times New Roman"/>
          <w:color w:val="auto"/>
          <w:sz w:val="24"/>
          <w:szCs w:val="24"/>
          <w:lang w:val="en-US" w:eastAsia="zh-CN"/>
        </w:rPr>
      </w:pPr>
    </w:p>
    <w:p>
      <w:pPr>
        <w:pStyle w:val="97"/>
        <w:spacing w:line="480" w:lineRule="exact"/>
        <w:ind w:firstLine="480"/>
        <w:rPr>
          <w:rFonts w:hint="default" w:ascii="Times New Roman" w:hAnsi="Times New Roman" w:eastAsia="宋体" w:cs="Times New Roman"/>
          <w:color w:val="auto"/>
          <w:sz w:val="24"/>
          <w:szCs w:val="24"/>
          <w:lang w:val="en-US" w:eastAsia="zh-CN"/>
        </w:rPr>
      </w:pPr>
    </w:p>
    <w:p>
      <w:pPr>
        <w:pStyle w:val="97"/>
        <w:spacing w:line="480" w:lineRule="exact"/>
        <w:ind w:firstLine="480"/>
        <w:rPr>
          <w:rFonts w:hint="default" w:ascii="Times New Roman" w:hAnsi="Times New Roman" w:eastAsia="宋体" w:cs="Times New Roman"/>
          <w:color w:val="auto"/>
          <w:sz w:val="24"/>
          <w:szCs w:val="24"/>
          <w:lang w:val="en-US" w:eastAsia="zh-CN"/>
        </w:rPr>
      </w:pPr>
    </w:p>
    <w:p>
      <w:pPr>
        <w:pStyle w:val="97"/>
        <w:spacing w:line="480" w:lineRule="exact"/>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sz w:val="24"/>
        </w:rPr>
        <mc:AlternateContent>
          <mc:Choice Requires="wps">
            <w:drawing>
              <wp:anchor distT="0" distB="0" distL="114300" distR="114300" simplePos="0" relativeHeight="251666432" behindDoc="0" locked="0" layoutInCell="1" allowOverlap="1">
                <wp:simplePos x="0" y="0"/>
                <wp:positionH relativeFrom="column">
                  <wp:posOffset>2384425</wp:posOffset>
                </wp:positionH>
                <wp:positionV relativeFrom="paragraph">
                  <wp:posOffset>200660</wp:posOffset>
                </wp:positionV>
                <wp:extent cx="1257300" cy="400050"/>
                <wp:effectExtent l="0" t="0" r="0" b="0"/>
                <wp:wrapNone/>
                <wp:docPr id="12" name="矩形 12"/>
                <wp:cNvGraphicFramePr/>
                <a:graphic xmlns:a="http://schemas.openxmlformats.org/drawingml/2006/main">
                  <a:graphicData uri="http://schemas.microsoft.com/office/word/2010/wordprocessingShape">
                    <wps:wsp>
                      <wps:cNvSpPr/>
                      <wps:spPr>
                        <a:xfrm>
                          <a:off x="3498850" y="4550410"/>
                          <a:ext cx="1257300"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FF0000"/>
                                <w:sz w:val="21"/>
                                <w:szCs w:val="21"/>
                                <w:lang w:val="en-US" w:eastAsia="zh-CN"/>
                              </w:rPr>
                            </w:pPr>
                            <w:r>
                              <w:rPr>
                                <w:rFonts w:hint="eastAsia"/>
                                <w:color w:val="FF0000"/>
                                <w:sz w:val="21"/>
                                <w:szCs w:val="21"/>
                                <w:lang w:val="en-US" w:eastAsia="zh-CN"/>
                              </w:rPr>
                              <w:t>一级保护区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7.75pt;margin-top:15.8pt;height:31.5pt;width:99pt;z-index:251666432;v-text-anchor:middle;mso-width-relative:page;mso-height-relative:page;" filled="f" stroked="f" coordsize="21600,21600" o:gfxdata="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Le75OTXAAAACQEAAA8AAAAAAAAAAQAgAAAAIgAAAGRycy9kb3ducmV2LnhtbFBL&#10;AQIUABQAAAAIAIdO4kD5kiy2aQIAALsEAAAOAAAAAAAAAAEAIAAAACYBAABkcnMvZTJvRG9jLnht&#10;bFBLBQYAAAAABgAGAFkBAAABBgAAAAA=&#10;">
                <v:fill on="f" focussize="0,0"/>
                <v:stroke on="f" weight="1pt" miterlimit="8" joinstyle="miter"/>
                <v:imagedata o:title=""/>
                <o:lock v:ext="edit" aspectratio="f"/>
                <v:textbox>
                  <w:txbxContent>
                    <w:p>
                      <w:pPr>
                        <w:jc w:val="center"/>
                        <w:rPr>
                          <w:rFonts w:hint="default" w:eastAsia="宋体"/>
                          <w:color w:val="FF0000"/>
                          <w:sz w:val="21"/>
                          <w:szCs w:val="21"/>
                          <w:lang w:val="en-US" w:eastAsia="zh-CN"/>
                        </w:rPr>
                      </w:pPr>
                      <w:r>
                        <w:rPr>
                          <w:rFonts w:hint="eastAsia"/>
                          <w:color w:val="FF0000"/>
                          <w:sz w:val="21"/>
                          <w:szCs w:val="21"/>
                          <w:lang w:val="en-US" w:eastAsia="zh-CN"/>
                        </w:rPr>
                        <w:t>一级保护区</w:t>
                      </w:r>
                    </w:p>
                  </w:txbxContent>
                </v:textbox>
              </v:rect>
            </w:pict>
          </mc:Fallback>
        </mc:AlternateContent>
      </w:r>
    </w:p>
    <w:p>
      <w:pPr>
        <w:pStyle w:val="97"/>
        <w:spacing w:line="480" w:lineRule="exact"/>
        <w:ind w:firstLine="480"/>
        <w:rPr>
          <w:rFonts w:hint="default" w:ascii="Times New Roman" w:hAnsi="Times New Roman" w:eastAsia="宋体" w:cs="Times New Roman"/>
          <w:color w:val="auto"/>
          <w:sz w:val="24"/>
          <w:szCs w:val="24"/>
          <w:lang w:val="en-US" w:eastAsia="zh-CN"/>
        </w:rPr>
      </w:pPr>
    </w:p>
    <w:p>
      <w:pPr>
        <w:pStyle w:val="97"/>
        <w:spacing w:line="480" w:lineRule="exact"/>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sz w:val="24"/>
        </w:rPr>
        <mc:AlternateContent>
          <mc:Choice Requires="wps">
            <w:drawing>
              <wp:anchor distT="0" distB="0" distL="114300" distR="114300" simplePos="0" relativeHeight="251667456" behindDoc="0" locked="0" layoutInCell="1" allowOverlap="1">
                <wp:simplePos x="0" y="0"/>
                <wp:positionH relativeFrom="column">
                  <wp:posOffset>2422525</wp:posOffset>
                </wp:positionH>
                <wp:positionV relativeFrom="paragraph">
                  <wp:posOffset>29210</wp:posOffset>
                </wp:positionV>
                <wp:extent cx="1257300" cy="400050"/>
                <wp:effectExtent l="0" t="0" r="0" b="0"/>
                <wp:wrapNone/>
                <wp:docPr id="14" name="矩形 14"/>
                <wp:cNvGraphicFramePr/>
                <a:graphic xmlns:a="http://schemas.openxmlformats.org/drawingml/2006/main">
                  <a:graphicData uri="http://schemas.microsoft.com/office/word/2010/wordprocessingShape">
                    <wps:wsp>
                      <wps:cNvSpPr/>
                      <wps:spPr>
                        <a:xfrm>
                          <a:off x="0" y="0"/>
                          <a:ext cx="1257300"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FF0000"/>
                                <w:sz w:val="21"/>
                                <w:szCs w:val="21"/>
                                <w:lang w:val="en-US" w:eastAsia="zh-CN"/>
                              </w:rPr>
                            </w:pPr>
                            <w:r>
                              <w:rPr>
                                <w:rFonts w:hint="eastAsia"/>
                                <w:color w:val="FF0000"/>
                                <w:sz w:val="21"/>
                                <w:szCs w:val="21"/>
                                <w:lang w:val="en-US" w:eastAsia="zh-CN"/>
                              </w:rPr>
                              <w:t>二级保护区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0.75pt;margin-top:2.3pt;height:31.5pt;width:99pt;z-index:251667456;v-text-anchor:middle;mso-width-relative:page;mso-height-relative:page;" filled="f" stroked="f" coordsize="21600,21600" o:gfxdata="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mLw&#10;4dYAAAAIAQAADwAAAAAAAAABACAAAAAiAAAAZHJzL2Rvd25yZXYueG1sUEsBAhQAFAAAAAgAh07i&#10;QMezVzxdAgAArwQAAA4AAAAAAAAAAQAgAAAAJQEAAGRycy9lMm9Eb2MueG1sUEsFBgAAAAAGAAYA&#10;WQEAAPQFAAAAAA==&#10;">
                <v:fill on="f" focussize="0,0"/>
                <v:stroke on="f" weight="1pt" miterlimit="8" joinstyle="miter"/>
                <v:imagedata o:title=""/>
                <o:lock v:ext="edit" aspectratio="f"/>
                <v:textbox>
                  <w:txbxContent>
                    <w:p>
                      <w:pPr>
                        <w:jc w:val="center"/>
                        <w:rPr>
                          <w:rFonts w:hint="default" w:eastAsia="宋体"/>
                          <w:color w:val="FF0000"/>
                          <w:sz w:val="21"/>
                          <w:szCs w:val="21"/>
                          <w:lang w:val="en-US" w:eastAsia="zh-CN"/>
                        </w:rPr>
                      </w:pPr>
                      <w:r>
                        <w:rPr>
                          <w:rFonts w:hint="eastAsia"/>
                          <w:color w:val="FF0000"/>
                          <w:sz w:val="21"/>
                          <w:szCs w:val="21"/>
                          <w:lang w:val="en-US" w:eastAsia="zh-CN"/>
                        </w:rPr>
                        <w:t>二级保护区</w:t>
                      </w:r>
                    </w:p>
                  </w:txbxContent>
                </v:textbox>
              </v:rect>
            </w:pict>
          </mc:Fallback>
        </mc:AlternateContent>
      </w:r>
    </w:p>
    <w:p>
      <w:pPr>
        <w:pStyle w:val="97"/>
        <w:spacing w:line="480" w:lineRule="exact"/>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sz w:val="24"/>
        </w:rPr>
        <mc:AlternateContent>
          <mc:Choice Requires="wps">
            <w:drawing>
              <wp:anchor distT="0" distB="0" distL="114300" distR="114300" simplePos="0" relativeHeight="251668480" behindDoc="0" locked="0" layoutInCell="1" allowOverlap="1">
                <wp:simplePos x="0" y="0"/>
                <wp:positionH relativeFrom="column">
                  <wp:posOffset>2384425</wp:posOffset>
                </wp:positionH>
                <wp:positionV relativeFrom="paragraph">
                  <wp:posOffset>229235</wp:posOffset>
                </wp:positionV>
                <wp:extent cx="1257300" cy="400050"/>
                <wp:effectExtent l="0" t="0" r="0" b="0"/>
                <wp:wrapNone/>
                <wp:docPr id="16" name="矩形 16"/>
                <wp:cNvGraphicFramePr/>
                <a:graphic xmlns:a="http://schemas.openxmlformats.org/drawingml/2006/main">
                  <a:graphicData uri="http://schemas.microsoft.com/office/word/2010/wordprocessingShape">
                    <wps:wsp>
                      <wps:cNvSpPr/>
                      <wps:spPr>
                        <a:xfrm>
                          <a:off x="0" y="0"/>
                          <a:ext cx="1257300"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FF0000"/>
                                <w:sz w:val="21"/>
                                <w:szCs w:val="21"/>
                                <w:lang w:val="en-US" w:eastAsia="zh-CN"/>
                              </w:rPr>
                            </w:pPr>
                            <w:r>
                              <w:rPr>
                                <w:rFonts w:hint="eastAsia"/>
                                <w:color w:val="FF0000"/>
                                <w:sz w:val="21"/>
                                <w:szCs w:val="21"/>
                                <w:lang w:val="en-US" w:eastAsia="zh-CN"/>
                              </w:rPr>
                              <w:t>准保护区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7.75pt;margin-top:18.05pt;height:31.5pt;width:99pt;z-index:251668480;v-text-anchor:middle;mso-width-relative:page;mso-height-relative:page;" filled="f" stroked="f" coordsize="21600,21600" o:gfxdata="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n&#10;fAlw1wAAAAkBAAAPAAAAAAAAAAEAIAAAACIAAABkcnMvZG93bnJldi54bWxQSwECFAAUAAAACACH&#10;TuJAw8IPHV4CAACvBAAADgAAAAAAAAABACAAAAAmAQAAZHJzL2Uyb0RvYy54bWxQSwUGAAAAAAYA&#10;BgBZAQAA9gUAAAAA&#10;">
                <v:fill on="f" focussize="0,0"/>
                <v:stroke on="f" weight="1pt" miterlimit="8" joinstyle="miter"/>
                <v:imagedata o:title=""/>
                <o:lock v:ext="edit" aspectratio="f"/>
                <v:textbox>
                  <w:txbxContent>
                    <w:p>
                      <w:pPr>
                        <w:jc w:val="center"/>
                        <w:rPr>
                          <w:rFonts w:hint="default" w:eastAsia="宋体"/>
                          <w:color w:val="FF0000"/>
                          <w:sz w:val="21"/>
                          <w:szCs w:val="21"/>
                          <w:lang w:val="en-US" w:eastAsia="zh-CN"/>
                        </w:rPr>
                      </w:pPr>
                      <w:r>
                        <w:rPr>
                          <w:rFonts w:hint="eastAsia"/>
                          <w:color w:val="FF0000"/>
                          <w:sz w:val="21"/>
                          <w:szCs w:val="21"/>
                          <w:lang w:val="en-US" w:eastAsia="zh-CN"/>
                        </w:rPr>
                        <w:t>准保护区</w:t>
                      </w:r>
                    </w:p>
                  </w:txbxContent>
                </v:textbox>
              </v:rect>
            </w:pict>
          </mc:Fallback>
        </mc:AlternateContent>
      </w:r>
    </w:p>
    <w:p>
      <w:pPr>
        <w:pStyle w:val="97"/>
        <w:spacing w:line="480" w:lineRule="exact"/>
        <w:ind w:firstLine="480"/>
        <w:rPr>
          <w:rFonts w:hint="default" w:ascii="Times New Roman" w:hAnsi="Times New Roman" w:eastAsia="宋体" w:cs="Times New Roman"/>
          <w:color w:val="auto"/>
          <w:sz w:val="24"/>
          <w:szCs w:val="24"/>
          <w:lang w:val="en-US" w:eastAsia="zh-CN"/>
        </w:rPr>
      </w:pPr>
    </w:p>
    <w:p>
      <w:pPr>
        <w:pStyle w:val="97"/>
        <w:spacing w:line="480" w:lineRule="exact"/>
        <w:ind w:firstLine="480"/>
        <w:jc w:val="center"/>
        <w:rPr>
          <w:rFonts w:hint="default" w:ascii="Times New Roman" w:hAnsi="Times New Roman" w:eastAsia="宋体" w:cs="Times New Roman"/>
          <w:b/>
          <w:bCs/>
          <w:i w:val="0"/>
          <w:iCs w:val="0"/>
          <w:color w:val="auto"/>
          <w:sz w:val="24"/>
          <w:szCs w:val="24"/>
          <w:lang w:val="en-US" w:eastAsia="zh-CN"/>
        </w:rPr>
      </w:pPr>
      <w:r>
        <w:rPr>
          <w:rFonts w:hint="default" w:ascii="Times New Roman" w:hAnsi="Times New Roman" w:eastAsia="宋体" w:cs="Times New Roman"/>
          <w:b/>
          <w:bCs/>
          <w:i w:val="0"/>
          <w:iCs w:val="0"/>
          <w:color w:val="auto"/>
          <w:sz w:val="24"/>
          <w:szCs w:val="24"/>
          <w:lang w:val="en-US" w:eastAsia="zh-CN"/>
        </w:rPr>
        <w:t>图</w:t>
      </w:r>
      <w:r>
        <w:rPr>
          <w:rFonts w:hint="eastAsia" w:cs="Times New Roman"/>
          <w:b/>
          <w:bCs/>
          <w:i w:val="0"/>
          <w:iCs w:val="0"/>
          <w:color w:val="auto"/>
          <w:sz w:val="24"/>
          <w:szCs w:val="24"/>
          <w:lang w:val="en-US" w:eastAsia="zh-CN"/>
        </w:rPr>
        <w:t>3</w:t>
      </w:r>
      <w:r>
        <w:rPr>
          <w:rFonts w:hint="default" w:ascii="Times New Roman" w:hAnsi="Times New Roman" w:eastAsia="宋体" w:cs="Times New Roman"/>
          <w:b/>
          <w:bCs/>
          <w:i w:val="0"/>
          <w:iCs w:val="0"/>
          <w:color w:val="auto"/>
          <w:sz w:val="24"/>
          <w:szCs w:val="24"/>
          <w:lang w:val="en-US" w:eastAsia="zh-CN"/>
        </w:rPr>
        <w:t>.1-</w:t>
      </w:r>
      <w:r>
        <w:rPr>
          <w:rFonts w:hint="eastAsia" w:cs="Times New Roman"/>
          <w:b/>
          <w:bCs/>
          <w:i w:val="0"/>
          <w:iCs w:val="0"/>
          <w:color w:val="auto"/>
          <w:sz w:val="24"/>
          <w:szCs w:val="24"/>
          <w:lang w:val="en-US" w:eastAsia="zh-CN"/>
        </w:rPr>
        <w:t>2</w:t>
      </w:r>
      <w:r>
        <w:rPr>
          <w:rFonts w:hint="default" w:ascii="Times New Roman" w:hAnsi="Times New Roman" w:eastAsia="宋体" w:cs="Times New Roman"/>
          <w:b/>
          <w:bCs/>
          <w:i w:val="0"/>
          <w:iCs w:val="0"/>
          <w:color w:val="auto"/>
          <w:sz w:val="24"/>
          <w:szCs w:val="24"/>
          <w:lang w:val="en-US" w:eastAsia="zh-CN"/>
        </w:rPr>
        <w:t xml:space="preserve"> 太湖渔洋山饮用水水源保护区</w:t>
      </w:r>
    </w:p>
    <w:p>
      <w:pPr>
        <w:pStyle w:val="97"/>
        <w:spacing w:line="480" w:lineRule="exact"/>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一级保护区：2 个水厂取水口向四周外延500m 区域范围。</w:t>
      </w:r>
    </w:p>
    <w:p>
      <w:pPr>
        <w:pStyle w:val="97"/>
        <w:spacing w:line="480" w:lineRule="exact"/>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二级保护区：水域范围：一级保护区外，外延2000m的水域范围；陆域范围：二级保护区对应的海岸水域和下游坡脚100m外的陆域范围。</w:t>
      </w:r>
    </w:p>
    <w:p>
      <w:pPr>
        <w:pStyle w:val="97"/>
        <w:spacing w:line="480" w:lineRule="exact"/>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准保护区：二级保护区以外，外延1000m的区域。</w:t>
      </w:r>
    </w:p>
    <w:p>
      <w:pPr>
        <w:pStyle w:val="97"/>
        <w:spacing w:line="480" w:lineRule="exact"/>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本项目工程区域位于渔洋山水源地一级保护区和二级保护区内，具体工程范围见下图：</w:t>
      </w:r>
    </w:p>
    <w:p>
      <w:pPr>
        <w:pStyle w:val="97"/>
        <w:spacing w:line="480" w:lineRule="exact"/>
        <w:ind w:firstLine="480"/>
        <w:rPr>
          <w:rFonts w:hint="default" w:ascii="Times New Roman" w:hAnsi="Times New Roman" w:eastAsia="宋体" w:cs="Times New Roman"/>
          <w:color w:val="auto"/>
          <w:sz w:val="24"/>
          <w:szCs w:val="24"/>
          <w:lang w:val="en-US" w:eastAsia="zh-CN"/>
        </w:rPr>
      </w:pPr>
      <w:r>
        <w:rPr>
          <w:sz w:val="28"/>
        </w:rPr>
        <mc:AlternateContent>
          <mc:Choice Requires="wpg">
            <w:drawing>
              <wp:anchor distT="0" distB="0" distL="114300" distR="114300" simplePos="0" relativeHeight="251693056" behindDoc="0" locked="0" layoutInCell="1" allowOverlap="1">
                <wp:simplePos x="0" y="0"/>
                <wp:positionH relativeFrom="column">
                  <wp:posOffset>93980</wp:posOffset>
                </wp:positionH>
                <wp:positionV relativeFrom="paragraph">
                  <wp:posOffset>27305</wp:posOffset>
                </wp:positionV>
                <wp:extent cx="5532120" cy="3850640"/>
                <wp:effectExtent l="0" t="0" r="11430" b="16510"/>
                <wp:wrapNone/>
                <wp:docPr id="60" name="组合 60"/>
                <wp:cNvGraphicFramePr/>
                <a:graphic xmlns:a="http://schemas.openxmlformats.org/drawingml/2006/main">
                  <a:graphicData uri="http://schemas.microsoft.com/office/word/2010/wordprocessingGroup">
                    <wpg:wgp>
                      <wpg:cNvGrpSpPr/>
                      <wpg:grpSpPr>
                        <a:xfrm>
                          <a:off x="0" y="0"/>
                          <a:ext cx="5532120" cy="3850640"/>
                          <a:chOff x="1871" y="1243363"/>
                          <a:chExt cx="8712" cy="6064"/>
                        </a:xfrm>
                      </wpg:grpSpPr>
                      <pic:pic xmlns:pic="http://schemas.openxmlformats.org/drawingml/2006/picture">
                        <pic:nvPicPr>
                          <pic:cNvPr id="27" name="图片 10"/>
                          <pic:cNvPicPr>
                            <a:picLocks noChangeAspect="1"/>
                          </pic:cNvPicPr>
                        </pic:nvPicPr>
                        <pic:blipFill>
                          <a:blip r:embed="rId16"/>
                          <a:stretch>
                            <a:fillRect/>
                          </a:stretch>
                        </pic:blipFill>
                        <pic:spPr>
                          <a:xfrm>
                            <a:off x="1871" y="1243363"/>
                            <a:ext cx="8713" cy="6064"/>
                          </a:xfrm>
                          <a:prstGeom prst="rect">
                            <a:avLst/>
                          </a:prstGeom>
                          <a:noFill/>
                          <a:ln>
                            <a:noFill/>
                          </a:ln>
                        </pic:spPr>
                      </pic:pic>
                      <wpg:grpSp>
                        <wpg:cNvPr id="34" name="组合 34"/>
                        <wpg:cNvGrpSpPr/>
                        <wpg:grpSpPr>
                          <a:xfrm rot="0">
                            <a:off x="6060" y="1243893"/>
                            <a:ext cx="2190" cy="3810"/>
                            <a:chOff x="5634" y="1276365"/>
                            <a:chExt cx="2190" cy="3810"/>
                          </a:xfrm>
                        </wpg:grpSpPr>
                        <wpg:grpSp>
                          <wpg:cNvPr id="28" name="组合 11"/>
                          <wpg:cNvGrpSpPr/>
                          <wpg:grpSpPr>
                            <a:xfrm rot="0">
                              <a:off x="5634" y="1276365"/>
                              <a:ext cx="2190" cy="3811"/>
                              <a:chOff x="3399" y="520"/>
                              <a:chExt cx="2021" cy="3708"/>
                            </a:xfrm>
                          </wpg:grpSpPr>
                          <wps:wsp>
                            <wps:cNvPr id="29" name="任意多边形 12"/>
                            <wps:cNvSpPr/>
                            <wps:spPr>
                              <a:xfrm>
                                <a:off x="3399" y="520"/>
                                <a:ext cx="2021" cy="3708"/>
                              </a:xfrm>
                              <a:custGeom>
                                <a:avLst/>
                                <a:gdLst/>
                                <a:ahLst/>
                                <a:cxnLst/>
                                <a:pathLst>
                                  <a:path w="2021" h="3708">
                                    <a:moveTo>
                                      <a:pt x="1587" y="3008"/>
                                    </a:moveTo>
                                    <a:lnTo>
                                      <a:pt x="677" y="3008"/>
                                    </a:lnTo>
                                    <a:lnTo>
                                      <a:pt x="1740" y="3707"/>
                                    </a:lnTo>
                                    <a:lnTo>
                                      <a:pt x="2020" y="3288"/>
                                    </a:lnTo>
                                    <a:lnTo>
                                      <a:pt x="1587" y="3008"/>
                                    </a:lnTo>
                                    <a:close/>
                                  </a:path>
                                </a:pathLst>
                              </a:custGeom>
                              <a:solidFill>
                                <a:srgbClr val="C0504D">
                                  <a:alpha val="70195"/>
                                </a:srgbClr>
                              </a:solidFill>
                              <a:ln>
                                <a:noFill/>
                              </a:ln>
                            </wps:spPr>
                            <wps:bodyPr wrap="square" upright="1"/>
                          </wps:wsp>
                          <wps:wsp>
                            <wps:cNvPr id="30" name="任意多边形 13"/>
                            <wps:cNvSpPr/>
                            <wps:spPr>
                              <a:xfrm>
                                <a:off x="3399" y="520"/>
                                <a:ext cx="2021" cy="3708"/>
                              </a:xfrm>
                              <a:custGeom>
                                <a:avLst/>
                                <a:gdLst/>
                                <a:ahLst/>
                                <a:cxnLst/>
                                <a:pathLst>
                                  <a:path w="2021" h="3708">
                                    <a:moveTo>
                                      <a:pt x="129" y="644"/>
                                    </a:moveTo>
                                    <a:lnTo>
                                      <a:pt x="32" y="967"/>
                                    </a:lnTo>
                                    <a:lnTo>
                                      <a:pt x="0" y="1225"/>
                                    </a:lnTo>
                                    <a:lnTo>
                                      <a:pt x="10" y="1504"/>
                                    </a:lnTo>
                                    <a:lnTo>
                                      <a:pt x="10" y="1601"/>
                                    </a:lnTo>
                                    <a:lnTo>
                                      <a:pt x="21" y="1826"/>
                                    </a:lnTo>
                                    <a:lnTo>
                                      <a:pt x="53" y="2073"/>
                                    </a:lnTo>
                                    <a:lnTo>
                                      <a:pt x="236" y="2568"/>
                                    </a:lnTo>
                                    <a:lnTo>
                                      <a:pt x="591" y="3084"/>
                                    </a:lnTo>
                                    <a:lnTo>
                                      <a:pt x="591" y="3095"/>
                                    </a:lnTo>
                                    <a:lnTo>
                                      <a:pt x="677" y="3008"/>
                                    </a:lnTo>
                                    <a:lnTo>
                                      <a:pt x="1587" y="3008"/>
                                    </a:lnTo>
                                    <a:lnTo>
                                      <a:pt x="1504" y="2955"/>
                                    </a:lnTo>
                                    <a:lnTo>
                                      <a:pt x="1203" y="2729"/>
                                    </a:lnTo>
                                    <a:lnTo>
                                      <a:pt x="913" y="2535"/>
                                    </a:lnTo>
                                    <a:lnTo>
                                      <a:pt x="677" y="2353"/>
                                    </a:lnTo>
                                    <a:lnTo>
                                      <a:pt x="677" y="1192"/>
                                    </a:lnTo>
                                    <a:lnTo>
                                      <a:pt x="730" y="902"/>
                                    </a:lnTo>
                                    <a:lnTo>
                                      <a:pt x="788" y="730"/>
                                    </a:lnTo>
                                    <a:lnTo>
                                      <a:pt x="440" y="730"/>
                                    </a:lnTo>
                                    <a:lnTo>
                                      <a:pt x="129" y="644"/>
                                    </a:lnTo>
                                    <a:close/>
                                  </a:path>
                                </a:pathLst>
                              </a:custGeom>
                              <a:solidFill>
                                <a:srgbClr val="C0504D">
                                  <a:alpha val="70195"/>
                                </a:srgbClr>
                              </a:solidFill>
                              <a:ln>
                                <a:noFill/>
                              </a:ln>
                            </wps:spPr>
                            <wps:bodyPr wrap="square" upright="1"/>
                          </wps:wsp>
                          <wps:wsp>
                            <wps:cNvPr id="31" name="任意多边形 14"/>
                            <wps:cNvSpPr/>
                            <wps:spPr>
                              <a:xfrm>
                                <a:off x="3399" y="520"/>
                                <a:ext cx="2021" cy="3708"/>
                              </a:xfrm>
                              <a:custGeom>
                                <a:avLst/>
                                <a:gdLst/>
                                <a:ahLst/>
                                <a:cxnLst/>
                                <a:pathLst>
                                  <a:path w="2021" h="3708">
                                    <a:moveTo>
                                      <a:pt x="1665" y="0"/>
                                    </a:moveTo>
                                    <a:lnTo>
                                      <a:pt x="999" y="215"/>
                                    </a:lnTo>
                                    <a:lnTo>
                                      <a:pt x="902" y="215"/>
                                    </a:lnTo>
                                    <a:lnTo>
                                      <a:pt x="655" y="451"/>
                                    </a:lnTo>
                                    <a:lnTo>
                                      <a:pt x="440" y="730"/>
                                    </a:lnTo>
                                    <a:lnTo>
                                      <a:pt x="788" y="730"/>
                                    </a:lnTo>
                                    <a:lnTo>
                                      <a:pt x="795" y="709"/>
                                    </a:lnTo>
                                    <a:lnTo>
                                      <a:pt x="1182" y="462"/>
                                    </a:lnTo>
                                    <a:lnTo>
                                      <a:pt x="1762" y="247"/>
                                    </a:lnTo>
                                    <a:lnTo>
                                      <a:pt x="1749" y="215"/>
                                    </a:lnTo>
                                    <a:lnTo>
                                      <a:pt x="999" y="215"/>
                                    </a:lnTo>
                                    <a:lnTo>
                                      <a:pt x="978" y="182"/>
                                    </a:lnTo>
                                    <a:lnTo>
                                      <a:pt x="1737" y="182"/>
                                    </a:lnTo>
                                    <a:lnTo>
                                      <a:pt x="1665" y="0"/>
                                    </a:lnTo>
                                    <a:close/>
                                  </a:path>
                                </a:pathLst>
                              </a:custGeom>
                              <a:solidFill>
                                <a:srgbClr val="C0504D">
                                  <a:alpha val="70195"/>
                                </a:srgbClr>
                              </a:solidFill>
                              <a:ln>
                                <a:noFill/>
                              </a:ln>
                            </wps:spPr>
                            <wps:bodyPr wrap="square" upright="1"/>
                          </wps:wsp>
                        </wpg:grpSp>
                        <wps:wsp>
                          <wps:cNvPr id="32" name="任意多边形 15"/>
                          <wps:cNvSpPr/>
                          <wps:spPr>
                            <a:xfrm>
                              <a:off x="5634" y="1276365"/>
                              <a:ext cx="2190" cy="3811"/>
                            </a:xfrm>
                            <a:custGeom>
                              <a:avLst/>
                              <a:gdLst/>
                              <a:ahLst/>
                              <a:cxnLst/>
                              <a:pathLst>
                                <a:path w="2021" h="3708">
                                  <a:moveTo>
                                    <a:pt x="1762" y="247"/>
                                  </a:moveTo>
                                  <a:lnTo>
                                    <a:pt x="1665" y="0"/>
                                  </a:lnTo>
                                  <a:lnTo>
                                    <a:pt x="999" y="215"/>
                                  </a:lnTo>
                                  <a:lnTo>
                                    <a:pt x="978" y="182"/>
                                  </a:lnTo>
                                  <a:lnTo>
                                    <a:pt x="902" y="215"/>
                                  </a:lnTo>
                                  <a:lnTo>
                                    <a:pt x="655" y="451"/>
                                  </a:lnTo>
                                  <a:lnTo>
                                    <a:pt x="440" y="730"/>
                                  </a:lnTo>
                                  <a:lnTo>
                                    <a:pt x="129" y="644"/>
                                  </a:lnTo>
                                  <a:lnTo>
                                    <a:pt x="32" y="967"/>
                                  </a:lnTo>
                                  <a:lnTo>
                                    <a:pt x="0" y="1225"/>
                                  </a:lnTo>
                                  <a:lnTo>
                                    <a:pt x="10" y="1504"/>
                                  </a:lnTo>
                                  <a:lnTo>
                                    <a:pt x="10" y="1601"/>
                                  </a:lnTo>
                                  <a:lnTo>
                                    <a:pt x="21" y="1826"/>
                                  </a:lnTo>
                                  <a:lnTo>
                                    <a:pt x="53" y="2073"/>
                                  </a:lnTo>
                                  <a:lnTo>
                                    <a:pt x="236" y="2568"/>
                                  </a:lnTo>
                                  <a:lnTo>
                                    <a:pt x="591" y="3084"/>
                                  </a:lnTo>
                                  <a:lnTo>
                                    <a:pt x="591" y="3095"/>
                                  </a:lnTo>
                                  <a:lnTo>
                                    <a:pt x="677" y="3008"/>
                                  </a:lnTo>
                                  <a:lnTo>
                                    <a:pt x="1740" y="3707"/>
                                  </a:lnTo>
                                  <a:lnTo>
                                    <a:pt x="2020" y="3288"/>
                                  </a:lnTo>
                                  <a:lnTo>
                                    <a:pt x="1504" y="2955"/>
                                  </a:lnTo>
                                  <a:lnTo>
                                    <a:pt x="1203" y="2729"/>
                                  </a:lnTo>
                                  <a:lnTo>
                                    <a:pt x="913" y="2535"/>
                                  </a:lnTo>
                                  <a:lnTo>
                                    <a:pt x="677" y="2353"/>
                                  </a:lnTo>
                                  <a:lnTo>
                                    <a:pt x="677" y="1192"/>
                                  </a:lnTo>
                                  <a:lnTo>
                                    <a:pt x="730" y="902"/>
                                  </a:lnTo>
                                  <a:lnTo>
                                    <a:pt x="795" y="709"/>
                                  </a:lnTo>
                                  <a:lnTo>
                                    <a:pt x="1182" y="462"/>
                                  </a:lnTo>
                                  <a:lnTo>
                                    <a:pt x="1762" y="247"/>
                                  </a:lnTo>
                                  <a:close/>
                                </a:path>
                              </a:pathLst>
                            </a:custGeom>
                            <a:noFill/>
                            <a:ln w="25400" cap="flat" cmpd="sng">
                              <a:solidFill>
                                <a:srgbClr val="FF0000"/>
                              </a:solidFill>
                              <a:prstDash val="solid"/>
                              <a:headEnd type="none" w="med" len="med"/>
                              <a:tailEnd type="none" w="med" len="med"/>
                            </a:ln>
                          </wps:spPr>
                          <wps:bodyPr wrap="square" upright="1"/>
                        </wps:wsp>
                      </wpg:grpSp>
                      <wps:wsp>
                        <wps:cNvPr id="18" name="矩形 18"/>
                        <wps:cNvSpPr/>
                        <wps:spPr>
                          <a:xfrm>
                            <a:off x="2210" y="1243779"/>
                            <a:ext cx="1414" cy="4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FF0000"/>
                                  <w:sz w:val="15"/>
                                  <w:szCs w:val="15"/>
                                  <w:lang w:val="en-US" w:eastAsia="zh-CN"/>
                                </w:rPr>
                              </w:pPr>
                              <w:r>
                                <w:rPr>
                                  <w:rFonts w:hint="eastAsia"/>
                                  <w:color w:val="FF0000"/>
                                  <w:sz w:val="15"/>
                                  <w:szCs w:val="15"/>
                                  <w:lang w:val="en-US" w:eastAsia="zh-CN"/>
                                </w:rPr>
                                <w:t>一级保护区范围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 name="肘形连接符 20"/>
                        <wps:cNvCnPr/>
                        <wps:spPr>
                          <a:xfrm rot="10800000">
                            <a:off x="2733" y="1244220"/>
                            <a:ext cx="826" cy="458"/>
                          </a:xfrm>
                          <a:prstGeom prst="bentConnector3">
                            <a:avLst>
                              <a:gd name="adj1" fmla="val -1937"/>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 name="肘形连接符 21"/>
                        <wps:cNvCnPr/>
                        <wps:spPr>
                          <a:xfrm rot="10800000">
                            <a:off x="6237" y="1244108"/>
                            <a:ext cx="573" cy="438"/>
                          </a:xfrm>
                          <a:prstGeom prst="bentConnector3">
                            <a:avLst>
                              <a:gd name="adj1" fmla="val -1570"/>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 name="矩形 22"/>
                        <wps:cNvSpPr/>
                        <wps:spPr>
                          <a:xfrm>
                            <a:off x="5579" y="1243660"/>
                            <a:ext cx="1414" cy="4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FF0000"/>
                                  <w:sz w:val="15"/>
                                  <w:szCs w:val="15"/>
                                  <w:lang w:val="en-US" w:eastAsia="zh-CN"/>
                                </w:rPr>
                              </w:pPr>
                              <w:r>
                                <w:rPr>
                                  <w:rFonts w:hint="eastAsia"/>
                                  <w:color w:val="FF0000"/>
                                  <w:sz w:val="15"/>
                                  <w:szCs w:val="15"/>
                                  <w:lang w:val="en-US" w:eastAsia="zh-CN"/>
                                </w:rPr>
                                <w:t>工程设计范围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8" name="矩形 38"/>
                        <wps:cNvSpPr/>
                        <wps:spPr>
                          <a:xfrm>
                            <a:off x="6237" y="1247981"/>
                            <a:ext cx="1414" cy="4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FF0000"/>
                                  <w:sz w:val="15"/>
                                  <w:szCs w:val="15"/>
                                  <w:lang w:val="en-US" w:eastAsia="zh-CN"/>
                                </w:rPr>
                              </w:pPr>
                              <w:r>
                                <w:rPr>
                                  <w:rFonts w:hint="eastAsia"/>
                                  <w:color w:val="FF0000"/>
                                  <w:sz w:val="15"/>
                                  <w:szCs w:val="15"/>
                                  <w:lang w:val="en-US" w:eastAsia="zh-CN"/>
                                </w:rPr>
                                <w:t>二级保护区范围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 name="矩形 39"/>
                        <wps:cNvSpPr/>
                        <wps:spPr>
                          <a:xfrm>
                            <a:off x="4478" y="1243397"/>
                            <a:ext cx="1414" cy="4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FF0000"/>
                                  <w:sz w:val="15"/>
                                  <w:szCs w:val="15"/>
                                  <w:lang w:val="en-US" w:eastAsia="zh-CN"/>
                                </w:rPr>
                              </w:pPr>
                              <w:r>
                                <w:rPr>
                                  <w:rFonts w:hint="eastAsia"/>
                                  <w:color w:val="FF0000"/>
                                  <w:sz w:val="15"/>
                                  <w:szCs w:val="15"/>
                                  <w:lang w:val="en-US" w:eastAsia="zh-CN"/>
                                </w:rPr>
                                <w:t>二级保护区范围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 name="肘形连接符 6"/>
                        <wps:cNvCnPr/>
                        <wps:spPr>
                          <a:xfrm rot="10800000">
                            <a:off x="3806" y="1245643"/>
                            <a:ext cx="826" cy="458"/>
                          </a:xfrm>
                          <a:prstGeom prst="bentConnector3">
                            <a:avLst>
                              <a:gd name="adj1" fmla="val -1937"/>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3" name="矩形 13"/>
                        <wps:cNvSpPr/>
                        <wps:spPr>
                          <a:xfrm>
                            <a:off x="3518" y="1245252"/>
                            <a:ext cx="1414" cy="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FF0000"/>
                                  <w:sz w:val="15"/>
                                  <w:szCs w:val="15"/>
                                  <w:lang w:val="en-US" w:eastAsia="zh-CN"/>
                                </w:rPr>
                              </w:pPr>
                              <w:r>
                                <w:rPr>
                                  <w:rFonts w:hint="eastAsia"/>
                                  <w:color w:val="FF0000"/>
                                  <w:sz w:val="15"/>
                                  <w:szCs w:val="15"/>
                                  <w:lang w:val="en-US" w:eastAsia="zh-CN"/>
                                </w:rPr>
                                <w:t>1#取水口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 name="矩形 46"/>
                        <wps:cNvSpPr/>
                        <wps:spPr>
                          <a:xfrm>
                            <a:off x="3275" y="1246375"/>
                            <a:ext cx="1414" cy="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FF0000"/>
                                  <w:sz w:val="15"/>
                                  <w:szCs w:val="15"/>
                                  <w:lang w:val="en-US" w:eastAsia="zh-CN"/>
                                </w:rPr>
                              </w:pPr>
                              <w:r>
                                <w:rPr>
                                  <w:rFonts w:hint="eastAsia"/>
                                  <w:color w:val="FF0000"/>
                                  <w:sz w:val="15"/>
                                  <w:szCs w:val="15"/>
                                  <w:lang w:val="en-US" w:eastAsia="zh-CN"/>
                                </w:rPr>
                                <w:t>2#取水口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4" name="肘形连接符 54"/>
                        <wps:cNvCnPr/>
                        <wps:spPr>
                          <a:xfrm rot="10800000" flipV="1">
                            <a:off x="3682" y="1246377"/>
                            <a:ext cx="933" cy="500"/>
                          </a:xfrm>
                          <a:prstGeom prst="bentConnector3">
                            <a:avLst>
                              <a:gd name="adj1" fmla="val 0"/>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7.4pt;margin-top:2.15pt;height:303.2pt;width:435.6pt;z-index:251693056;mso-width-relative:page;mso-height-relative:page;" coordorigin="1871,1243363" coordsize="8712,6064" o:gfxdata="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">
                <o:lock v:ext="edit" aspectratio="f"/>
                <v:shape id="图片 10" o:spid="_x0000_s1026" o:spt="75" type="#_x0000_t75" style="position:absolute;left:1871;top:1243363;height:6064;width:8713;" filled="f" o:preferrelative="t" stroked="f" coordsize="21600,21600" o:gfxdata="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ke2b4A&#10;AADbAAAADwAAAAAAAAABACAAAAAiAAAAZHJzL2Rvd25yZXYueG1sUEsBAhQAFAAAAAgAh07iQDMv&#10;BZ47AAAAOQAAABAAAAAAAAAAAQAgAAAADQEAAGRycy9zaGFwZXhtbC54bWxQSwUGAAAAAAYABgBb&#10;AQAAtwMAAAAA&#10;">
                  <v:fill on="f" focussize="0,0"/>
                  <v:stroke on="f"/>
                  <v:imagedata r:id="rId16" o:title=""/>
                  <o:lock v:ext="edit" aspectratio="t"/>
                </v:shape>
                <v:group id="_x0000_s1026" o:spid="_x0000_s1026" o:spt="203" style="position:absolute;left:6060;top:1243893;height:3810;width:2190;" coordorigin="5634,1276365" coordsize="2190,3810"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group id="组合 11" o:spid="_x0000_s1026" o:spt="203" style="position:absolute;left:5634;top:1276365;height:3811;width:2190;" coordorigin="3399,520" coordsize="2021,3708"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shape id="任意多边形 12" o:spid="_x0000_s1026" o:spt="100" style="position:absolute;left:3399;top:520;height:3708;width:2021;" fillcolor="#C0504D" filled="t" stroked="f" coordsize="2021,3708" o:gfxdata="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aMpkvQAA&#10;ANsAAAAPAAAAAAAAAAEAIAAAACIAAABkcnMvZG93bnJldi54bWxQSwECFAAUAAAACACHTuJAMy8F&#10;njsAAAA5AAAAEAAAAAAAAAABACAAAAAMAQAAZHJzL3NoYXBleG1sLnhtbFBLBQYAAAAABgAGAFsB&#10;AAC2AwAAAAA=&#10;" path="m1587,3008l677,3008,1740,3707,2020,3288,1587,3008xe">
                      <v:fill on="t" opacity="46002f" focussize="0,0"/>
                      <v:stroke on="f"/>
                      <v:imagedata o:title=""/>
                      <o:lock v:ext="edit" aspectratio="f"/>
                    </v:shape>
                    <v:shape id="任意多边形 13" o:spid="_x0000_s1026" o:spt="100" style="position:absolute;left:3399;top:520;height:3708;width:2021;" fillcolor="#C0504D" filled="t" stroked="f" coordsize="2021,3708" o:gfxdata="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L9SS8AAAA&#10;2wAAAA8AAAAAAAAAAQAgAAAAIgAAAGRycy9kb3ducmV2LnhtbFBLAQIUABQAAAAIAIdO4kAzLwWe&#10;OwAAADkAAAAQAAAAAAAAAAEAIAAAAAsBAABkcnMvc2hhcGV4bWwueG1sUEsFBgAAAAAGAAYAWwEA&#10;ALUDAAAAAA==&#10;" path="m129,644l32,967,0,1225,10,1504,10,1601,21,1826,53,2073,236,2568,591,3084,591,3095,677,3008,1587,3008,1504,2955,1203,2729,913,2535,677,2353,677,1192,730,902,788,730,440,730,129,644xe">
                      <v:fill on="t" opacity="46002f" focussize="0,0"/>
                      <v:stroke on="f"/>
                      <v:imagedata o:title=""/>
                      <o:lock v:ext="edit" aspectratio="f"/>
                    </v:shape>
                    <v:shape id="任意多边形 14" o:spid="_x0000_s1026" o:spt="100" style="position:absolute;left:3399;top:520;height:3708;width:2021;" fillcolor="#C0504D" filled="t" stroked="f" coordsize="2021,3708" o:gfxdata="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UL+/&#10;AAAA2wAAAA8AAAAAAAAAAQAgAAAAIgAAAGRycy9kb3ducmV2LnhtbFBLAQIUABQAAAAIAIdO4kAz&#10;LwWeOwAAADkAAAAQAAAAAAAAAAEAIAAAAA4BAABkcnMvc2hhcGV4bWwueG1sUEsFBgAAAAAGAAYA&#10;WwEAALgDAAAAAA==&#10;" path="m1665,0l999,215,902,215,655,451,440,730,788,730,795,709,1182,462,1762,247,1749,215,999,215,978,182,1737,182,1665,0xe">
                      <v:fill on="t" opacity="46002f" focussize="0,0"/>
                      <v:stroke on="f"/>
                      <v:imagedata o:title=""/>
                      <o:lock v:ext="edit" aspectratio="f"/>
                    </v:shape>
                  </v:group>
                  <v:shape id="任意多边形 15" o:spid="_x0000_s1026" o:spt="100" style="position:absolute;left:5634;top:1276365;height:3811;width:2190;" filled="f" stroked="t" coordsize="2021,3708" o:gfxdata="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KqkHvQAA&#10;ANsAAAAPAAAAAAAAAAEAIAAAACIAAABkcnMvZG93bnJldi54bWxQSwECFAAUAAAACACHTuJAMy8F&#10;njsAAAA5AAAAEAAAAAAAAAABACAAAAAMAQAAZHJzL3NoYXBleG1sLnhtbFBLBQYAAAAABgAGAFsB&#10;AAC2AwAAAAA=&#10;" path="m1762,247l1665,0,999,215,978,182,902,215,655,451,440,730,129,644,32,967,0,1225,10,1504,10,1601,21,1826,53,2073,236,2568,591,3084,591,3095,677,3008,1740,3707,2020,3288,1504,2955,1203,2729,913,2535,677,2353,677,1192,730,902,795,709,1182,462,1762,247xe">
                    <v:fill on="f" focussize="0,0"/>
                    <v:stroke weight="2pt" color="#FF0000" joinstyle="round"/>
                    <v:imagedata o:title=""/>
                    <o:lock v:ext="edit" aspectratio="f"/>
                  </v:shape>
                </v:group>
                <v:rect id="_x0000_s1026" o:spid="_x0000_s1026" o:spt="1" style="position:absolute;left:2210;top:1243779;height:435;width:1414;v-text-anchor:middle;" fillcolor="#FFFFFF [3212]" filled="t" stroked="f" coordsize="21600,21600" o:gfxdata="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2u82/&#10;AAAA2w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textbox>
                    <w:txbxContent>
                      <w:p>
                        <w:pPr>
                          <w:jc w:val="center"/>
                          <w:rPr>
                            <w:rFonts w:hint="default" w:eastAsia="宋体"/>
                            <w:color w:val="FF0000"/>
                            <w:sz w:val="15"/>
                            <w:szCs w:val="15"/>
                            <w:lang w:val="en-US" w:eastAsia="zh-CN"/>
                          </w:rPr>
                        </w:pPr>
                        <w:r>
                          <w:rPr>
                            <w:rFonts w:hint="eastAsia"/>
                            <w:color w:val="FF0000"/>
                            <w:sz w:val="15"/>
                            <w:szCs w:val="15"/>
                            <w:lang w:val="en-US" w:eastAsia="zh-CN"/>
                          </w:rPr>
                          <w:t>一级保护区范围</w:t>
                        </w:r>
                      </w:p>
                    </w:txbxContent>
                  </v:textbox>
                </v:rect>
                <v:shape id="_x0000_s1026" o:spid="_x0000_s1026" o:spt="34" type="#_x0000_t34" style="position:absolute;left:2733;top:1244220;height:458;width:826;rotation:11796480f;" filled="f" stroked="t" coordsize="21600,21600" o:gfxdata="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stzvQAA&#10;ANsAAAAPAAAAAAAAAAEAIAAAACIAAABkcnMvZG93bnJldi54bWxQSwECFAAUAAAACACHTuJAMy8F&#10;njsAAAA5AAAAEAAAAAAAAAABACAAAAAMAQAAZHJzL3NoYXBleG1sLnhtbFBLBQYAAAAABgAGAFsB&#10;AAC2AwAAAAA=&#10;" adj="-418">
                  <v:fill on="f" focussize="0,0"/>
                  <v:stroke weight="1pt" color="#FF0000 [3204]" miterlimit="8" joinstyle="miter"/>
                  <v:imagedata o:title=""/>
                  <o:lock v:ext="edit" aspectratio="f"/>
                </v:shape>
                <v:shape id="_x0000_s1026" o:spid="_x0000_s1026" o:spt="34" type="#_x0000_t34" style="position:absolute;left:6237;top:1244108;height:438;width:573;rotation:11796480f;" filled="f" stroked="t" coordsize="21600,21600" o:gfxdata="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XOc74A&#10;AADbAAAADwAAAAAAAAABACAAAAAiAAAAZHJzL2Rvd25yZXYueG1sUEsBAhQAFAAAAAgAh07iQDMv&#10;BZ47AAAAOQAAABAAAAAAAAAAAQAgAAAADQEAAGRycy9zaGFwZXhtbC54bWxQSwUGAAAAAAYABgBb&#10;AQAAtwMAAAAA&#10;" adj="-339">
                  <v:fill on="f" focussize="0,0"/>
                  <v:stroke weight="1pt" color="#FF0000 [3204]" miterlimit="8" joinstyle="miter"/>
                  <v:imagedata o:title=""/>
                  <o:lock v:ext="edit" aspectratio="f"/>
                </v:shape>
                <v:rect id="_x0000_s1026" o:spid="_x0000_s1026" o:spt="1" style="position:absolute;left:5579;top:1243660;height:435;width:1414;v-text-anchor:middle;" fillcolor="#FFFFFF [3212]" filled="t" stroked="f" coordsize="21600,21600" o:gfxdata="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JGmr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jc w:val="center"/>
                          <w:rPr>
                            <w:rFonts w:hint="default" w:eastAsia="宋体"/>
                            <w:color w:val="FF0000"/>
                            <w:sz w:val="15"/>
                            <w:szCs w:val="15"/>
                            <w:lang w:val="en-US" w:eastAsia="zh-CN"/>
                          </w:rPr>
                        </w:pPr>
                        <w:r>
                          <w:rPr>
                            <w:rFonts w:hint="eastAsia"/>
                            <w:color w:val="FF0000"/>
                            <w:sz w:val="15"/>
                            <w:szCs w:val="15"/>
                            <w:lang w:val="en-US" w:eastAsia="zh-CN"/>
                          </w:rPr>
                          <w:t>工程设计范围</w:t>
                        </w:r>
                      </w:p>
                    </w:txbxContent>
                  </v:textbox>
                </v:rect>
                <v:rect id="_x0000_s1026" o:spid="_x0000_s1026" o:spt="1" style="position:absolute;left:6237;top:1247981;height:435;width:1414;v-text-anchor:middle;" fillcolor="#FFFFFF [3212]" filled="t" stroked="f" coordsize="21600,21600" o:gfxdata="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w+et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pPr>
                          <w:jc w:val="center"/>
                          <w:rPr>
                            <w:rFonts w:hint="default" w:eastAsia="宋体"/>
                            <w:color w:val="FF0000"/>
                            <w:sz w:val="15"/>
                            <w:szCs w:val="15"/>
                            <w:lang w:val="en-US" w:eastAsia="zh-CN"/>
                          </w:rPr>
                        </w:pPr>
                        <w:r>
                          <w:rPr>
                            <w:rFonts w:hint="eastAsia"/>
                            <w:color w:val="FF0000"/>
                            <w:sz w:val="15"/>
                            <w:szCs w:val="15"/>
                            <w:lang w:val="en-US" w:eastAsia="zh-CN"/>
                          </w:rPr>
                          <w:t>二级保护区范围</w:t>
                        </w:r>
                      </w:p>
                    </w:txbxContent>
                  </v:textbox>
                </v:rect>
                <v:rect id="_x0000_s1026" o:spid="_x0000_s1026" o:spt="1" style="position:absolute;left:4478;top:1243397;height:435;width:1414;v-text-anchor:middle;" fillcolor="#FFFFFF [3212]" filled="t" stroked="f" coordsize="21600,21600" o:gfxdata="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9CNr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jc w:val="center"/>
                          <w:rPr>
                            <w:rFonts w:hint="default" w:eastAsia="宋体"/>
                            <w:color w:val="FF0000"/>
                            <w:sz w:val="15"/>
                            <w:szCs w:val="15"/>
                            <w:lang w:val="en-US" w:eastAsia="zh-CN"/>
                          </w:rPr>
                        </w:pPr>
                        <w:r>
                          <w:rPr>
                            <w:rFonts w:hint="eastAsia"/>
                            <w:color w:val="FF0000"/>
                            <w:sz w:val="15"/>
                            <w:szCs w:val="15"/>
                            <w:lang w:val="en-US" w:eastAsia="zh-CN"/>
                          </w:rPr>
                          <w:t>二级保护区范围</w:t>
                        </w:r>
                      </w:p>
                    </w:txbxContent>
                  </v:textbox>
                </v:rect>
                <v:shape id="_x0000_s1026" o:spid="_x0000_s1026" o:spt="34" type="#_x0000_t34" style="position:absolute;left:3806;top:1245643;height:458;width:826;rotation:11796480f;" filled="f" stroked="t" coordsize="21600,21600" o:gfxdata="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l3iJ7sAAADa&#10;AAAADwAAAAAAAAABACAAAAAiAAAAZHJzL2Rvd25yZXYueG1sUEsBAhQAFAAAAAgAh07iQDMvBZ47&#10;AAAAOQAAABAAAAAAAAAAAQAgAAAACgEAAGRycy9zaGFwZXhtbC54bWxQSwUGAAAAAAYABgBbAQAA&#10;tAMAAAAA&#10;" adj="-418">
                  <v:fill on="f" focussize="0,0"/>
                  <v:stroke weight="1pt" color="#FF0000 [3204]" miterlimit="8" joinstyle="miter"/>
                  <v:imagedata o:title=""/>
                  <o:lock v:ext="edit" aspectratio="f"/>
                </v:shape>
                <v:rect id="_x0000_s1026" o:spid="_x0000_s1026" o:spt="1" style="position:absolute;left:3518;top:1245252;height:435;width:1414;v-text-anchor:middle;" filled="f" stroked="f" coordsize="21600,21600" o:gfxdata="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zXZELgAAADbAAAA&#10;DwAAAAAAAAABACAAAAAiAAAAZHJzL2Rvd25yZXYueG1sUEsBAhQAFAAAAAgAh07iQDMvBZ47AAAA&#10;OQAAABAAAAAAAAAAAQAgAAAABwEAAGRycy9zaGFwZXhtbC54bWxQSwUGAAAAAAYABgBbAQAAsQMA&#10;AAAA&#10;">
                  <v:fill on="f" focussize="0,0"/>
                  <v:stroke on="f" weight="1pt" miterlimit="8" joinstyle="miter"/>
                  <v:imagedata o:title=""/>
                  <o:lock v:ext="edit" aspectratio="f"/>
                  <v:textbox>
                    <w:txbxContent>
                      <w:p>
                        <w:pPr>
                          <w:jc w:val="center"/>
                          <w:rPr>
                            <w:rFonts w:hint="default" w:eastAsia="宋体"/>
                            <w:color w:val="FF0000"/>
                            <w:sz w:val="15"/>
                            <w:szCs w:val="15"/>
                            <w:lang w:val="en-US" w:eastAsia="zh-CN"/>
                          </w:rPr>
                        </w:pPr>
                        <w:r>
                          <w:rPr>
                            <w:rFonts w:hint="eastAsia"/>
                            <w:color w:val="FF0000"/>
                            <w:sz w:val="15"/>
                            <w:szCs w:val="15"/>
                            <w:lang w:val="en-US" w:eastAsia="zh-CN"/>
                          </w:rPr>
                          <w:t>1#取水口</w:t>
                        </w:r>
                      </w:p>
                    </w:txbxContent>
                  </v:textbox>
                </v:rect>
                <v:rect id="_x0000_s1026" o:spid="_x0000_s1026" o:spt="1" style="position:absolute;left:3275;top:1246375;height:435;width:1414;v-text-anchor:middle;" filled="f" stroked="f" coordsize="21600,21600" o:gfxdata="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8VWVvQAA&#10;ANs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jc w:val="center"/>
                          <w:rPr>
                            <w:rFonts w:hint="default" w:eastAsia="宋体"/>
                            <w:color w:val="FF0000"/>
                            <w:sz w:val="15"/>
                            <w:szCs w:val="15"/>
                            <w:lang w:val="en-US" w:eastAsia="zh-CN"/>
                          </w:rPr>
                        </w:pPr>
                        <w:r>
                          <w:rPr>
                            <w:rFonts w:hint="eastAsia"/>
                            <w:color w:val="FF0000"/>
                            <w:sz w:val="15"/>
                            <w:szCs w:val="15"/>
                            <w:lang w:val="en-US" w:eastAsia="zh-CN"/>
                          </w:rPr>
                          <w:t>2#取水口</w:t>
                        </w:r>
                      </w:p>
                    </w:txbxContent>
                  </v:textbox>
                </v:rect>
                <v:shape id="_x0000_s1026" o:spid="_x0000_s1026" o:spt="34" type="#_x0000_t34" style="position:absolute;left:3682;top:1246377;flip:y;height:500;width:933;rotation:11796480f;" filled="f" stroked="t" coordsize="21600,21600" o:gfxdata="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jibi/&#10;AAAA2wAAAA8AAAAAAAAAAQAgAAAAIgAAAGRycy9kb3ducmV2LnhtbFBLAQIUABQAAAAIAIdO4kAz&#10;LwWeOwAAADkAAAAQAAAAAAAAAAEAIAAAAA4BAABkcnMvc2hhcGV4bWwueG1sUEsFBgAAAAAGAAYA&#10;WwEAALgDAAAAAA==&#10;" adj="0">
                  <v:fill on="f" focussize="0,0"/>
                  <v:stroke weight="1pt" color="#FF0000 [3204]" miterlimit="8" joinstyle="miter"/>
                  <v:imagedata o:title=""/>
                  <o:lock v:ext="edit" aspectratio="f"/>
                </v:shape>
              </v:group>
            </w:pict>
          </mc:Fallback>
        </mc:AlternateContent>
      </w:r>
    </w:p>
    <w:p>
      <w:pPr>
        <w:pStyle w:val="97"/>
        <w:spacing w:line="480" w:lineRule="exact"/>
        <w:ind w:firstLine="480"/>
        <w:rPr>
          <w:rFonts w:hint="default" w:ascii="Times New Roman" w:hAnsi="Times New Roman" w:eastAsia="宋体" w:cs="Times New Roman"/>
          <w:color w:val="auto"/>
          <w:sz w:val="24"/>
          <w:szCs w:val="24"/>
          <w:lang w:val="en-US" w:eastAsia="zh-CN"/>
        </w:rPr>
      </w:pPr>
    </w:p>
    <w:p>
      <w:pPr>
        <w:pStyle w:val="97"/>
        <w:spacing w:line="480" w:lineRule="exact"/>
        <w:ind w:firstLine="480"/>
        <w:rPr>
          <w:rFonts w:hint="default" w:ascii="Times New Roman" w:hAnsi="Times New Roman" w:eastAsia="宋体" w:cs="Times New Roman"/>
          <w:color w:val="auto"/>
          <w:sz w:val="24"/>
          <w:szCs w:val="24"/>
          <w:lang w:val="en-US" w:eastAsia="zh-CN"/>
        </w:rPr>
      </w:pPr>
    </w:p>
    <w:p>
      <w:pPr>
        <w:pStyle w:val="97"/>
        <w:spacing w:line="480" w:lineRule="exact"/>
        <w:ind w:firstLine="480"/>
        <w:rPr>
          <w:rFonts w:hint="default" w:ascii="Times New Roman" w:hAnsi="Times New Roman" w:eastAsia="宋体" w:cs="Times New Roman"/>
          <w:color w:val="auto"/>
          <w:sz w:val="24"/>
          <w:szCs w:val="24"/>
          <w:lang w:val="en-US" w:eastAsia="zh-CN"/>
        </w:rPr>
      </w:pPr>
    </w:p>
    <w:p>
      <w:pPr>
        <w:pStyle w:val="97"/>
        <w:spacing w:line="480" w:lineRule="exact"/>
        <w:ind w:firstLine="480"/>
        <w:rPr>
          <w:rFonts w:hint="default" w:ascii="Times New Roman" w:hAnsi="Times New Roman" w:eastAsia="宋体" w:cs="Times New Roman"/>
          <w:color w:val="auto"/>
          <w:sz w:val="24"/>
          <w:szCs w:val="24"/>
          <w:lang w:val="en-US" w:eastAsia="zh-CN"/>
        </w:rPr>
      </w:pPr>
    </w:p>
    <w:p>
      <w:pPr>
        <w:pStyle w:val="97"/>
        <w:spacing w:line="480" w:lineRule="exact"/>
        <w:ind w:firstLine="480"/>
        <w:rPr>
          <w:rFonts w:hint="default" w:ascii="Times New Roman" w:hAnsi="Times New Roman" w:eastAsia="宋体" w:cs="Times New Roman"/>
          <w:color w:val="auto"/>
          <w:sz w:val="24"/>
          <w:szCs w:val="24"/>
          <w:lang w:val="en-US" w:eastAsia="zh-CN"/>
        </w:rPr>
      </w:pPr>
    </w:p>
    <w:p>
      <w:pPr>
        <w:pStyle w:val="97"/>
        <w:spacing w:line="480" w:lineRule="exact"/>
        <w:ind w:firstLine="480"/>
        <w:rPr>
          <w:rFonts w:hint="default" w:ascii="Times New Roman" w:hAnsi="Times New Roman" w:eastAsia="宋体" w:cs="Times New Roman"/>
          <w:color w:val="auto"/>
          <w:sz w:val="24"/>
          <w:szCs w:val="24"/>
          <w:lang w:val="en-US" w:eastAsia="zh-CN"/>
        </w:rPr>
      </w:pPr>
    </w:p>
    <w:p>
      <w:pPr>
        <w:pStyle w:val="97"/>
        <w:spacing w:line="480" w:lineRule="exact"/>
        <w:ind w:firstLine="480"/>
        <w:rPr>
          <w:rFonts w:hint="default" w:ascii="Times New Roman" w:hAnsi="Times New Roman" w:eastAsia="宋体" w:cs="Times New Roman"/>
          <w:color w:val="auto"/>
          <w:sz w:val="24"/>
          <w:szCs w:val="24"/>
          <w:lang w:val="en-US" w:eastAsia="zh-CN"/>
        </w:rPr>
      </w:pPr>
    </w:p>
    <w:p>
      <w:pPr>
        <w:pStyle w:val="97"/>
        <w:spacing w:line="480" w:lineRule="exact"/>
        <w:ind w:firstLine="480"/>
        <w:rPr>
          <w:rFonts w:hint="default" w:ascii="Times New Roman" w:hAnsi="Times New Roman" w:eastAsia="宋体" w:cs="Times New Roman"/>
          <w:color w:val="auto"/>
          <w:sz w:val="24"/>
          <w:szCs w:val="24"/>
          <w:lang w:val="en-US" w:eastAsia="zh-CN"/>
        </w:rPr>
      </w:pPr>
    </w:p>
    <w:p>
      <w:pPr>
        <w:pStyle w:val="97"/>
        <w:spacing w:line="480" w:lineRule="exact"/>
        <w:ind w:firstLine="480"/>
        <w:rPr>
          <w:rFonts w:hint="default" w:ascii="Times New Roman" w:hAnsi="Times New Roman" w:eastAsia="宋体" w:cs="Times New Roman"/>
          <w:color w:val="auto"/>
          <w:sz w:val="24"/>
          <w:szCs w:val="24"/>
          <w:lang w:val="en-US" w:eastAsia="zh-CN"/>
        </w:rPr>
      </w:pPr>
    </w:p>
    <w:p>
      <w:pPr>
        <w:pStyle w:val="97"/>
        <w:spacing w:line="480" w:lineRule="exact"/>
        <w:ind w:firstLine="480"/>
        <w:rPr>
          <w:rFonts w:hint="default" w:ascii="Times New Roman" w:hAnsi="Times New Roman" w:eastAsia="宋体" w:cs="Times New Roman"/>
          <w:color w:val="auto"/>
          <w:sz w:val="24"/>
          <w:szCs w:val="24"/>
          <w:lang w:val="en-US" w:eastAsia="zh-CN"/>
        </w:rPr>
      </w:pPr>
    </w:p>
    <w:p>
      <w:pPr>
        <w:pStyle w:val="97"/>
        <w:spacing w:line="480" w:lineRule="exact"/>
        <w:ind w:firstLine="480"/>
        <w:rPr>
          <w:rFonts w:hint="default" w:ascii="Times New Roman" w:hAnsi="Times New Roman" w:eastAsia="宋体" w:cs="Times New Roman"/>
          <w:color w:val="auto"/>
          <w:sz w:val="24"/>
          <w:szCs w:val="24"/>
          <w:lang w:val="en-US" w:eastAsia="zh-CN"/>
        </w:rPr>
      </w:pPr>
    </w:p>
    <w:p>
      <w:pPr>
        <w:pStyle w:val="97"/>
        <w:spacing w:line="480" w:lineRule="exact"/>
        <w:ind w:firstLine="480"/>
        <w:rPr>
          <w:rFonts w:hint="default" w:ascii="Times New Roman" w:hAnsi="Times New Roman" w:eastAsia="宋体" w:cs="Times New Roman"/>
          <w:color w:val="auto"/>
          <w:sz w:val="24"/>
          <w:szCs w:val="24"/>
          <w:lang w:val="en-US" w:eastAsia="zh-CN"/>
        </w:rPr>
      </w:pPr>
    </w:p>
    <w:p>
      <w:pPr>
        <w:pStyle w:val="97"/>
        <w:spacing w:line="480" w:lineRule="exact"/>
        <w:ind w:firstLine="480"/>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图</w:t>
      </w:r>
      <w:r>
        <w:rPr>
          <w:rFonts w:hint="eastAsia" w:cs="Times New Roman"/>
          <w:b/>
          <w:bCs/>
          <w:color w:val="auto"/>
          <w:sz w:val="24"/>
          <w:szCs w:val="24"/>
          <w:lang w:val="en-US" w:eastAsia="zh-CN"/>
        </w:rPr>
        <w:t>3.1-3</w:t>
      </w:r>
      <w:r>
        <w:rPr>
          <w:rFonts w:hint="default" w:ascii="Times New Roman" w:hAnsi="Times New Roman" w:eastAsia="宋体" w:cs="Times New Roman"/>
          <w:b/>
          <w:bCs/>
          <w:color w:val="auto"/>
          <w:sz w:val="24"/>
          <w:szCs w:val="24"/>
          <w:lang w:val="en-US" w:eastAsia="zh-CN"/>
        </w:rPr>
        <w:t xml:space="preserve"> 工程设计范围</w:t>
      </w:r>
    </w:p>
    <w:p>
      <w:pPr>
        <w:pStyle w:val="97"/>
        <w:spacing w:line="480" w:lineRule="exact"/>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工程位置现状图如下：</w:t>
      </w:r>
    </w:p>
    <w:p>
      <w:pPr>
        <w:pStyle w:val="97"/>
        <w:spacing w:line="480" w:lineRule="exact"/>
        <w:ind w:firstLine="480"/>
        <w:jc w:val="center"/>
        <w:rPr>
          <w:rFonts w:hint="default" w:ascii="Times New Roman" w:hAnsi="Times New Roman" w:eastAsia="宋体" w:cs="Times New Roman"/>
          <w:b/>
          <w:bCs/>
          <w:color w:val="auto"/>
          <w:sz w:val="24"/>
          <w:szCs w:val="24"/>
          <w:lang w:val="en-US" w:eastAsia="zh-CN"/>
        </w:rPr>
      </w:pPr>
      <w:bookmarkStart w:id="206" w:name="_bookmark0"/>
      <w:bookmarkEnd w:id="206"/>
      <w:r>
        <w:rPr>
          <w:rFonts w:hint="default" w:ascii="Times New Roman" w:hAnsi="Times New Roman" w:eastAsia="宋体" w:cs="Times New Roman"/>
          <w:b/>
          <w:bCs/>
          <w:color w:val="auto"/>
          <w:sz w:val="24"/>
          <w:szCs w:val="24"/>
          <w:lang w:val="en-US" w:eastAsia="zh-CN"/>
        </w:rPr>
        <w:drawing>
          <wp:anchor distT="0" distB="0" distL="114300" distR="114300" simplePos="0" relativeHeight="251670528" behindDoc="0" locked="0" layoutInCell="1" allowOverlap="1">
            <wp:simplePos x="0" y="0"/>
            <wp:positionH relativeFrom="column">
              <wp:posOffset>3078480</wp:posOffset>
            </wp:positionH>
            <wp:positionV relativeFrom="paragraph">
              <wp:posOffset>102235</wp:posOffset>
            </wp:positionV>
            <wp:extent cx="2759075" cy="2070100"/>
            <wp:effectExtent l="0" t="0" r="3175" b="6350"/>
            <wp:wrapNone/>
            <wp:docPr id="37" name="图片 37" descr="微信图片_2021051811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10518110346"/>
                    <pic:cNvPicPr>
                      <a:picLocks noChangeAspect="1"/>
                    </pic:cNvPicPr>
                  </pic:nvPicPr>
                  <pic:blipFill>
                    <a:blip r:embed="rId17"/>
                    <a:stretch>
                      <a:fillRect/>
                    </a:stretch>
                  </pic:blipFill>
                  <pic:spPr>
                    <a:xfrm>
                      <a:off x="0" y="0"/>
                      <a:ext cx="2759075" cy="2070100"/>
                    </a:xfrm>
                    <a:prstGeom prst="rect">
                      <a:avLst/>
                    </a:prstGeom>
                  </pic:spPr>
                </pic:pic>
              </a:graphicData>
            </a:graphic>
          </wp:anchor>
        </w:drawing>
      </w:r>
      <w:r>
        <w:rPr>
          <w:rFonts w:hint="default" w:ascii="Times New Roman" w:hAnsi="Times New Roman" w:eastAsia="宋体" w:cs="Times New Roman"/>
          <w:b/>
          <w:bCs/>
          <w:color w:val="auto"/>
          <w:sz w:val="24"/>
          <w:szCs w:val="24"/>
          <w:lang w:val="en-US" w:eastAsia="zh-CN"/>
        </w:rPr>
        <w:drawing>
          <wp:anchor distT="0" distB="0" distL="114300" distR="114300" simplePos="0" relativeHeight="251669504" behindDoc="0" locked="0" layoutInCell="1" allowOverlap="1">
            <wp:simplePos x="0" y="0"/>
            <wp:positionH relativeFrom="column">
              <wp:posOffset>75565</wp:posOffset>
            </wp:positionH>
            <wp:positionV relativeFrom="paragraph">
              <wp:posOffset>85725</wp:posOffset>
            </wp:positionV>
            <wp:extent cx="2809875" cy="2107565"/>
            <wp:effectExtent l="0" t="0" r="9525" b="6985"/>
            <wp:wrapNone/>
            <wp:docPr id="36" name="图片 36" descr="微信图片_2021051811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10518110342"/>
                    <pic:cNvPicPr>
                      <a:picLocks noChangeAspect="1"/>
                    </pic:cNvPicPr>
                  </pic:nvPicPr>
                  <pic:blipFill>
                    <a:blip r:embed="rId18"/>
                    <a:stretch>
                      <a:fillRect/>
                    </a:stretch>
                  </pic:blipFill>
                  <pic:spPr>
                    <a:xfrm>
                      <a:off x="0" y="0"/>
                      <a:ext cx="2809875" cy="2107565"/>
                    </a:xfrm>
                    <a:prstGeom prst="rect">
                      <a:avLst/>
                    </a:prstGeom>
                  </pic:spPr>
                </pic:pic>
              </a:graphicData>
            </a:graphic>
          </wp:anchor>
        </w:drawing>
      </w:r>
    </w:p>
    <w:p>
      <w:pPr>
        <w:pStyle w:val="97"/>
        <w:spacing w:line="480" w:lineRule="exact"/>
        <w:ind w:firstLine="480"/>
        <w:jc w:val="center"/>
        <w:rPr>
          <w:rFonts w:hint="default" w:ascii="Times New Roman" w:hAnsi="Times New Roman" w:eastAsia="宋体" w:cs="Times New Roman"/>
          <w:b/>
          <w:bCs/>
          <w:color w:val="auto"/>
          <w:sz w:val="24"/>
          <w:szCs w:val="24"/>
          <w:lang w:val="en-US" w:eastAsia="zh-CN"/>
        </w:rPr>
      </w:pPr>
    </w:p>
    <w:p>
      <w:pPr>
        <w:pStyle w:val="97"/>
        <w:spacing w:line="480" w:lineRule="exact"/>
        <w:ind w:firstLine="480"/>
        <w:jc w:val="center"/>
        <w:rPr>
          <w:rFonts w:hint="default" w:ascii="Times New Roman" w:hAnsi="Times New Roman" w:eastAsia="宋体" w:cs="Times New Roman"/>
          <w:b/>
          <w:bCs/>
          <w:color w:val="auto"/>
          <w:sz w:val="24"/>
          <w:szCs w:val="24"/>
          <w:lang w:val="en-US" w:eastAsia="zh-CN"/>
        </w:rPr>
      </w:pPr>
    </w:p>
    <w:p>
      <w:pPr>
        <w:pStyle w:val="97"/>
        <w:spacing w:line="480" w:lineRule="exact"/>
        <w:ind w:firstLine="480"/>
        <w:jc w:val="center"/>
        <w:rPr>
          <w:rFonts w:hint="default" w:ascii="Times New Roman" w:hAnsi="Times New Roman" w:eastAsia="宋体" w:cs="Times New Roman"/>
          <w:b/>
          <w:bCs/>
          <w:color w:val="auto"/>
          <w:sz w:val="24"/>
          <w:szCs w:val="24"/>
          <w:lang w:val="en-US" w:eastAsia="zh-CN"/>
        </w:rPr>
      </w:pPr>
    </w:p>
    <w:p>
      <w:pPr>
        <w:pStyle w:val="97"/>
        <w:spacing w:line="480" w:lineRule="exact"/>
        <w:ind w:firstLine="480"/>
        <w:jc w:val="center"/>
        <w:rPr>
          <w:rFonts w:hint="default" w:ascii="Times New Roman" w:hAnsi="Times New Roman" w:eastAsia="宋体" w:cs="Times New Roman"/>
          <w:b/>
          <w:bCs/>
          <w:color w:val="auto"/>
          <w:sz w:val="24"/>
          <w:szCs w:val="24"/>
          <w:lang w:val="en-US" w:eastAsia="zh-CN"/>
        </w:rPr>
      </w:pPr>
    </w:p>
    <w:p>
      <w:pPr>
        <w:pStyle w:val="97"/>
        <w:spacing w:line="480" w:lineRule="exact"/>
        <w:ind w:firstLine="480"/>
        <w:jc w:val="center"/>
        <w:rPr>
          <w:rFonts w:hint="default" w:ascii="Times New Roman" w:hAnsi="Times New Roman" w:eastAsia="宋体" w:cs="Times New Roman"/>
          <w:b/>
          <w:bCs/>
          <w:color w:val="auto"/>
          <w:sz w:val="24"/>
          <w:szCs w:val="24"/>
          <w:lang w:val="en-US" w:eastAsia="zh-CN"/>
        </w:rPr>
      </w:pPr>
    </w:p>
    <w:p>
      <w:pPr>
        <w:pStyle w:val="97"/>
        <w:spacing w:line="480" w:lineRule="exact"/>
        <w:ind w:firstLine="480"/>
        <w:jc w:val="center"/>
        <w:rPr>
          <w:rFonts w:hint="default" w:ascii="Times New Roman" w:hAnsi="Times New Roman" w:eastAsia="宋体" w:cs="Times New Roman"/>
          <w:b/>
          <w:bCs/>
          <w:color w:val="auto"/>
          <w:sz w:val="24"/>
          <w:szCs w:val="24"/>
          <w:lang w:val="en-US" w:eastAsia="zh-CN"/>
        </w:rPr>
      </w:pPr>
    </w:p>
    <w:p>
      <w:pPr>
        <w:pStyle w:val="97"/>
        <w:spacing w:line="480" w:lineRule="exact"/>
        <w:ind w:firstLine="480"/>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图</w:t>
      </w:r>
      <w:r>
        <w:rPr>
          <w:rFonts w:hint="eastAsia" w:cs="Times New Roman"/>
          <w:b/>
          <w:bCs/>
          <w:color w:val="auto"/>
          <w:sz w:val="24"/>
          <w:szCs w:val="24"/>
          <w:lang w:val="en-US" w:eastAsia="zh-CN"/>
        </w:rPr>
        <w:t>3.1-4</w:t>
      </w:r>
      <w:r>
        <w:rPr>
          <w:rFonts w:hint="default" w:ascii="Times New Roman" w:hAnsi="Times New Roman" w:eastAsia="宋体" w:cs="Times New Roman"/>
          <w:b/>
          <w:bCs/>
          <w:color w:val="auto"/>
          <w:sz w:val="24"/>
          <w:szCs w:val="24"/>
          <w:lang w:val="en-US" w:eastAsia="zh-CN"/>
        </w:rPr>
        <w:t xml:space="preserve"> 工程现场照片</w:t>
      </w:r>
    </w:p>
    <w:p>
      <w:pPr>
        <w:pStyle w:val="4"/>
        <w:tabs>
          <w:tab w:val="left" w:pos="2160"/>
        </w:tabs>
        <w:adjustRightInd/>
        <w:spacing w:before="196" w:beforeLines="50" w:after="196" w:afterLines="50" w:line="480" w:lineRule="exact"/>
        <w:jc w:val="both"/>
        <w:rPr>
          <w:rFonts w:hint="default" w:ascii="Times New Roman" w:hAnsi="Times New Roman" w:eastAsia="宋体" w:cs="Times New Roman"/>
          <w:bCs/>
          <w:color w:val="auto"/>
          <w:sz w:val="30"/>
          <w:szCs w:val="30"/>
        </w:rPr>
      </w:pPr>
      <w:bookmarkStart w:id="207" w:name="_Toc16122"/>
      <w:r>
        <w:rPr>
          <w:rFonts w:hint="default" w:ascii="Times New Roman" w:hAnsi="Times New Roman" w:eastAsia="宋体" w:cs="Times New Roman"/>
          <w:bCs/>
          <w:color w:val="auto"/>
          <w:sz w:val="30"/>
          <w:szCs w:val="30"/>
        </w:rPr>
        <w:t>3.2工程建设必要性</w:t>
      </w:r>
      <w:bookmarkEnd w:id="207"/>
    </w:p>
    <w:p>
      <w:pPr>
        <w:pStyle w:val="5"/>
        <w:tabs>
          <w:tab w:val="left" w:pos="4860"/>
          <w:tab w:val="clear" w:pos="980"/>
        </w:tabs>
        <w:spacing w:before="196" w:beforeLines="50" w:after="196" w:afterLines="50"/>
        <w:jc w:val="both"/>
        <w:rPr>
          <w:rFonts w:hint="default" w:ascii="Times New Roman" w:hAnsi="Times New Roman" w:eastAsia="宋体" w:cs="Times New Roman"/>
          <w:color w:val="auto"/>
          <w:lang w:val="en-US" w:eastAsia="zh-CN"/>
        </w:rPr>
      </w:pPr>
      <w:bookmarkStart w:id="208" w:name="_Toc31624"/>
      <w:r>
        <w:rPr>
          <w:rFonts w:hint="default" w:ascii="Times New Roman" w:hAnsi="Times New Roman" w:eastAsia="宋体" w:cs="Times New Roman"/>
          <w:color w:val="auto"/>
          <w:lang w:val="en-US" w:eastAsia="zh-CN"/>
        </w:rPr>
        <w:t>3.2.1是响应国家政策的要求</w:t>
      </w:r>
      <w:bookmarkEnd w:id="208"/>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2015年4 月，中央政治局常务委员会会议审议通过《水十条》，明确提出到2030 年，全国七大重点流域水质优良比例总体达到75％以上，城市集中式饮用水水源水质达到或优于Ⅲ类比例总体为95％左右。</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2018年生态环境部、水利部部署集中式饮用水水源地环保专项行动，原环境保护部、水利部于2018 年3 月9 日联合印发《全国集中式饮用水水源地环境保护专项行动方案》。生态环境部有关负责人强调，要聚焦</w:t>
      </w:r>
      <w:r>
        <w:rPr>
          <w:rFonts w:hint="eastAsia" w:cs="Times New Roman"/>
          <w:color w:val="auto"/>
          <w:lang w:val="en-US" w:eastAsia="zh-CN"/>
        </w:rPr>
        <w:t>“</w:t>
      </w:r>
      <w:r>
        <w:rPr>
          <w:rFonts w:hint="default" w:ascii="Times New Roman" w:hAnsi="Times New Roman" w:eastAsia="宋体" w:cs="Times New Roman"/>
          <w:color w:val="auto"/>
          <w:lang w:val="en-US" w:eastAsia="zh-CN"/>
        </w:rPr>
        <w:t>划、立、治</w:t>
      </w:r>
      <w:r>
        <w:rPr>
          <w:rFonts w:hint="eastAsia" w:cs="Times New Roman"/>
          <w:color w:val="auto"/>
          <w:lang w:val="en-US" w:eastAsia="zh-CN"/>
        </w:rPr>
        <w:t>”</w:t>
      </w:r>
      <w:r>
        <w:rPr>
          <w:rFonts w:hint="default" w:ascii="Times New Roman" w:hAnsi="Times New Roman" w:eastAsia="宋体" w:cs="Times New Roman"/>
          <w:color w:val="auto"/>
          <w:lang w:val="en-US" w:eastAsia="zh-CN"/>
        </w:rPr>
        <w:t>三项工作内容，最终实现</w:t>
      </w:r>
      <w:r>
        <w:rPr>
          <w:rFonts w:hint="eastAsia" w:cs="Times New Roman"/>
          <w:color w:val="auto"/>
          <w:lang w:val="en-US" w:eastAsia="zh-CN"/>
        </w:rPr>
        <w:t>“</w:t>
      </w:r>
      <w:r>
        <w:rPr>
          <w:rFonts w:hint="default" w:ascii="Times New Roman" w:hAnsi="Times New Roman" w:eastAsia="宋体" w:cs="Times New Roman"/>
          <w:color w:val="auto"/>
          <w:lang w:val="en-US" w:eastAsia="zh-CN"/>
        </w:rPr>
        <w:t>保</w:t>
      </w:r>
      <w:r>
        <w:rPr>
          <w:rFonts w:hint="eastAsia" w:cs="Times New Roman"/>
          <w:color w:val="auto"/>
          <w:lang w:val="en-US" w:eastAsia="zh-CN"/>
        </w:rPr>
        <w:t>”</w:t>
      </w:r>
      <w:r>
        <w:rPr>
          <w:rFonts w:hint="default" w:ascii="Times New Roman" w:hAnsi="Times New Roman" w:eastAsia="宋体" w:cs="Times New Roman"/>
          <w:color w:val="auto"/>
          <w:lang w:val="en-US" w:eastAsia="zh-CN"/>
        </w:rPr>
        <w:t>工作目标。</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2019 年生态环境部在全国集中式饮用水水源地环保专项行动第一次视频会议中提出：针对集中式饮用水水源地保护，重点落实</w:t>
      </w:r>
      <w:r>
        <w:rPr>
          <w:rFonts w:hint="eastAsia" w:cs="Times New Roman"/>
          <w:color w:val="auto"/>
          <w:lang w:val="en-US" w:eastAsia="zh-CN"/>
        </w:rPr>
        <w:t>“</w:t>
      </w:r>
      <w:r>
        <w:rPr>
          <w:rFonts w:hint="default" w:ascii="Times New Roman" w:hAnsi="Times New Roman" w:eastAsia="宋体" w:cs="Times New Roman"/>
          <w:color w:val="auto"/>
          <w:lang w:val="en-US" w:eastAsia="zh-CN"/>
        </w:rPr>
        <w:t>征、租、补、聘</w:t>
      </w:r>
      <w:r>
        <w:rPr>
          <w:rFonts w:hint="eastAsia" w:cs="Times New Roman"/>
          <w:color w:val="auto"/>
          <w:lang w:val="en-US" w:eastAsia="zh-CN"/>
        </w:rPr>
        <w:t>”</w:t>
      </w:r>
      <w:r>
        <w:rPr>
          <w:rFonts w:hint="default" w:ascii="Times New Roman" w:hAnsi="Times New Roman" w:eastAsia="宋体" w:cs="Times New Roman"/>
          <w:color w:val="auto"/>
          <w:lang w:val="en-US" w:eastAsia="zh-CN"/>
        </w:rPr>
        <w:t>4 项任务。开展一级水源保护区范围内土地征收，广泛宣传环境法律法规、水源地保护相关政策，为一级保护区建立隔离围网做好基础工作。开展二级水源保护区范围内土地租赁工作，拆除对饮用水水源保护区不利的建筑，彻底整治污染源，并建立保护区范围的指示界碑。</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通过以上国家政策的要求，已经把集中式饮用水水源水质达标工作提高到国家层面，并且提出了明确的要求及相关责任人。可见国家对集中式饮用水水源水质的重视程度之高，同时国家水利部、生态环境部提出了明确的要求。苏州市太湖渔洋山水源地近岸生态修复工程正是在这样的国家政策的背景下提出，工程的实施是响应国家政策要求，改善城市人居环境，是可行的也是必要的。</w:t>
      </w:r>
    </w:p>
    <w:p>
      <w:pPr>
        <w:pStyle w:val="5"/>
        <w:tabs>
          <w:tab w:val="left" w:pos="4860"/>
          <w:tab w:val="clear" w:pos="980"/>
        </w:tabs>
        <w:spacing w:before="196" w:beforeLines="50" w:after="196" w:afterLines="50"/>
        <w:jc w:val="both"/>
        <w:rPr>
          <w:rFonts w:hint="default" w:ascii="Times New Roman" w:hAnsi="Times New Roman" w:eastAsia="宋体" w:cs="Times New Roman"/>
          <w:color w:val="auto"/>
        </w:rPr>
      </w:pPr>
      <w:bookmarkStart w:id="209" w:name="_Toc31888"/>
      <w:r>
        <w:rPr>
          <w:rFonts w:hint="default" w:ascii="Times New Roman" w:hAnsi="Times New Roman" w:eastAsia="宋体" w:cs="Times New Roman"/>
          <w:color w:val="auto"/>
        </w:rPr>
        <w:t>3.</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.2</w:t>
      </w:r>
      <w:bookmarkEnd w:id="199"/>
      <w:bookmarkEnd w:id="200"/>
      <w:r>
        <w:rPr>
          <w:rFonts w:hint="default" w:ascii="Times New Roman" w:hAnsi="Times New Roman" w:eastAsia="宋体" w:cs="Times New Roman"/>
          <w:color w:val="000000"/>
          <w:sz w:val="28"/>
          <w:szCs w:val="24"/>
        </w:rPr>
        <w:t>改善湖泊水质、水生态，满足区域供水的需要</w:t>
      </w:r>
      <w:bookmarkEnd w:id="209"/>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苏州市政府2016 年第53 次常务会议研究通过《苏州市水污染防治工作方案》，</w:t>
      </w:r>
    </w:p>
    <w:p>
      <w:pPr>
        <w:spacing w:line="480" w:lineRule="exact"/>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全面落实《国务院关于印发水污染防治行动计划的通知》、《江苏省水污染防治工作方案》，全面改善水环境质量，结合苏州市实际，按照</w:t>
      </w:r>
      <w:r>
        <w:rPr>
          <w:rFonts w:hint="eastAsia" w:cs="Times New Roman"/>
          <w:color w:val="auto"/>
          <w:lang w:val="en-US" w:eastAsia="zh-CN"/>
        </w:rPr>
        <w:t>“</w:t>
      </w:r>
      <w:r>
        <w:rPr>
          <w:rFonts w:hint="default" w:ascii="Times New Roman" w:hAnsi="Times New Roman" w:eastAsia="宋体" w:cs="Times New Roman"/>
          <w:color w:val="auto"/>
          <w:lang w:val="en-US" w:eastAsia="zh-CN"/>
        </w:rPr>
        <w:t>节水优先、空间均衡、系统治理、两手发力</w:t>
      </w:r>
      <w:r>
        <w:rPr>
          <w:rFonts w:hint="eastAsia" w:cs="Times New Roman"/>
          <w:color w:val="auto"/>
          <w:lang w:val="en-US" w:eastAsia="zh-CN"/>
        </w:rPr>
        <w:t>”</w:t>
      </w:r>
      <w:r>
        <w:rPr>
          <w:rFonts w:hint="default" w:ascii="Times New Roman" w:hAnsi="Times New Roman" w:eastAsia="宋体" w:cs="Times New Roman"/>
          <w:color w:val="auto"/>
          <w:lang w:val="en-US" w:eastAsia="zh-CN"/>
        </w:rPr>
        <w:t>原则，贯彻</w:t>
      </w:r>
      <w:r>
        <w:rPr>
          <w:rFonts w:hint="eastAsia" w:cs="Times New Roman"/>
          <w:color w:val="auto"/>
          <w:lang w:val="en-US" w:eastAsia="zh-CN"/>
        </w:rPr>
        <w:t>“</w:t>
      </w:r>
      <w:r>
        <w:rPr>
          <w:rFonts w:hint="default" w:ascii="Times New Roman" w:hAnsi="Times New Roman" w:eastAsia="宋体" w:cs="Times New Roman"/>
          <w:color w:val="auto"/>
          <w:lang w:val="en-US" w:eastAsia="zh-CN"/>
        </w:rPr>
        <w:t>安全、清洁、健康</w:t>
      </w:r>
      <w:r>
        <w:rPr>
          <w:rFonts w:hint="eastAsia" w:cs="Times New Roman"/>
          <w:color w:val="auto"/>
          <w:lang w:val="en-US" w:eastAsia="zh-CN"/>
        </w:rPr>
        <w:t>”</w:t>
      </w:r>
      <w:r>
        <w:rPr>
          <w:rFonts w:hint="default" w:ascii="Times New Roman" w:hAnsi="Times New Roman" w:eastAsia="宋体" w:cs="Times New Roman"/>
          <w:color w:val="auto"/>
          <w:lang w:val="en-US" w:eastAsia="zh-CN"/>
        </w:rPr>
        <w:t>方针，强化源头控制，坚持水陆统筹、城乡统筹，坚持标本兼治、防治并举、精准发力、持续用力，对江河湖实施分流域、分区域、分阶段综合治理，注重</w:t>
      </w:r>
      <w:r>
        <w:rPr>
          <w:rFonts w:hint="eastAsia" w:cs="Times New Roman"/>
          <w:color w:val="auto"/>
          <w:lang w:val="en-US" w:eastAsia="zh-CN"/>
        </w:rPr>
        <w:t>“</w:t>
      </w:r>
      <w:r>
        <w:rPr>
          <w:rFonts w:hint="default" w:ascii="Times New Roman" w:hAnsi="Times New Roman" w:eastAsia="宋体" w:cs="Times New Roman"/>
          <w:color w:val="auto"/>
          <w:lang w:val="en-US" w:eastAsia="zh-CN"/>
        </w:rPr>
        <w:t>安水、畅水、活水、清水、节水</w:t>
      </w:r>
      <w:r>
        <w:rPr>
          <w:rFonts w:hint="eastAsia" w:cs="Times New Roman"/>
          <w:color w:val="auto"/>
          <w:lang w:val="en-US" w:eastAsia="zh-CN"/>
        </w:rPr>
        <w:t>”</w:t>
      </w:r>
      <w:r>
        <w:rPr>
          <w:rFonts w:hint="default" w:ascii="Times New Roman" w:hAnsi="Times New Roman" w:eastAsia="宋体" w:cs="Times New Roman"/>
          <w:color w:val="auto"/>
          <w:lang w:val="en-US" w:eastAsia="zh-CN"/>
        </w:rPr>
        <w:t>导向，系统推进水污染防治、水生态保护、水资源管理。</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并且苏州市政府提出了明确的目标：到2030年，地表水水质优良比例达到75%以上，县级以上集中式饮用水水源水质达到或优于Ⅲ类比例总体达到100%。</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苏州市政府积极响应国家、省政府的要求，对水源地水质达标非常重视，由此可见苏州市政府对渔洋山水源地近岸生态修复工程非常重视，工程的实施迫在眉睫。</w:t>
      </w:r>
    </w:p>
    <w:p>
      <w:pPr>
        <w:pStyle w:val="5"/>
        <w:tabs>
          <w:tab w:val="left" w:pos="4860"/>
          <w:tab w:val="clear" w:pos="980"/>
        </w:tabs>
        <w:spacing w:before="196" w:beforeLines="50" w:after="196" w:afterLines="50"/>
        <w:jc w:val="both"/>
        <w:rPr>
          <w:rFonts w:hint="default" w:ascii="Times New Roman" w:hAnsi="Times New Roman" w:eastAsia="宋体" w:cs="Times New Roman"/>
          <w:color w:val="auto"/>
          <w:lang w:val="en-US" w:eastAsia="zh-CN"/>
        </w:rPr>
      </w:pPr>
      <w:bookmarkStart w:id="210" w:name="_Toc22927"/>
      <w:r>
        <w:rPr>
          <w:rFonts w:hint="default" w:ascii="Times New Roman" w:hAnsi="Times New Roman" w:eastAsia="宋体" w:cs="Times New Roman"/>
          <w:color w:val="auto"/>
          <w:lang w:val="en-US" w:eastAsia="zh-CN"/>
        </w:rPr>
        <w:t>3.2.3保护自然环境，人与自然和谐共处需要</w:t>
      </w:r>
      <w:bookmarkEnd w:id="210"/>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江苏省水污染防治联席会议办公室于2020 年4 月下达《关于印发全省县级及以上集中式饮用水水源地水质保障专项工作方案的通知》（苏水治办[2020]1号），要求坚持以人民为中心，坚持生态优先、源头管控、问题导向，突出分类施策、因地制宜、创新举措，着力解决水源地水质保障方面存在的问题隐患，提升水源地水质保障能力，确保人民群众喝上放心水。</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人类社会与大自然是一个紧密连接的整体，生态环境的破坏迟早会使人类自食苦果。进行水源地近岸修复可以明显改善水环境，给人民创造一个洁净、优美、宜人的生存环境。所以，渔洋山水源地近岸生态修复工程是保护自然环境，人与自然和谐共处的需要。</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另外，良好的水环境对于一个城市有着极大的宣传作用。对渔洋山水源地近岸生态修复进而打造生态涵养区、海绵城市典范，对于苏州市的区域生态环境的改善，对招商引资和城市发展都是十分必要的。</w:t>
      </w:r>
    </w:p>
    <w:bookmarkEnd w:id="201"/>
    <w:bookmarkEnd w:id="202"/>
    <w:bookmarkEnd w:id="203"/>
    <w:p>
      <w:pPr>
        <w:pStyle w:val="4"/>
        <w:tabs>
          <w:tab w:val="left" w:pos="2160"/>
        </w:tabs>
        <w:adjustRightInd/>
        <w:spacing w:before="196" w:beforeLines="50" w:after="196" w:afterLines="50" w:line="480" w:lineRule="exact"/>
        <w:jc w:val="both"/>
        <w:rPr>
          <w:rFonts w:hint="default" w:ascii="Times New Roman" w:hAnsi="Times New Roman" w:eastAsia="宋体" w:cs="Times New Roman"/>
          <w:bCs/>
          <w:color w:val="auto"/>
          <w:sz w:val="30"/>
          <w:szCs w:val="30"/>
          <w:lang w:val="en-US" w:eastAsia="zh-CN"/>
        </w:rPr>
      </w:pPr>
      <w:bookmarkStart w:id="211" w:name="_Toc21950"/>
      <w:bookmarkStart w:id="212" w:name="_Toc310244019"/>
      <w:bookmarkStart w:id="213" w:name="_Toc492644517"/>
      <w:bookmarkStart w:id="214" w:name="_Toc507334578"/>
      <w:bookmarkStart w:id="215" w:name="_Toc503461560"/>
      <w:bookmarkStart w:id="216" w:name="_Toc312155974"/>
      <w:r>
        <w:rPr>
          <w:rFonts w:hint="default" w:ascii="Times New Roman" w:hAnsi="Times New Roman" w:eastAsia="宋体" w:cs="Times New Roman"/>
          <w:bCs/>
          <w:color w:val="auto"/>
          <w:sz w:val="30"/>
          <w:szCs w:val="30"/>
          <w:lang w:val="en-US" w:eastAsia="zh-CN"/>
        </w:rPr>
        <w:t>3.</w:t>
      </w:r>
      <w:r>
        <w:rPr>
          <w:rFonts w:hint="eastAsia" w:cs="Times New Roman"/>
          <w:bCs/>
          <w:color w:val="auto"/>
          <w:sz w:val="30"/>
          <w:szCs w:val="30"/>
          <w:lang w:val="en-US" w:eastAsia="zh-CN"/>
        </w:rPr>
        <w:t>3</w:t>
      </w:r>
      <w:r>
        <w:rPr>
          <w:rFonts w:hint="default" w:ascii="Times New Roman" w:hAnsi="Times New Roman" w:eastAsia="宋体" w:cs="Times New Roman"/>
          <w:bCs/>
          <w:color w:val="auto"/>
          <w:sz w:val="30"/>
          <w:szCs w:val="30"/>
          <w:lang w:val="en-US" w:eastAsia="zh-CN"/>
        </w:rPr>
        <w:t>工程任务、目标及规模</w:t>
      </w:r>
      <w:bookmarkEnd w:id="211"/>
    </w:p>
    <w:p>
      <w:pPr>
        <w:pStyle w:val="5"/>
        <w:jc w:val="both"/>
        <w:rPr>
          <w:rFonts w:hint="default" w:ascii="Times New Roman" w:hAnsi="Times New Roman" w:eastAsia="宋体" w:cs="Times New Roman"/>
          <w:color w:val="auto"/>
          <w:lang w:val="en-US" w:eastAsia="zh-CN"/>
        </w:rPr>
      </w:pPr>
      <w:bookmarkStart w:id="217" w:name="_Toc19801"/>
      <w:r>
        <w:rPr>
          <w:rFonts w:hint="default" w:ascii="Times New Roman" w:hAnsi="Times New Roman" w:eastAsia="宋体" w:cs="Times New Roman"/>
          <w:color w:val="auto"/>
          <w:lang w:val="en-US" w:eastAsia="zh-CN"/>
        </w:rPr>
        <w:t>3.3</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 xml:space="preserve"> 项目基本情况</w:t>
      </w:r>
      <w:bookmarkEnd w:id="217"/>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项目名称：苏州市太湖渔洋山水源地近岸生态修复工程项目</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建设单位：苏州市吴中区水务局</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建设性质：新建</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备案文号：苏太经投[2020]21号、苏太经投[2020]23号</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项目选址：太湖渔洋山饮用水水源地一级和二级保护区范围内。</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建设内容及规模：鱼贝螺控藻引导水下生态修复工程，水下森林生态修复工程、水</w:t>
      </w:r>
    </w:p>
    <w:p>
      <w:pPr>
        <w:spacing w:line="480" w:lineRule="exact"/>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生态系统修复工程等，工程范围总面积约12万m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。具体包括：放养白鲢、环棱螺投，三角蚌等水生动物6.57万公斤；设置橡胶围隔、生态围隔、生态拦网、拦渔网等拦截设施7公里</w:t>
      </w:r>
      <w:r>
        <w:rPr>
          <w:rFonts w:hint="eastAsia" w:cs="Times New Roman"/>
          <w:color w:val="auto"/>
          <w:lang w:val="en-US" w:eastAsia="zh-CN"/>
        </w:rPr>
        <w:t>；</w:t>
      </w:r>
      <w:r>
        <w:rPr>
          <w:rFonts w:hint="default" w:ascii="Times New Roman" w:hAnsi="Times New Roman" w:eastAsia="宋体" w:cs="Times New Roman"/>
          <w:color w:val="auto"/>
          <w:lang w:val="en-US" w:eastAsia="zh-CN"/>
        </w:rPr>
        <w:t>种植沉水植物11.79万平方米、挺水植物1114平方米、浮叶植物25平方米。</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项目总投资：工程总投资为2120.76万元，环保投资为</w:t>
      </w:r>
      <w:r>
        <w:rPr>
          <w:rFonts w:hint="eastAsia" w:ascii="Times New Roman" w:hAnsi="Times New Roman" w:eastAsia="宋体" w:cs="Times New Roman"/>
          <w:color w:val="auto"/>
          <w:lang w:val="en-US" w:eastAsia="zh-CN"/>
        </w:rPr>
        <w:t>2120.76</w:t>
      </w:r>
      <w:r>
        <w:rPr>
          <w:rFonts w:hint="default" w:ascii="Times New Roman" w:hAnsi="Times New Roman" w:eastAsia="宋体" w:cs="Times New Roman"/>
          <w:color w:val="auto"/>
          <w:lang w:val="en-US" w:eastAsia="zh-CN"/>
        </w:rPr>
        <w:t>万元，占工程总投资的</w:t>
      </w:r>
      <w:r>
        <w:rPr>
          <w:rFonts w:hint="eastAsia" w:ascii="Times New Roman" w:hAnsi="Times New Roman" w:eastAsia="宋体" w:cs="Times New Roman"/>
          <w:color w:val="auto"/>
          <w:lang w:val="en-US" w:eastAsia="zh-CN"/>
        </w:rPr>
        <w:t>100</w:t>
      </w:r>
      <w:r>
        <w:rPr>
          <w:rFonts w:hint="default" w:ascii="Times New Roman" w:hAnsi="Times New Roman" w:eastAsia="宋体" w:cs="Times New Roman"/>
          <w:color w:val="auto"/>
          <w:lang w:val="en-US" w:eastAsia="zh-CN"/>
        </w:rPr>
        <w:t>%。</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建设工期：根据工程的规模、建设内容，本工程施工总工期安排</w:t>
      </w:r>
      <w:r>
        <w:rPr>
          <w:rFonts w:hint="eastAsia" w:cs="Times New Roman"/>
          <w:color w:val="auto"/>
          <w:lang w:val="en-US" w:eastAsia="zh-CN"/>
        </w:rPr>
        <w:t>460天</w:t>
      </w:r>
      <w:r>
        <w:rPr>
          <w:rFonts w:hint="default" w:ascii="Times New Roman" w:hAnsi="Times New Roman" w:eastAsia="宋体" w:cs="Times New Roman"/>
          <w:color w:val="auto"/>
          <w:lang w:val="en-US" w:eastAsia="zh-CN"/>
        </w:rPr>
        <w:t>，即从2021年10月</w:t>
      </w:r>
      <w:r>
        <w:rPr>
          <w:rFonts w:hint="eastAsia" w:cs="Times New Roman"/>
          <w:color w:val="auto"/>
          <w:lang w:val="en-US" w:eastAsia="zh-CN"/>
        </w:rPr>
        <w:t>中旬</w:t>
      </w:r>
      <w:r>
        <w:rPr>
          <w:rFonts w:hint="default" w:ascii="Times New Roman" w:hAnsi="Times New Roman" w:eastAsia="宋体" w:cs="Times New Roman"/>
          <w:color w:val="auto"/>
          <w:lang w:val="en-US" w:eastAsia="zh-CN"/>
        </w:rPr>
        <w:t>开始施工准备，至202</w:t>
      </w:r>
      <w:r>
        <w:rPr>
          <w:rFonts w:hint="eastAsia" w:cs="Times New Roman"/>
          <w:color w:val="auto"/>
          <w:lang w:val="en-US" w:eastAsia="zh-CN"/>
        </w:rPr>
        <w:t>2</w:t>
      </w:r>
      <w:r>
        <w:rPr>
          <w:rFonts w:hint="default" w:ascii="Times New Roman" w:hAnsi="Times New Roman" w:eastAsia="宋体" w:cs="Times New Roman"/>
          <w:color w:val="auto"/>
          <w:lang w:val="en-US" w:eastAsia="zh-CN"/>
        </w:rPr>
        <w:t>年1月底</w:t>
      </w:r>
      <w:r>
        <w:rPr>
          <w:rFonts w:hint="eastAsia" w:cs="Times New Roman"/>
          <w:color w:val="auto"/>
          <w:lang w:val="en-US" w:eastAsia="zh-CN"/>
        </w:rPr>
        <w:t>工程完工，养护期1年</w:t>
      </w:r>
      <w:r>
        <w:rPr>
          <w:rFonts w:hint="default" w:ascii="Times New Roman" w:hAnsi="Times New Roman" w:eastAsia="宋体" w:cs="Times New Roman"/>
          <w:color w:val="auto"/>
          <w:lang w:val="en-US" w:eastAsia="zh-CN"/>
        </w:rPr>
        <w:t>。</w:t>
      </w:r>
    </w:p>
    <w:p>
      <w:pPr>
        <w:pStyle w:val="5"/>
        <w:jc w:val="both"/>
        <w:rPr>
          <w:rFonts w:hint="default" w:ascii="Times New Roman" w:hAnsi="Times New Roman" w:eastAsia="宋体" w:cs="Times New Roman"/>
          <w:color w:val="auto"/>
        </w:rPr>
      </w:pPr>
      <w:bookmarkStart w:id="218" w:name="_Toc28930"/>
      <w:r>
        <w:rPr>
          <w:rFonts w:hint="default" w:ascii="Times New Roman" w:hAnsi="Times New Roman" w:eastAsia="宋体" w:cs="Times New Roman"/>
          <w:color w:val="auto"/>
        </w:rPr>
        <w:t>3.</w:t>
      </w:r>
      <w:r>
        <w:rPr>
          <w:rFonts w:hint="eastAsia" w:cs="Times New Roman"/>
          <w:color w:val="auto"/>
          <w:lang w:val="en-US" w:eastAsia="zh-CN"/>
        </w:rPr>
        <w:t>3</w:t>
      </w:r>
      <w:r>
        <w:rPr>
          <w:rFonts w:hint="default" w:ascii="Times New Roman" w:hAnsi="Times New Roman" w:eastAsia="宋体" w:cs="Times New Roman"/>
          <w:color w:val="auto"/>
        </w:rPr>
        <w:t>.</w:t>
      </w:r>
      <w:r>
        <w:rPr>
          <w:rFonts w:hint="eastAsia" w:cs="Times New Roman"/>
          <w:color w:val="auto"/>
          <w:lang w:val="en-US" w:eastAsia="zh-CN"/>
        </w:rPr>
        <w:t>2</w:t>
      </w:r>
      <w:r>
        <w:rPr>
          <w:rFonts w:hint="default" w:ascii="Times New Roman" w:hAnsi="Times New Roman" w:eastAsia="宋体" w:cs="Times New Roman"/>
          <w:color w:val="auto"/>
        </w:rPr>
        <w:t xml:space="preserve"> 工程任务及目标</w:t>
      </w:r>
      <w:bookmarkEnd w:id="218"/>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水是苏州的灵魂与命脉，苏州因水而生、因水而兴、因水而美、因水而名。</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水是生态之基，构建可持续发展的水生态系统，营造山水林田湖草相互融合的理想空间，是打造</w:t>
      </w:r>
      <w:r>
        <w:rPr>
          <w:rFonts w:hint="eastAsia" w:cs="Times New Roman"/>
          <w:color w:val="auto"/>
          <w:lang w:val="en-US" w:eastAsia="zh-CN"/>
        </w:rPr>
        <w:t>“</w:t>
      </w:r>
      <w:r>
        <w:rPr>
          <w:rFonts w:hint="default" w:ascii="Times New Roman" w:hAnsi="Times New Roman" w:eastAsia="宋体" w:cs="Times New Roman"/>
          <w:color w:val="auto"/>
          <w:lang w:val="en-US" w:eastAsia="zh-CN"/>
        </w:rPr>
        <w:t>美丽幸福新天堂</w:t>
      </w:r>
      <w:r>
        <w:rPr>
          <w:rFonts w:hint="eastAsia" w:cs="Times New Roman"/>
          <w:color w:val="auto"/>
          <w:lang w:val="en-US" w:eastAsia="zh-CN"/>
        </w:rPr>
        <w:t>”</w:t>
      </w:r>
      <w:r>
        <w:rPr>
          <w:rFonts w:hint="default" w:ascii="Times New Roman" w:hAnsi="Times New Roman" w:eastAsia="宋体" w:cs="Times New Roman"/>
          <w:color w:val="auto"/>
          <w:lang w:val="en-US" w:eastAsia="zh-CN"/>
        </w:rPr>
        <w:t>的重要内容。</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针对渔洋山水源地的特点，围绕水环境全面改善、水生态修复，按照</w:t>
      </w:r>
      <w:r>
        <w:rPr>
          <w:rFonts w:hint="eastAsia" w:cs="Times New Roman"/>
          <w:color w:val="auto"/>
          <w:lang w:val="en-US" w:eastAsia="zh-CN"/>
        </w:rPr>
        <w:t>“</w:t>
      </w:r>
      <w:r>
        <w:rPr>
          <w:rFonts w:hint="default" w:ascii="Times New Roman" w:hAnsi="Times New Roman" w:eastAsia="宋体" w:cs="Times New Roman"/>
          <w:color w:val="auto"/>
          <w:lang w:val="en-US" w:eastAsia="zh-CN"/>
        </w:rPr>
        <w:t>目标引领-问题导向-精准施策-科学管护</w:t>
      </w:r>
      <w:r>
        <w:rPr>
          <w:rFonts w:hint="eastAsia" w:cs="Times New Roman"/>
          <w:color w:val="auto"/>
          <w:lang w:val="en-US" w:eastAsia="zh-CN"/>
        </w:rPr>
        <w:t>”</w:t>
      </w:r>
      <w:r>
        <w:rPr>
          <w:rFonts w:hint="default" w:ascii="Times New Roman" w:hAnsi="Times New Roman" w:eastAsia="宋体" w:cs="Times New Roman"/>
          <w:color w:val="auto"/>
          <w:lang w:val="en-US" w:eastAsia="zh-CN"/>
        </w:rPr>
        <w:t>，提出</w:t>
      </w:r>
      <w:r>
        <w:rPr>
          <w:rFonts w:hint="eastAsia" w:cs="Times New Roman"/>
          <w:color w:val="auto"/>
          <w:lang w:val="en-US" w:eastAsia="zh-CN"/>
        </w:rPr>
        <w:t>“</w:t>
      </w:r>
      <w:r>
        <w:rPr>
          <w:rFonts w:hint="default" w:ascii="Times New Roman" w:hAnsi="Times New Roman" w:eastAsia="宋体" w:cs="Times New Roman"/>
          <w:color w:val="auto"/>
          <w:lang w:val="en-US" w:eastAsia="zh-CN"/>
        </w:rPr>
        <w:t>水环境改善、草型生态系统构建、预测预警、长效管理</w:t>
      </w:r>
      <w:r>
        <w:rPr>
          <w:rFonts w:hint="eastAsia" w:cs="Times New Roman"/>
          <w:color w:val="auto"/>
          <w:lang w:val="en-US" w:eastAsia="zh-CN"/>
        </w:rPr>
        <w:t>”</w:t>
      </w:r>
      <w:r>
        <w:rPr>
          <w:rFonts w:hint="default" w:ascii="Times New Roman" w:hAnsi="Times New Roman" w:eastAsia="宋体" w:cs="Times New Roman"/>
          <w:color w:val="auto"/>
          <w:lang w:val="en-US" w:eastAsia="zh-CN"/>
        </w:rPr>
        <w:t>体系建设，构建</w:t>
      </w:r>
      <w:r>
        <w:rPr>
          <w:rFonts w:hint="eastAsia" w:cs="Times New Roman"/>
          <w:color w:val="auto"/>
          <w:lang w:val="en-US" w:eastAsia="zh-CN"/>
        </w:rPr>
        <w:t>“</w:t>
      </w:r>
      <w:r>
        <w:rPr>
          <w:rFonts w:hint="default" w:ascii="Times New Roman" w:hAnsi="Times New Roman" w:eastAsia="宋体" w:cs="Times New Roman"/>
          <w:color w:val="auto"/>
          <w:lang w:val="en-US" w:eastAsia="zh-CN"/>
        </w:rPr>
        <w:t>水下森林-鱼贝螺水生动物-微生物群落</w:t>
      </w:r>
      <w:r>
        <w:rPr>
          <w:rFonts w:hint="eastAsia" w:cs="Times New Roman"/>
          <w:color w:val="auto"/>
          <w:lang w:val="en-US" w:eastAsia="zh-CN"/>
        </w:rPr>
        <w:t>”</w:t>
      </w:r>
      <w:r>
        <w:rPr>
          <w:rFonts w:hint="default" w:ascii="Times New Roman" w:hAnsi="Times New Roman" w:eastAsia="宋体" w:cs="Times New Roman"/>
          <w:color w:val="auto"/>
          <w:lang w:val="en-US" w:eastAsia="zh-CN"/>
        </w:rPr>
        <w:t>共生系统，通过鱼-贝-螺-藻等形成食物链，恢复沉水植物，发挥沉水植物对营养物质的吸收净化效果，改善水体水质。</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渔洋山水源地近岸生态修复工程在渔洋山水源地东部一级保护区范围内离120m，一级保护区范围外北侧离岸50m，南侧离岸100m，通过削浪挡藻工程、生态拦网工程和鱼类生态调控工程，恢复水生植物种植的基础条件，通过鱼贝螺控藻系统及导流门系统消纳围隔边缘聚集的蓝藻，开展水下森林生态修复，最终通过沉水植物群落构建恢复近岸区草型生态系统。</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具体治理目标见下表：</w:t>
      </w:r>
    </w:p>
    <w:p>
      <w:pPr>
        <w:spacing w:line="480" w:lineRule="exact"/>
        <w:ind w:firstLine="482" w:firstLineChars="200"/>
        <w:jc w:val="both"/>
        <w:rPr>
          <w:rFonts w:hint="default" w:ascii="Times New Roman" w:hAnsi="Times New Roman" w:eastAsia="宋体" w:cs="Times New Roman"/>
          <w:b/>
          <w:bCs/>
          <w:color w:val="auto"/>
          <w:lang w:val="en-US" w:eastAsia="zh-CN"/>
        </w:rPr>
      </w:pPr>
    </w:p>
    <w:p>
      <w:pPr>
        <w:spacing w:line="480" w:lineRule="exact"/>
        <w:ind w:firstLine="482" w:firstLineChars="200"/>
        <w:jc w:val="center"/>
        <w:rPr>
          <w:rFonts w:hint="default" w:ascii="Times New Roman" w:hAnsi="Times New Roman" w:eastAsia="宋体" w:cs="Times New Roman"/>
          <w:b/>
          <w:bCs/>
          <w:color w:val="auto"/>
          <w:lang w:val="en-US" w:eastAsia="zh-CN"/>
        </w:rPr>
      </w:pPr>
    </w:p>
    <w:p>
      <w:pPr>
        <w:spacing w:line="480" w:lineRule="exact"/>
        <w:ind w:firstLine="482" w:firstLineChars="20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表3.</w:t>
      </w:r>
      <w:r>
        <w:rPr>
          <w:rFonts w:hint="eastAsia" w:cs="Times New Roman"/>
          <w:b/>
          <w:bCs/>
          <w:color w:val="auto"/>
          <w:lang w:val="en-US" w:eastAsia="zh-CN"/>
        </w:rPr>
        <w:t>3</w:t>
      </w:r>
      <w:r>
        <w:rPr>
          <w:rFonts w:hint="default" w:ascii="Times New Roman" w:hAnsi="Times New Roman" w:eastAsia="宋体" w:cs="Times New Roman"/>
          <w:b/>
          <w:bCs/>
          <w:color w:val="auto"/>
          <w:lang w:val="en-US" w:eastAsia="zh-CN"/>
        </w:rPr>
        <w:t>-1 具体治理目标</w:t>
      </w:r>
    </w:p>
    <w:tbl>
      <w:tblPr>
        <w:tblStyle w:val="5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2278"/>
        <w:gridCol w:w="1848"/>
        <w:gridCol w:w="1848"/>
        <w:gridCol w:w="18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指标类型</w:t>
            </w:r>
          </w:p>
        </w:tc>
        <w:tc>
          <w:tcPr>
            <w:tcW w:w="2278" w:type="dxa"/>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指标</w:t>
            </w:r>
          </w:p>
        </w:tc>
        <w:tc>
          <w:tcPr>
            <w:tcW w:w="1848" w:type="dxa"/>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现状</w:t>
            </w:r>
          </w:p>
        </w:tc>
        <w:tc>
          <w:tcPr>
            <w:tcW w:w="1848" w:type="dxa"/>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工程结束时标准</w:t>
            </w:r>
          </w:p>
        </w:tc>
        <w:tc>
          <w:tcPr>
            <w:tcW w:w="1849" w:type="dxa"/>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维护结束时指标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1418" w:type="dxa"/>
            <w:vMerge w:val="restart"/>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生态系统</w:t>
            </w:r>
          </w:p>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属性指标</w:t>
            </w:r>
          </w:p>
        </w:tc>
        <w:tc>
          <w:tcPr>
            <w:tcW w:w="2278" w:type="dxa"/>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植物覆盖度</w:t>
            </w:r>
          </w:p>
        </w:tc>
        <w:tc>
          <w:tcPr>
            <w:tcW w:w="1848" w:type="dxa"/>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植物较少</w:t>
            </w:r>
          </w:p>
        </w:tc>
        <w:tc>
          <w:tcPr>
            <w:tcW w:w="1848" w:type="dxa"/>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沉水植物覆盖率</w:t>
            </w:r>
          </w:p>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＞40%</w:t>
            </w:r>
          </w:p>
        </w:tc>
        <w:tc>
          <w:tcPr>
            <w:tcW w:w="1849" w:type="dxa"/>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沉水植物覆盖率</w:t>
            </w:r>
          </w:p>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1418" w:type="dxa"/>
            <w:vMerge w:val="continue"/>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rPr>
            </w:pPr>
          </w:p>
        </w:tc>
        <w:tc>
          <w:tcPr>
            <w:tcW w:w="2278" w:type="dxa"/>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物种多样性</w:t>
            </w:r>
          </w:p>
        </w:tc>
        <w:tc>
          <w:tcPr>
            <w:tcW w:w="1848" w:type="dxa"/>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物种较单薄</w:t>
            </w:r>
          </w:p>
        </w:tc>
        <w:tc>
          <w:tcPr>
            <w:tcW w:w="1848" w:type="dxa"/>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水生动植物种类</w:t>
            </w:r>
          </w:p>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显著增加</w:t>
            </w:r>
          </w:p>
        </w:tc>
        <w:tc>
          <w:tcPr>
            <w:tcW w:w="1849" w:type="dxa"/>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水生动植物种类丰富、稳定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1418" w:type="dxa"/>
            <w:vMerge w:val="continue"/>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p>
        </w:tc>
        <w:tc>
          <w:tcPr>
            <w:tcW w:w="2278" w:type="dxa"/>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透明度</w:t>
            </w:r>
          </w:p>
        </w:tc>
        <w:tc>
          <w:tcPr>
            <w:tcW w:w="1848" w:type="dxa"/>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0.4~0.6m</w:t>
            </w:r>
          </w:p>
        </w:tc>
        <w:tc>
          <w:tcPr>
            <w:tcW w:w="1848" w:type="dxa"/>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提升至0.8m</w:t>
            </w:r>
          </w:p>
        </w:tc>
        <w:tc>
          <w:tcPr>
            <w:tcW w:w="1849" w:type="dxa"/>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提升至0.8-1.0m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1418" w:type="dxa"/>
            <w:vMerge w:val="continue"/>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p>
        </w:tc>
        <w:tc>
          <w:tcPr>
            <w:tcW w:w="2278" w:type="dxa"/>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底栖生物完整性</w:t>
            </w:r>
          </w:p>
        </w:tc>
        <w:tc>
          <w:tcPr>
            <w:tcW w:w="1848" w:type="dxa"/>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物种较单薄</w:t>
            </w:r>
          </w:p>
        </w:tc>
        <w:tc>
          <w:tcPr>
            <w:tcW w:w="1848" w:type="dxa"/>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种类显著增加</w:t>
            </w:r>
          </w:p>
        </w:tc>
        <w:tc>
          <w:tcPr>
            <w:tcW w:w="1849" w:type="dxa"/>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主要为大型底栖生物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1418" w:type="dxa"/>
            <w:vMerge w:val="continue"/>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p>
        </w:tc>
        <w:tc>
          <w:tcPr>
            <w:tcW w:w="2278" w:type="dxa"/>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生态系统稳定性</w:t>
            </w:r>
          </w:p>
        </w:tc>
        <w:tc>
          <w:tcPr>
            <w:tcW w:w="1848" w:type="dxa"/>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薄弱</w:t>
            </w:r>
          </w:p>
        </w:tc>
        <w:tc>
          <w:tcPr>
            <w:tcW w:w="1848" w:type="dxa"/>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食物网复杂，生态</w:t>
            </w:r>
          </w:p>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系统稳定</w:t>
            </w:r>
          </w:p>
        </w:tc>
        <w:tc>
          <w:tcPr>
            <w:tcW w:w="1849" w:type="dxa"/>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食物网复杂化，生态系统稳定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管理指标</w:t>
            </w:r>
          </w:p>
        </w:tc>
        <w:tc>
          <w:tcPr>
            <w:tcW w:w="2278" w:type="dxa"/>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管理水平</w:t>
            </w:r>
          </w:p>
        </w:tc>
        <w:tc>
          <w:tcPr>
            <w:tcW w:w="1848" w:type="dxa"/>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1848" w:type="dxa"/>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培训专业化的水</w:t>
            </w:r>
          </w:p>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生态系统日常管</w:t>
            </w:r>
          </w:p>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理队伍，形成科学</w:t>
            </w:r>
          </w:p>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的管理模式</w:t>
            </w:r>
          </w:p>
        </w:tc>
        <w:tc>
          <w:tcPr>
            <w:tcW w:w="1849" w:type="dxa"/>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制度健全，管理成熟、科学</w:t>
            </w:r>
          </w:p>
        </w:tc>
      </w:tr>
    </w:tbl>
    <w:p>
      <w:pPr>
        <w:pStyle w:val="5"/>
        <w:jc w:val="both"/>
        <w:rPr>
          <w:rFonts w:hint="default" w:ascii="Times New Roman" w:hAnsi="Times New Roman" w:eastAsia="宋体" w:cs="Times New Roman"/>
          <w:color w:val="auto"/>
          <w:lang w:eastAsia="zh-CN"/>
        </w:rPr>
      </w:pPr>
      <w:bookmarkStart w:id="219" w:name="_Toc14791"/>
      <w:r>
        <w:rPr>
          <w:rFonts w:hint="default" w:ascii="Times New Roman" w:hAnsi="Times New Roman" w:eastAsia="宋体" w:cs="Times New Roman"/>
          <w:color w:val="auto"/>
        </w:rPr>
        <w:t>3.</w:t>
      </w:r>
      <w:r>
        <w:rPr>
          <w:rFonts w:hint="eastAsia" w:cs="Times New Roman"/>
          <w:color w:val="auto"/>
          <w:lang w:val="en-US" w:eastAsia="zh-CN"/>
        </w:rPr>
        <w:t>3</w:t>
      </w:r>
      <w:r>
        <w:rPr>
          <w:rFonts w:hint="default" w:ascii="Times New Roman" w:hAnsi="Times New Roman" w:eastAsia="宋体" w:cs="Times New Roman"/>
          <w:color w:val="auto"/>
        </w:rPr>
        <w:t>.</w:t>
      </w:r>
      <w:r>
        <w:rPr>
          <w:rFonts w:hint="eastAsia" w:cs="Times New Roman"/>
          <w:color w:val="auto"/>
          <w:lang w:val="en-US" w:eastAsia="zh-CN"/>
        </w:rPr>
        <w:t>3</w:t>
      </w:r>
      <w:r>
        <w:rPr>
          <w:rFonts w:hint="default" w:ascii="Times New Roman" w:hAnsi="Times New Roman" w:eastAsia="宋体" w:cs="Times New Roman"/>
          <w:color w:val="auto"/>
        </w:rPr>
        <w:t xml:space="preserve"> 工程</w:t>
      </w:r>
      <w:r>
        <w:rPr>
          <w:rFonts w:hint="default" w:ascii="Times New Roman" w:hAnsi="Times New Roman" w:eastAsia="宋体" w:cs="Times New Roman"/>
          <w:color w:val="auto"/>
          <w:lang w:val="en-US" w:eastAsia="zh-CN"/>
        </w:rPr>
        <w:t>规模</w:t>
      </w:r>
      <w:bookmarkEnd w:id="219"/>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1、生态修复工程</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工程不涉及堤岸部分，在渔洋山水源地东部一级保护区范围内离岸120m，一级保护区范围外（二级保护范围内）北侧离岸50m，南侧离岸100m，放养白鲢、环棱螺投，三角蚌等水生动物6.57万公斤；设置橡胶围隔、生态围隔、生态拦网、拦渔网等拦截设施7公里；种植沉水植物11.79万平方米、挺水植物1114平方米、浮叶植物25平方米。</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2、临时工程</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本项目无清淤工程</w:t>
      </w:r>
      <w:r>
        <w:rPr>
          <w:rFonts w:hint="eastAsia" w:cs="Times New Roman"/>
          <w:color w:val="auto"/>
          <w:lang w:val="en-US" w:eastAsia="zh-CN"/>
        </w:rPr>
        <w:t>和</w:t>
      </w:r>
      <w:r>
        <w:rPr>
          <w:rFonts w:hint="default" w:ascii="Times New Roman" w:hAnsi="Times New Roman" w:eastAsia="宋体" w:cs="Times New Roman"/>
          <w:color w:val="auto"/>
          <w:lang w:val="en-US" w:eastAsia="zh-CN"/>
        </w:rPr>
        <w:t>取土弃土工程，因此不设排泥场</w:t>
      </w:r>
      <w:r>
        <w:rPr>
          <w:rFonts w:hint="eastAsia" w:cs="Times New Roman"/>
          <w:color w:val="auto"/>
          <w:lang w:val="en-US" w:eastAsia="zh-CN"/>
        </w:rPr>
        <w:t>、</w:t>
      </w:r>
      <w:r>
        <w:rPr>
          <w:rFonts w:hint="default" w:ascii="Times New Roman" w:hAnsi="Times New Roman" w:eastAsia="宋体" w:cs="Times New Roman"/>
          <w:color w:val="auto"/>
          <w:lang w:val="en-US" w:eastAsia="zh-CN"/>
        </w:rPr>
        <w:t>取弃土场。</w:t>
      </w:r>
      <w:r>
        <w:rPr>
          <w:rFonts w:hint="eastAsia" w:cs="Times New Roman"/>
          <w:color w:val="auto"/>
          <w:lang w:val="en-US" w:eastAsia="zh-CN"/>
        </w:rPr>
        <w:t>项目</w:t>
      </w:r>
      <w:r>
        <w:rPr>
          <w:rFonts w:hint="default" w:ascii="Times New Roman" w:hAnsi="Times New Roman" w:eastAsia="宋体" w:cs="Times New Roman"/>
          <w:color w:val="auto"/>
          <w:lang w:val="en-US" w:eastAsia="zh-CN"/>
        </w:rPr>
        <w:t>租用附近民房作为施工项目部及施工人员宿舍，</w:t>
      </w:r>
      <w:r>
        <w:rPr>
          <w:rFonts w:hint="eastAsia" w:cs="Times New Roman"/>
          <w:color w:val="auto"/>
          <w:lang w:val="en-US" w:eastAsia="zh-CN"/>
        </w:rPr>
        <w:t>征用附近网球场作为材料堆放区，进行材料堆放，</w:t>
      </w:r>
      <w:r>
        <w:rPr>
          <w:rFonts w:hint="default" w:ascii="Times New Roman" w:hAnsi="Times New Roman" w:eastAsia="宋体" w:cs="Times New Roman"/>
          <w:color w:val="auto"/>
          <w:lang w:val="en-US" w:eastAsia="zh-CN"/>
        </w:rPr>
        <w:t>不在工程范围内设置施工营地。项目临时工程不在饮用水水源保护区范围内。</w:t>
      </w:r>
    </w:p>
    <w:p>
      <w:pPr>
        <w:pStyle w:val="4"/>
        <w:tabs>
          <w:tab w:val="left" w:pos="2160"/>
        </w:tabs>
        <w:adjustRightInd/>
        <w:spacing w:before="196" w:beforeLines="50" w:after="196" w:afterLines="50" w:line="480" w:lineRule="exact"/>
        <w:jc w:val="both"/>
        <w:rPr>
          <w:rFonts w:hint="default" w:ascii="Times New Roman" w:hAnsi="Times New Roman" w:eastAsia="宋体" w:cs="Times New Roman"/>
          <w:bCs/>
          <w:color w:val="auto"/>
          <w:sz w:val="30"/>
          <w:szCs w:val="30"/>
          <w:lang w:val="en-US" w:eastAsia="zh-CN"/>
        </w:rPr>
      </w:pPr>
      <w:bookmarkStart w:id="220" w:name="_Toc2733"/>
      <w:r>
        <w:rPr>
          <w:rFonts w:hint="default" w:ascii="Times New Roman" w:hAnsi="Times New Roman" w:eastAsia="宋体" w:cs="Times New Roman"/>
          <w:bCs/>
          <w:color w:val="auto"/>
          <w:sz w:val="30"/>
          <w:szCs w:val="30"/>
          <w:lang w:val="en-US" w:eastAsia="zh-CN"/>
        </w:rPr>
        <w:t>3.</w:t>
      </w:r>
      <w:r>
        <w:rPr>
          <w:rFonts w:hint="eastAsia" w:cs="Times New Roman"/>
          <w:bCs/>
          <w:color w:val="auto"/>
          <w:sz w:val="30"/>
          <w:szCs w:val="30"/>
          <w:lang w:val="en-US" w:eastAsia="zh-CN"/>
        </w:rPr>
        <w:t>4</w:t>
      </w:r>
      <w:r>
        <w:rPr>
          <w:rFonts w:hint="default" w:ascii="Times New Roman" w:hAnsi="Times New Roman" w:eastAsia="宋体" w:cs="Times New Roman"/>
          <w:bCs/>
          <w:color w:val="auto"/>
          <w:sz w:val="30"/>
          <w:szCs w:val="30"/>
          <w:lang w:val="en-US" w:eastAsia="zh-CN"/>
        </w:rPr>
        <w:t>工程组成、内容、设计及特性</w:t>
      </w:r>
      <w:bookmarkEnd w:id="220"/>
    </w:p>
    <w:p>
      <w:pPr>
        <w:pStyle w:val="5"/>
        <w:jc w:val="both"/>
        <w:rPr>
          <w:rFonts w:hint="default" w:ascii="Times New Roman" w:hAnsi="Times New Roman" w:eastAsia="宋体" w:cs="Times New Roman"/>
          <w:color w:val="auto"/>
          <w:lang w:val="en-US" w:eastAsia="zh-CN"/>
        </w:rPr>
      </w:pPr>
      <w:bookmarkStart w:id="221" w:name="_Toc784"/>
      <w:r>
        <w:rPr>
          <w:rFonts w:hint="default" w:ascii="Times New Roman" w:hAnsi="Times New Roman" w:eastAsia="宋体" w:cs="Times New Roman"/>
          <w:color w:val="auto"/>
          <w:lang w:val="en-US" w:eastAsia="zh-CN"/>
        </w:rPr>
        <w:t>3.</w:t>
      </w:r>
      <w:r>
        <w:rPr>
          <w:rFonts w:hint="eastAsia" w:cs="Times New Roman"/>
          <w:color w:val="auto"/>
          <w:lang w:val="en-US" w:eastAsia="zh-CN"/>
        </w:rPr>
        <w:t>4</w:t>
      </w:r>
      <w:r>
        <w:rPr>
          <w:rFonts w:hint="default" w:ascii="Times New Roman" w:hAnsi="Times New Roman" w:eastAsia="宋体" w:cs="Times New Roman"/>
          <w:color w:val="auto"/>
          <w:lang w:val="en-US" w:eastAsia="zh-CN"/>
        </w:rPr>
        <w:t>.1工程组成</w:t>
      </w:r>
      <w:bookmarkEnd w:id="221"/>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本次生态修复工程包括：鱼贝螺控藻引导水下生态修复工程，水下森林生态修复工程、水生态系统修复工程等，工程范围总面积约12万m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（1）鱼贝螺控藻引导水下生态修复工程具体包括：放养白鲢、环棱螺投，三角蚌等水生动物6.57万公斤；设置橡胶围隔、生态围隔、生态拦网、拦渔网等拦截设施7公里。</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（2）水下森林生态修复工程、水生态系统修复工程具体包括：种植沉水植物11.79万平方米、挺水植物1114平方米、浮叶植物25平方米。</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工程组成见下表：</w:t>
      </w:r>
    </w:p>
    <w:p>
      <w:pPr>
        <w:spacing w:line="480" w:lineRule="exact"/>
        <w:ind w:firstLine="482" w:firstLineChars="20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表3.</w:t>
      </w:r>
      <w:r>
        <w:rPr>
          <w:rFonts w:hint="eastAsia" w:cs="Times New Roman"/>
          <w:b/>
          <w:bCs/>
          <w:color w:val="auto"/>
          <w:lang w:val="en-US" w:eastAsia="zh-CN"/>
        </w:rPr>
        <w:t>4</w:t>
      </w:r>
      <w:r>
        <w:rPr>
          <w:rFonts w:hint="default" w:ascii="Times New Roman" w:hAnsi="Times New Roman" w:eastAsia="宋体" w:cs="Times New Roman"/>
          <w:b/>
          <w:bCs/>
          <w:color w:val="auto"/>
          <w:lang w:val="en-US" w:eastAsia="zh-CN"/>
        </w:rPr>
        <w:t>-</w:t>
      </w:r>
      <w:r>
        <w:rPr>
          <w:rFonts w:hint="eastAsia" w:cs="Times New Roman"/>
          <w:b/>
          <w:bCs/>
          <w:color w:val="auto"/>
          <w:lang w:val="en-US" w:eastAsia="zh-CN"/>
        </w:rPr>
        <w:t>1</w:t>
      </w:r>
      <w:r>
        <w:rPr>
          <w:rFonts w:hint="default" w:ascii="Times New Roman" w:hAnsi="Times New Roman" w:eastAsia="宋体" w:cs="Times New Roman"/>
          <w:b/>
          <w:bCs/>
          <w:color w:val="auto"/>
          <w:lang w:val="en-US" w:eastAsia="zh-CN"/>
        </w:rPr>
        <w:t xml:space="preserve"> 项目工程组成</w:t>
      </w:r>
    </w:p>
    <w:tbl>
      <w:tblPr>
        <w:tblStyle w:val="5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84"/>
        <w:gridCol w:w="2538"/>
        <w:gridCol w:w="55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1" w:type="pct"/>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类型</w:t>
            </w:r>
          </w:p>
        </w:tc>
        <w:tc>
          <w:tcPr>
            <w:tcW w:w="1374" w:type="pct"/>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名称</w:t>
            </w:r>
          </w:p>
        </w:tc>
        <w:tc>
          <w:tcPr>
            <w:tcW w:w="2984" w:type="pct"/>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组成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641" w:type="pct"/>
            <w:vMerge w:val="restart"/>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永久工程</w:t>
            </w:r>
          </w:p>
        </w:tc>
        <w:tc>
          <w:tcPr>
            <w:tcW w:w="1374" w:type="pct"/>
            <w:vMerge w:val="restart"/>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鱼贝螺控藻引导水下生态修复工程</w:t>
            </w:r>
          </w:p>
        </w:tc>
        <w:tc>
          <w:tcPr>
            <w:tcW w:w="2984" w:type="pct"/>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放养白鲢、环棱螺投，三角蚌等水生动物6.57万公斤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641" w:type="pct"/>
            <w:vMerge w:val="continue"/>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rPr>
            </w:pPr>
          </w:p>
        </w:tc>
        <w:tc>
          <w:tcPr>
            <w:tcW w:w="1374" w:type="pct"/>
            <w:vMerge w:val="continue"/>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p>
        </w:tc>
        <w:tc>
          <w:tcPr>
            <w:tcW w:w="2984" w:type="pct"/>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设置橡胶围隔、生态围隔、生态拦网、拦渔网等拦截设施7公里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641" w:type="pct"/>
            <w:vMerge w:val="continue"/>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p>
        </w:tc>
        <w:tc>
          <w:tcPr>
            <w:tcW w:w="1374" w:type="pct"/>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水下森林生态修复工程、水生态系统修复工程</w:t>
            </w:r>
          </w:p>
        </w:tc>
        <w:tc>
          <w:tcPr>
            <w:tcW w:w="2984" w:type="pct"/>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种植沉水植物11.79万平方米、挺水植物1114平方米、浮叶植物25平方米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1" w:type="pct"/>
            <w:vMerge w:val="restart"/>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临时工程</w:t>
            </w:r>
          </w:p>
        </w:tc>
        <w:tc>
          <w:tcPr>
            <w:tcW w:w="1374" w:type="pct"/>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项目部</w:t>
            </w:r>
          </w:p>
        </w:tc>
        <w:tc>
          <w:tcPr>
            <w:tcW w:w="2984" w:type="pct"/>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1处（租用附近民房）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1" w:type="pct"/>
            <w:vMerge w:val="continue"/>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p>
        </w:tc>
        <w:tc>
          <w:tcPr>
            <w:tcW w:w="1374" w:type="pct"/>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材料堆放区</w:t>
            </w:r>
          </w:p>
        </w:tc>
        <w:tc>
          <w:tcPr>
            <w:tcW w:w="2984" w:type="pct"/>
            <w:tcBorders>
              <w:tl2br w:val="nil"/>
              <w:tr2bl w:val="nil"/>
            </w:tcBorders>
            <w:vAlign w:val="center"/>
          </w:tcPr>
          <w:p>
            <w:pPr>
              <w:widowControl w:val="0"/>
              <w:tabs>
                <w:tab w:val="left" w:pos="3159"/>
              </w:tabs>
              <w:autoSpaceDE w:val="0"/>
              <w:autoSpaceDN w:val="0"/>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征用附近网球场，约400m</w:t>
            </w:r>
            <w:r>
              <w:rPr>
                <w:rFonts w:hint="eastAsia" w:cs="Times New Roman"/>
                <w:b w:val="0"/>
                <w:bCs w:val="0"/>
                <w:color w:val="auto"/>
                <w:sz w:val="21"/>
                <w:szCs w:val="21"/>
                <w:vertAlign w:val="superscript"/>
                <w:lang w:val="en-US" w:eastAsia="zh-CN"/>
              </w:rPr>
              <w:t>2</w:t>
            </w:r>
          </w:p>
        </w:tc>
      </w:tr>
    </w:tbl>
    <w:p>
      <w:pPr>
        <w:pStyle w:val="5"/>
        <w:jc w:val="both"/>
        <w:rPr>
          <w:rFonts w:hint="default" w:ascii="Times New Roman" w:hAnsi="Times New Roman" w:eastAsia="宋体" w:cs="Times New Roman"/>
          <w:color w:val="auto"/>
          <w:lang w:val="en-US" w:eastAsia="zh-CN"/>
        </w:rPr>
      </w:pPr>
      <w:bookmarkStart w:id="222" w:name="_Toc21140"/>
      <w:r>
        <w:rPr>
          <w:rFonts w:hint="default" w:ascii="Times New Roman" w:hAnsi="Times New Roman" w:eastAsia="宋体" w:cs="Times New Roman"/>
          <w:color w:val="auto"/>
          <w:lang w:val="en-US" w:eastAsia="zh-CN"/>
        </w:rPr>
        <w:t>3.</w:t>
      </w:r>
      <w:r>
        <w:rPr>
          <w:rFonts w:hint="eastAsia" w:cs="Times New Roman"/>
          <w:color w:val="auto"/>
          <w:lang w:val="en-US" w:eastAsia="zh-CN"/>
        </w:rPr>
        <w:t>4</w:t>
      </w:r>
      <w:r>
        <w:rPr>
          <w:rFonts w:hint="default" w:ascii="Times New Roman" w:hAnsi="Times New Roman" w:eastAsia="宋体" w:cs="Times New Roman"/>
          <w:color w:val="auto"/>
          <w:lang w:val="en-US" w:eastAsia="zh-CN"/>
        </w:rPr>
        <w:t>.2工程内容</w:t>
      </w:r>
      <w:bookmarkEnd w:id="222"/>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1、生态修复工程</w:t>
      </w:r>
    </w:p>
    <w:p>
      <w:pPr>
        <w:spacing w:line="480" w:lineRule="exact"/>
        <w:ind w:firstLine="480" w:firstLineChars="200"/>
        <w:jc w:val="both"/>
        <w:rPr>
          <w:rFonts w:hint="default" w:ascii="Times New Roman" w:hAnsi="Times New Roman" w:eastAsia="宋体" w:cs="Times New Roman"/>
          <w:b/>
          <w:bCs/>
          <w:color w:val="auto"/>
          <w:lang w:val="en-US" w:eastAsia="zh-CN"/>
        </w:rPr>
      </w:pPr>
      <w:r>
        <w:rPr>
          <w:rFonts w:hint="eastAsia" w:cs="Times New Roman"/>
          <w:color w:val="auto"/>
          <w:lang w:val="en-US" w:eastAsia="zh-CN"/>
        </w:rPr>
        <w:t>本项目首先通过设置橡胶围隔、生态围隔、生态拦网、拦渔网等拦截设施7公里进行</w:t>
      </w:r>
      <w:r>
        <w:rPr>
          <w:rFonts w:hint="default" w:ascii="Times New Roman" w:hAnsi="Times New Roman" w:eastAsia="宋体" w:cs="Times New Roman"/>
          <w:color w:val="auto"/>
          <w:lang w:val="en-US" w:eastAsia="zh-CN"/>
        </w:rPr>
        <w:t>风浪削减、蓝藻拦截</w:t>
      </w:r>
      <w:r>
        <w:rPr>
          <w:rFonts w:hint="eastAsia" w:cs="Times New Roman"/>
          <w:color w:val="auto"/>
          <w:lang w:val="en-US" w:eastAsia="zh-CN"/>
        </w:rPr>
        <w:t>，再通过种植沉水植物11.79万平方米、挺水植物1114平方米、浮叶植物25平方米进行水生植物群落构建，最后通过放养白鲢、环棱螺投，三角蚌等水生动物6.57万公斤进行水生动物群落优化。</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（1）风浪削减、蓝藻拦截</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太湖平均水深1.89m，是典型的平原浅水湖泊，遇大风天气，特别是在台风期间，湖底污泥被风浪掀起，湖区浑浊度增大，加速底泥中污染物质释放，严重影响水源地水质。本工程通过设置橡胶围隔、生态围隔、生态拦网、拦渔网等拦截设施可有效改善水源地生态环境。其中橡胶围隔</w:t>
      </w:r>
      <w:r>
        <w:rPr>
          <w:rFonts w:hint="eastAsia" w:cs="Times New Roman"/>
          <w:color w:val="auto"/>
          <w:lang w:val="en-US" w:eastAsia="zh-CN"/>
        </w:rPr>
        <w:t>1765</w:t>
      </w:r>
      <w:r>
        <w:rPr>
          <w:rFonts w:hint="default" w:ascii="Times New Roman" w:hAnsi="Times New Roman" w:eastAsia="宋体" w:cs="Times New Roman"/>
          <w:color w:val="auto"/>
          <w:lang w:val="en-US" w:eastAsia="zh-CN"/>
        </w:rPr>
        <w:t>m，生态围隔</w:t>
      </w:r>
      <w:r>
        <w:rPr>
          <w:rFonts w:hint="eastAsia" w:cs="Times New Roman"/>
          <w:color w:val="auto"/>
          <w:lang w:val="en-US" w:eastAsia="zh-CN"/>
        </w:rPr>
        <w:t>944</w:t>
      </w:r>
      <w:r>
        <w:rPr>
          <w:rFonts w:hint="default" w:ascii="Times New Roman" w:hAnsi="Times New Roman" w:eastAsia="宋体" w:cs="Times New Roman"/>
          <w:color w:val="auto"/>
          <w:lang w:val="en-US" w:eastAsia="zh-CN"/>
        </w:rPr>
        <w:t>m，生态拦网2</w:t>
      </w:r>
      <w:r>
        <w:rPr>
          <w:rFonts w:hint="eastAsia" w:cs="Times New Roman"/>
          <w:color w:val="auto"/>
          <w:lang w:val="en-US" w:eastAsia="zh-CN"/>
        </w:rPr>
        <w:t>251</w:t>
      </w:r>
      <w:r>
        <w:rPr>
          <w:rFonts w:hint="default" w:ascii="Times New Roman" w:hAnsi="Times New Roman" w:eastAsia="宋体" w:cs="Times New Roman"/>
          <w:color w:val="auto"/>
          <w:lang w:val="en-US" w:eastAsia="zh-CN"/>
        </w:rPr>
        <w:t>m，导流围隔20m，拦鱼网1</w:t>
      </w:r>
      <w:r>
        <w:rPr>
          <w:rFonts w:hint="eastAsia" w:cs="Times New Roman"/>
          <w:color w:val="auto"/>
          <w:lang w:val="en-US" w:eastAsia="zh-CN"/>
        </w:rPr>
        <w:t>818</w:t>
      </w:r>
      <w:r>
        <w:rPr>
          <w:rFonts w:hint="default" w:ascii="Times New Roman" w:hAnsi="Times New Roman" w:eastAsia="宋体" w:cs="Times New Roman"/>
          <w:color w:val="auto"/>
          <w:lang w:val="en-US" w:eastAsia="zh-CN"/>
        </w:rPr>
        <w:t>m。</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（2）水生植物群落构建</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种植沉水植物，利用其光合作用增加水体中溶解氧。这其中主要包括沉水植物的运输、种植等。本工程沉水植物种植6 类，110307m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；浮叶植物种植1 类，25m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；挺水植物种植4类，1115m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；合计：111447m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（3）水生动物群落优化</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利用鱼贝螺摄食水体中的藻类、有机悬浮物质。迅速提高水体透明度，改善水下光照条件，促进沉水植被的生长及生态系统的恢复。本工程白鲢投放223kg，环棱螺投放36372kg，三角蚌投放29098kg，合计约6.57万kg。</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2、临时工程</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（1）项目部</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本工程项目部租用附近民房。施工期平均施工人数约</w:t>
      </w:r>
      <w:r>
        <w:rPr>
          <w:rFonts w:hint="eastAsia" w:cs="Times New Roman"/>
          <w:color w:val="auto"/>
          <w:lang w:val="en-US" w:eastAsia="zh-CN"/>
        </w:rPr>
        <w:t>15</w:t>
      </w:r>
      <w:r>
        <w:rPr>
          <w:rFonts w:hint="default" w:ascii="Times New Roman" w:hAnsi="Times New Roman" w:eastAsia="宋体" w:cs="Times New Roman"/>
          <w:color w:val="auto"/>
          <w:lang w:val="en-US" w:eastAsia="zh-CN"/>
        </w:rPr>
        <w:t>人，施工高峰人数约</w:t>
      </w:r>
      <w:r>
        <w:rPr>
          <w:rFonts w:hint="eastAsia" w:cs="Times New Roman"/>
          <w:color w:val="auto"/>
          <w:lang w:val="en-US" w:eastAsia="zh-CN"/>
        </w:rPr>
        <w:t>2</w:t>
      </w:r>
      <w:r>
        <w:rPr>
          <w:rFonts w:hint="default" w:ascii="Times New Roman" w:hAnsi="Times New Roman" w:eastAsia="宋体" w:cs="Times New Roman"/>
          <w:color w:val="auto"/>
          <w:lang w:val="en-US" w:eastAsia="zh-CN"/>
        </w:rPr>
        <w:t>0人。</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（2）施工便道</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本工程位于苏州太湖国家旅游度假区境内，市政道路网络发展成熟，有多级道路可通往项目工程区，且现有道路均能满足施工机械进出场、建筑材料运输等要求，工程外来物资运输条件良好，对外交通较为便利。</w:t>
      </w:r>
    </w:p>
    <w:p>
      <w:pPr>
        <w:pStyle w:val="5"/>
        <w:jc w:val="both"/>
        <w:rPr>
          <w:rFonts w:hint="default" w:ascii="Times New Roman" w:hAnsi="Times New Roman" w:eastAsia="宋体" w:cs="Times New Roman"/>
          <w:color w:val="auto"/>
          <w:lang w:val="en-US" w:eastAsia="zh-CN"/>
        </w:rPr>
      </w:pPr>
      <w:bookmarkStart w:id="223" w:name="_Toc3118"/>
      <w:r>
        <w:rPr>
          <w:rFonts w:hint="default" w:ascii="Times New Roman" w:hAnsi="Times New Roman" w:eastAsia="宋体" w:cs="Times New Roman"/>
          <w:color w:val="auto"/>
          <w:lang w:val="en-US" w:eastAsia="zh-CN"/>
        </w:rPr>
        <w:t>3.</w:t>
      </w:r>
      <w:r>
        <w:rPr>
          <w:rFonts w:hint="eastAsia" w:cs="Times New Roman"/>
          <w:color w:val="auto"/>
          <w:lang w:val="en-US" w:eastAsia="zh-CN"/>
        </w:rPr>
        <w:t>4</w:t>
      </w:r>
      <w:r>
        <w:rPr>
          <w:rFonts w:hint="default" w:ascii="Times New Roman" w:hAnsi="Times New Roman" w:eastAsia="宋体" w:cs="Times New Roman"/>
          <w:color w:val="auto"/>
          <w:lang w:val="en-US" w:eastAsia="zh-CN"/>
        </w:rPr>
        <w:t>.3 工程设计</w:t>
      </w:r>
      <w:bookmarkEnd w:id="223"/>
    </w:p>
    <w:p>
      <w:pPr>
        <w:spacing w:line="480" w:lineRule="exact"/>
        <w:ind w:firstLine="482" w:firstLineChars="200"/>
        <w:jc w:val="both"/>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1、风浪削减、蓝藻拦截工程</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本工程采用漂浮消浪蓝藻系统：由橡胶围隔、生态围隔、拦鱼网、生态拦网系统组成。</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r>
        <w:rPr>
          <w:rFonts w:hint="eastAsia" w:cs="Times New Roman"/>
          <w:color w:val="auto"/>
          <w:lang w:val="en-US" w:eastAsia="zh-CN"/>
        </w:rPr>
        <w:t>1</w:t>
      </w:r>
      <w:r>
        <w:rPr>
          <w:rFonts w:hint="default" w:ascii="Times New Roman" w:hAnsi="Times New Roman" w:eastAsia="宋体" w:cs="Times New Roman"/>
          <w:color w:val="auto"/>
          <w:lang w:val="en-US" w:eastAsia="zh-CN"/>
        </w:rPr>
        <w:t>）橡胶围隔、生态围隔</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生态围隔布设在橡胶围隔内侧，与橡胶围隔间距5-10m，进一步削减风浪。橡胶围隔设置1</w:t>
      </w:r>
      <w:r>
        <w:rPr>
          <w:rFonts w:hint="eastAsia" w:cs="Times New Roman"/>
          <w:color w:val="auto"/>
          <w:lang w:val="en-US" w:eastAsia="zh-CN"/>
        </w:rPr>
        <w:t>765</w:t>
      </w:r>
      <w:r>
        <w:rPr>
          <w:rFonts w:hint="default" w:ascii="Times New Roman" w:hAnsi="Times New Roman" w:eastAsia="宋体" w:cs="Times New Roman"/>
          <w:color w:val="auto"/>
          <w:lang w:val="en-US" w:eastAsia="zh-CN"/>
        </w:rPr>
        <w:t>m、生态围隔设置</w:t>
      </w:r>
      <w:r>
        <w:rPr>
          <w:rFonts w:hint="eastAsia" w:cs="Times New Roman"/>
          <w:color w:val="auto"/>
          <w:lang w:val="en-US" w:eastAsia="zh-CN"/>
        </w:rPr>
        <w:t>944</w:t>
      </w:r>
      <w:r>
        <w:rPr>
          <w:rFonts w:hint="default" w:ascii="Times New Roman" w:hAnsi="Times New Roman" w:eastAsia="宋体" w:cs="Times New Roman"/>
          <w:color w:val="auto"/>
          <w:lang w:val="en-US" w:eastAsia="zh-CN"/>
        </w:rPr>
        <w:t>m。</w:t>
      </w:r>
    </w:p>
    <w:p>
      <w:pPr>
        <w:spacing w:line="480" w:lineRule="exact"/>
        <w:ind w:firstLine="480" w:firstLineChars="200"/>
        <w:jc w:val="both"/>
        <w:rPr>
          <w:rFonts w:hint="default" w:cs="Times New Roman"/>
          <w:color w:val="auto"/>
          <w:lang w:val="en-US" w:eastAsia="zh-CN"/>
        </w:rPr>
      </w:pPr>
      <w:r>
        <w:rPr>
          <w:rFonts w:hint="eastAsia" w:cs="Times New Roman"/>
          <w:color w:val="auto"/>
          <w:lang w:val="en-US" w:eastAsia="zh-CN"/>
        </w:rPr>
        <w:t>①橡胶围隔挡藻作用机理</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在波浪传播到围隔之后，通过橡胶围隔内置的装置能够将其中一部分波浪放射回去，借助于放射作用进行消浪。其次橡胶围隔的运动频率与波浪的传递频率两者之间具有一定的差异性，在两者的共同作用之下能够减少部门波能。第三是波浪质点在其运动过程中受到了与橡胶围隔接触过程中所产生的摩擦与碰撞因素的影响，从而减弱了其运动力度，在这三种因素的共同作用之下，橡胶围隔能够消减30%以上的风浪，使进入到太湖的风浪较小。</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在风力较小的情况下，蓝藻容易从向岸湖流入湖滨带，在7月中旬表现比较明显，在三级风刮过之后，湖滨带的蓝藻浓度会提升，离岸风能够把无植被覆盖地区的蓝藻携带走70%~80%。在橡胶围隔的消浪作用下，能够降低内层围隔中的水流速度，使得蓝藻能够漂浮在水体的表层之上，通过橡胶围隔的作用集中起来，在橡胶围隔和导流的作用之下，蓝藻则与水流一起按照设定的路线向前漂移一直到达指定的蓝藻打捞点，进而对太湖水流中的蓝藻进行集中性与统一性清除。</w:t>
      </w:r>
    </w:p>
    <w:p>
      <w:pPr>
        <w:spacing w:line="480" w:lineRule="exact"/>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rPr>
        <w:drawing>
          <wp:anchor distT="0" distB="0" distL="114300" distR="114300" simplePos="0" relativeHeight="251716608" behindDoc="0" locked="0" layoutInCell="1" allowOverlap="1">
            <wp:simplePos x="0" y="0"/>
            <wp:positionH relativeFrom="column">
              <wp:posOffset>1170940</wp:posOffset>
            </wp:positionH>
            <wp:positionV relativeFrom="paragraph">
              <wp:posOffset>11430</wp:posOffset>
            </wp:positionV>
            <wp:extent cx="3544570" cy="2506345"/>
            <wp:effectExtent l="0" t="0" r="17780" b="8255"/>
            <wp:wrapNone/>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19"/>
                    <a:srcRect t="4280"/>
                    <a:stretch>
                      <a:fillRect/>
                    </a:stretch>
                  </pic:blipFill>
                  <pic:spPr>
                    <a:xfrm>
                      <a:off x="0" y="0"/>
                      <a:ext cx="3544570" cy="2506345"/>
                    </a:xfrm>
                    <a:prstGeom prst="rect">
                      <a:avLst/>
                    </a:prstGeom>
                    <a:noFill/>
                    <a:ln>
                      <a:noFill/>
                    </a:ln>
                  </pic:spPr>
                </pic:pic>
              </a:graphicData>
            </a:graphic>
          </wp:anchor>
        </w:drawing>
      </w: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2" w:firstLineChars="20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图</w:t>
      </w:r>
      <w:r>
        <w:rPr>
          <w:rFonts w:hint="eastAsia" w:cs="Times New Roman"/>
          <w:b/>
          <w:bCs/>
          <w:color w:val="auto"/>
          <w:lang w:val="en-US" w:eastAsia="zh-CN"/>
        </w:rPr>
        <w:t>3.4</w:t>
      </w:r>
      <w:r>
        <w:rPr>
          <w:rFonts w:hint="default" w:ascii="Times New Roman" w:hAnsi="Times New Roman" w:eastAsia="宋体" w:cs="Times New Roman"/>
          <w:b/>
          <w:bCs/>
          <w:color w:val="auto"/>
          <w:lang w:val="en-US" w:eastAsia="zh-CN"/>
        </w:rPr>
        <w:t>-</w:t>
      </w:r>
      <w:r>
        <w:rPr>
          <w:rFonts w:hint="eastAsia" w:cs="Times New Roman"/>
          <w:b/>
          <w:bCs/>
          <w:color w:val="auto"/>
          <w:lang w:val="en-US" w:eastAsia="zh-CN"/>
        </w:rPr>
        <w:t>1</w:t>
      </w:r>
      <w:r>
        <w:rPr>
          <w:rFonts w:hint="default" w:ascii="Times New Roman" w:hAnsi="Times New Roman" w:eastAsia="宋体" w:cs="Times New Roman"/>
          <w:b/>
          <w:bCs/>
          <w:color w:val="auto"/>
          <w:lang w:val="en-US" w:eastAsia="zh-CN"/>
        </w:rPr>
        <w:t xml:space="preserve"> 橡胶围隔</w:t>
      </w:r>
    </w:p>
    <w:p>
      <w:pPr>
        <w:spacing w:line="480" w:lineRule="exact"/>
        <w:ind w:firstLine="480" w:firstLineChars="200"/>
        <w:jc w:val="both"/>
        <w:rPr>
          <w:rFonts w:hint="default" w:cs="Times New Roman"/>
          <w:color w:val="auto"/>
          <w:lang w:val="en-US" w:eastAsia="zh-CN"/>
        </w:rPr>
      </w:pPr>
      <w:r>
        <w:rPr>
          <w:rFonts w:hint="eastAsia" w:cs="Times New Roman"/>
          <w:color w:val="auto"/>
          <w:lang w:val="en-US" w:eastAsia="zh-CN"/>
        </w:rPr>
        <w:t>②生态围隔作用机理：</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生态围隔内采用漂浮植物作为生物拦截介质，其主要优点是不受水位影响、便于管理。由于拦截介质主要积聚于上层30cm左右的水层内，因此，对于主要积聚于上层水体的藻类，特别是具有气囊结构，可在水柱中垂向运动，以获得光照优势的蓝藻的拦截效率较高，可达20.7%。</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生物介质和围隔布作为生态围隔的外层和内层拦截介质，不仅对藻类的拦截起到了一定的作用，同时对于改善水质，降低水体氮磷等含量，特别是氨氮含量，起到了较好的作用。由于漂浮植物本身具有较强的吸收氮磷等营养盐的效果，同时，由于围隔布作为拦截的介质，相对比表面积较大，为附着的微生物提供了更多降解和吸收营养盐的位点，因此起到了一定固定化微生物膜的效果。</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采用生态围隔对水源地取水口进行藻类拦截，通过漂浮植物群落及围栏介质拦截及其附生生物降解等作用，可降低进入水源地的蓝藻数量，提高水源地水质。</w:t>
      </w:r>
    </w:p>
    <w:p>
      <w:pPr>
        <w:pStyle w:val="2"/>
        <w:rPr>
          <w:rFonts w:hint="default"/>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rPr>
        <w:drawing>
          <wp:anchor distT="0" distB="0" distL="114300" distR="114300" simplePos="0" relativeHeight="251717632" behindDoc="0" locked="0" layoutInCell="1" allowOverlap="1">
            <wp:simplePos x="0" y="0"/>
            <wp:positionH relativeFrom="column">
              <wp:posOffset>317500</wp:posOffset>
            </wp:positionH>
            <wp:positionV relativeFrom="paragraph">
              <wp:posOffset>-78105</wp:posOffset>
            </wp:positionV>
            <wp:extent cx="5208270" cy="2609850"/>
            <wp:effectExtent l="0" t="0" r="11430" b="0"/>
            <wp:wrapNone/>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20"/>
                    <a:stretch>
                      <a:fillRect/>
                    </a:stretch>
                  </pic:blipFill>
                  <pic:spPr>
                    <a:xfrm>
                      <a:off x="0" y="0"/>
                      <a:ext cx="5208270" cy="2609850"/>
                    </a:xfrm>
                    <a:prstGeom prst="rect">
                      <a:avLst/>
                    </a:prstGeom>
                    <a:noFill/>
                    <a:ln>
                      <a:noFill/>
                    </a:ln>
                  </pic:spPr>
                </pic:pic>
              </a:graphicData>
            </a:graphic>
          </wp:anchor>
        </w:drawing>
      </w:r>
    </w:p>
    <w:p>
      <w:pPr>
        <w:jc w:val="center"/>
        <w:rPr>
          <w:rFonts w:hint="default" w:ascii="Times New Roman" w:hAnsi="Times New Roman" w:eastAsia="宋体" w:cs="Times New Roman"/>
          <w:b/>
          <w:bCs/>
          <w:color w:val="auto"/>
          <w:lang w:val="en-US" w:eastAsia="zh-CN"/>
        </w:rPr>
      </w:pPr>
    </w:p>
    <w:p>
      <w:pPr>
        <w:jc w:val="center"/>
        <w:rPr>
          <w:rFonts w:hint="default" w:ascii="Times New Roman" w:hAnsi="Times New Roman" w:eastAsia="宋体" w:cs="Times New Roman"/>
          <w:b/>
          <w:bCs/>
          <w:color w:val="auto"/>
          <w:lang w:val="en-US" w:eastAsia="zh-CN"/>
        </w:rPr>
      </w:pPr>
    </w:p>
    <w:p>
      <w:pPr>
        <w:jc w:val="center"/>
        <w:rPr>
          <w:rFonts w:hint="default" w:ascii="Times New Roman" w:hAnsi="Times New Roman" w:eastAsia="宋体" w:cs="Times New Roman"/>
          <w:b/>
          <w:bCs/>
          <w:color w:val="auto"/>
          <w:lang w:val="en-US" w:eastAsia="zh-CN"/>
        </w:rPr>
      </w:pPr>
    </w:p>
    <w:p>
      <w:pPr>
        <w:jc w:val="center"/>
        <w:rPr>
          <w:rFonts w:hint="default" w:ascii="Times New Roman" w:hAnsi="Times New Roman" w:eastAsia="宋体" w:cs="Times New Roman"/>
          <w:b/>
          <w:bCs/>
          <w:color w:val="auto"/>
          <w:lang w:val="en-US" w:eastAsia="zh-CN"/>
        </w:rPr>
      </w:pPr>
    </w:p>
    <w:p>
      <w:pPr>
        <w:jc w:val="center"/>
        <w:rPr>
          <w:rFonts w:hint="default" w:ascii="Times New Roman" w:hAnsi="Times New Roman" w:eastAsia="宋体" w:cs="Times New Roman"/>
          <w:b/>
          <w:bCs/>
          <w:color w:val="auto"/>
          <w:lang w:val="en-US" w:eastAsia="zh-CN"/>
        </w:rPr>
      </w:pPr>
    </w:p>
    <w:p>
      <w:pPr>
        <w:jc w:val="center"/>
        <w:rPr>
          <w:rFonts w:hint="default" w:ascii="Times New Roman" w:hAnsi="Times New Roman" w:eastAsia="宋体" w:cs="Times New Roman"/>
          <w:b/>
          <w:bCs/>
          <w:color w:val="auto"/>
          <w:lang w:val="en-US" w:eastAsia="zh-CN"/>
        </w:rPr>
      </w:pPr>
    </w:p>
    <w:p>
      <w:pPr>
        <w:jc w:val="center"/>
        <w:rPr>
          <w:rFonts w:hint="default" w:ascii="Times New Roman" w:hAnsi="Times New Roman" w:eastAsia="宋体" w:cs="Times New Roman"/>
          <w:b/>
          <w:bCs/>
          <w:color w:val="auto"/>
          <w:lang w:val="en-US" w:eastAsia="zh-CN"/>
        </w:rPr>
      </w:pPr>
    </w:p>
    <w:p>
      <w:pPr>
        <w:jc w:val="center"/>
        <w:rPr>
          <w:rFonts w:hint="default" w:ascii="Times New Roman" w:hAnsi="Times New Roman" w:eastAsia="宋体" w:cs="Times New Roman"/>
          <w:b/>
          <w:bCs/>
          <w:color w:val="auto"/>
          <w:lang w:val="en-US" w:eastAsia="zh-CN"/>
        </w:rPr>
      </w:pPr>
    </w:p>
    <w:p>
      <w:pPr>
        <w:jc w:val="center"/>
        <w:rPr>
          <w:rFonts w:hint="default" w:ascii="Times New Roman" w:hAnsi="Times New Roman" w:eastAsia="宋体" w:cs="Times New Roman"/>
          <w:b/>
          <w:bCs/>
          <w:color w:val="auto"/>
          <w:lang w:val="en-US" w:eastAsia="zh-CN"/>
        </w:rPr>
      </w:pPr>
    </w:p>
    <w:p>
      <w:pPr>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图</w:t>
      </w:r>
      <w:r>
        <w:rPr>
          <w:rFonts w:hint="eastAsia" w:cs="Times New Roman"/>
          <w:b/>
          <w:bCs/>
          <w:color w:val="auto"/>
          <w:lang w:val="en-US" w:eastAsia="zh-CN"/>
        </w:rPr>
        <w:t>3.4-2</w:t>
      </w:r>
      <w:r>
        <w:rPr>
          <w:rFonts w:hint="default" w:ascii="Times New Roman" w:hAnsi="Times New Roman" w:eastAsia="宋体" w:cs="Times New Roman"/>
          <w:b/>
          <w:bCs/>
          <w:color w:val="auto"/>
          <w:lang w:val="en-US" w:eastAsia="zh-CN"/>
        </w:rPr>
        <w:t xml:space="preserve"> 生态围隔</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r>
        <w:rPr>
          <w:rFonts w:hint="eastAsia" w:cs="Times New Roman"/>
          <w:color w:val="auto"/>
          <w:lang w:val="en-US" w:eastAsia="zh-CN"/>
        </w:rPr>
        <w:t>2</w:t>
      </w:r>
      <w:r>
        <w:rPr>
          <w:rFonts w:hint="default" w:ascii="Times New Roman" w:hAnsi="Times New Roman" w:eastAsia="宋体" w:cs="Times New Roman"/>
          <w:color w:val="auto"/>
          <w:lang w:val="en-US" w:eastAsia="zh-CN"/>
        </w:rPr>
        <w:t>）拦鱼网</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主要目的是防止鱼类通过，阻止外围杂鱼进入，拦鱼网设在最外围，共设置1</w:t>
      </w:r>
      <w:r>
        <w:rPr>
          <w:rFonts w:hint="eastAsia" w:cs="Times New Roman"/>
          <w:color w:val="auto"/>
          <w:lang w:val="en-US" w:eastAsia="zh-CN"/>
        </w:rPr>
        <w:t>818</w:t>
      </w:r>
      <w:r>
        <w:rPr>
          <w:rFonts w:hint="default" w:ascii="Times New Roman" w:hAnsi="Times New Roman" w:eastAsia="宋体" w:cs="Times New Roman"/>
          <w:color w:val="auto"/>
          <w:lang w:val="en-US" w:eastAsia="zh-CN"/>
        </w:rPr>
        <w:t>m。</w:t>
      </w:r>
    </w:p>
    <w:p>
      <w:pPr>
        <w:spacing w:line="480" w:lineRule="exact"/>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rPr>
        <w:drawing>
          <wp:anchor distT="0" distB="0" distL="114300" distR="114300" simplePos="0" relativeHeight="251718656" behindDoc="0" locked="0" layoutInCell="1" allowOverlap="1">
            <wp:simplePos x="0" y="0"/>
            <wp:positionH relativeFrom="column">
              <wp:posOffset>272415</wp:posOffset>
            </wp:positionH>
            <wp:positionV relativeFrom="paragraph">
              <wp:posOffset>46990</wp:posOffset>
            </wp:positionV>
            <wp:extent cx="5322570" cy="3011170"/>
            <wp:effectExtent l="0" t="0" r="11430" b="17780"/>
            <wp:wrapNone/>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21"/>
                    <a:stretch>
                      <a:fillRect/>
                    </a:stretch>
                  </pic:blipFill>
                  <pic:spPr>
                    <a:xfrm>
                      <a:off x="0" y="0"/>
                      <a:ext cx="5322570" cy="3011170"/>
                    </a:xfrm>
                    <a:prstGeom prst="rect">
                      <a:avLst/>
                    </a:prstGeom>
                    <a:noFill/>
                    <a:ln>
                      <a:noFill/>
                    </a:ln>
                  </pic:spPr>
                </pic:pic>
              </a:graphicData>
            </a:graphic>
          </wp:anchor>
        </w:drawing>
      </w: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pStyle w:val="2"/>
        <w:rPr>
          <w:rFonts w:hint="eastAsia" w:cs="Times New Roman"/>
          <w:color w:val="auto"/>
          <w:lang w:val="en-US" w:eastAsia="zh-CN"/>
        </w:rPr>
      </w:pPr>
    </w:p>
    <w:p>
      <w:pPr>
        <w:pStyle w:val="2"/>
        <w:rPr>
          <w:rFonts w:hint="eastAsia" w:cs="Times New Roman"/>
          <w:color w:val="auto"/>
          <w:lang w:val="en-US" w:eastAsia="zh-CN"/>
        </w:rPr>
      </w:pPr>
    </w:p>
    <w:p>
      <w:pPr>
        <w:pStyle w:val="2"/>
        <w:rPr>
          <w:rFonts w:hint="eastAsia" w:cs="Times New Roman"/>
          <w:color w:val="auto"/>
          <w:lang w:val="en-US" w:eastAsia="zh-CN"/>
        </w:rPr>
      </w:pPr>
    </w:p>
    <w:p>
      <w:pPr>
        <w:pStyle w:val="2"/>
        <w:rPr>
          <w:rFonts w:hint="eastAsia" w:cs="Times New Roman"/>
          <w:color w:val="auto"/>
          <w:lang w:val="en-US" w:eastAsia="zh-CN"/>
        </w:rPr>
      </w:pPr>
    </w:p>
    <w:p>
      <w:pPr>
        <w:pStyle w:val="2"/>
        <w:rPr>
          <w:rFonts w:hint="default" w:cs="Times New Roman"/>
          <w:color w:val="auto"/>
          <w:lang w:val="en-US" w:eastAsia="zh-CN"/>
        </w:rPr>
      </w:pPr>
    </w:p>
    <w:p>
      <w:pPr>
        <w:spacing w:line="480" w:lineRule="exact"/>
        <w:ind w:firstLine="482" w:firstLineChars="20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图</w:t>
      </w:r>
      <w:r>
        <w:rPr>
          <w:rFonts w:hint="eastAsia" w:cs="Times New Roman"/>
          <w:b/>
          <w:bCs/>
          <w:color w:val="auto"/>
          <w:lang w:val="en-US" w:eastAsia="zh-CN"/>
        </w:rPr>
        <w:t>3.4</w:t>
      </w:r>
      <w:r>
        <w:rPr>
          <w:rFonts w:hint="default" w:ascii="Times New Roman" w:hAnsi="Times New Roman" w:eastAsia="宋体" w:cs="Times New Roman"/>
          <w:b/>
          <w:bCs/>
          <w:color w:val="auto"/>
          <w:lang w:val="en-US" w:eastAsia="zh-CN"/>
        </w:rPr>
        <w:t>-</w:t>
      </w:r>
      <w:r>
        <w:rPr>
          <w:rFonts w:hint="eastAsia" w:cs="Times New Roman"/>
          <w:b/>
          <w:bCs/>
          <w:color w:val="auto"/>
          <w:lang w:val="en-US" w:eastAsia="zh-CN"/>
        </w:rPr>
        <w:t>3</w:t>
      </w:r>
      <w:r>
        <w:rPr>
          <w:rFonts w:hint="default" w:ascii="Times New Roman" w:hAnsi="Times New Roman" w:eastAsia="宋体" w:cs="Times New Roman"/>
          <w:b/>
          <w:bCs/>
          <w:color w:val="auto"/>
          <w:lang w:val="en-US" w:eastAsia="zh-CN"/>
        </w:rPr>
        <w:t xml:space="preserve"> 拦鱼网</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（3）生态拦网系统</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生态拦网由生物基网组成，将实施区域分成约5000m</w:t>
      </w:r>
      <w:r>
        <w:rPr>
          <w:rFonts w:hint="default" w:ascii="Times New Roman" w:hAnsi="Times New Roman" w:eastAsia="宋体" w:cs="Times New Roman"/>
          <w:color w:val="auto"/>
          <w:vertAlign w:val="superscript"/>
          <w:lang w:val="en-US" w:eastAsia="zh-CN"/>
        </w:rPr>
        <w:t xml:space="preserve">2 </w:t>
      </w:r>
      <w:r>
        <w:rPr>
          <w:rFonts w:hint="default" w:ascii="Times New Roman" w:hAnsi="Times New Roman" w:eastAsia="宋体" w:cs="Times New Roman"/>
          <w:color w:val="auto"/>
          <w:lang w:val="en-US" w:eastAsia="zh-CN"/>
        </w:rPr>
        <w:t>单元，主要作用是进一步拦截内部风浪，提升水体透明度，生态拦网设置2</w:t>
      </w:r>
      <w:r>
        <w:rPr>
          <w:rFonts w:hint="eastAsia" w:cs="Times New Roman"/>
          <w:color w:val="auto"/>
          <w:lang w:val="en-US" w:eastAsia="zh-CN"/>
        </w:rPr>
        <w:t>251</w:t>
      </w:r>
      <w:r>
        <w:rPr>
          <w:rFonts w:hint="default" w:ascii="Times New Roman" w:hAnsi="Times New Roman" w:eastAsia="宋体" w:cs="Times New Roman"/>
          <w:color w:val="auto"/>
          <w:lang w:val="en-US" w:eastAsia="zh-CN"/>
        </w:rPr>
        <w:t>m。</w:t>
      </w: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rPr>
        <w:drawing>
          <wp:anchor distT="0" distB="0" distL="114300" distR="114300" simplePos="0" relativeHeight="251719680" behindDoc="0" locked="0" layoutInCell="1" allowOverlap="1">
            <wp:simplePos x="0" y="0"/>
            <wp:positionH relativeFrom="column">
              <wp:posOffset>74930</wp:posOffset>
            </wp:positionH>
            <wp:positionV relativeFrom="paragraph">
              <wp:posOffset>-53340</wp:posOffset>
            </wp:positionV>
            <wp:extent cx="5727700" cy="2448560"/>
            <wp:effectExtent l="0" t="0" r="6350" b="8890"/>
            <wp:wrapNone/>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22"/>
                    <a:stretch>
                      <a:fillRect/>
                    </a:stretch>
                  </pic:blipFill>
                  <pic:spPr>
                    <a:xfrm>
                      <a:off x="0" y="0"/>
                      <a:ext cx="5727700" cy="2448560"/>
                    </a:xfrm>
                    <a:prstGeom prst="rect">
                      <a:avLst/>
                    </a:prstGeom>
                    <a:noFill/>
                    <a:ln>
                      <a:noFill/>
                    </a:ln>
                  </pic:spPr>
                </pic:pic>
              </a:graphicData>
            </a:graphic>
          </wp:anchor>
        </w:drawing>
      </w: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jc w:val="center"/>
        <w:rPr>
          <w:rFonts w:hint="default" w:ascii="Times New Roman" w:hAnsi="Times New Roman" w:eastAsia="宋体" w:cs="Times New Roman"/>
          <w:b/>
          <w:bCs/>
          <w:color w:val="auto"/>
          <w:lang w:val="en-US" w:eastAsia="zh-CN"/>
        </w:rPr>
      </w:pPr>
    </w:p>
    <w:p>
      <w:pPr>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图</w:t>
      </w:r>
      <w:r>
        <w:rPr>
          <w:rFonts w:hint="eastAsia" w:cs="Times New Roman"/>
          <w:b/>
          <w:bCs/>
          <w:color w:val="auto"/>
          <w:lang w:val="en-US" w:eastAsia="zh-CN"/>
        </w:rPr>
        <w:t>3.4-4</w:t>
      </w:r>
      <w:r>
        <w:rPr>
          <w:rFonts w:hint="default" w:ascii="Times New Roman" w:hAnsi="Times New Roman" w:eastAsia="宋体" w:cs="Times New Roman"/>
          <w:b/>
          <w:bCs/>
          <w:color w:val="auto"/>
          <w:lang w:val="en-US" w:eastAsia="zh-CN"/>
        </w:rPr>
        <w:t xml:space="preserve"> 生态拦网</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（4）风浪削减、蓝藻拦截系统布设</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1）漂浮消浪拦藻系统采用橡胶挡藻围隔成品，主要由橡胶附体、围隔裙体及链条组成；</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2）漂浮消浪拦藻系统最大抗波高1m，栏体抗拉强度80KN；</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3）漂浮消浪拦藻系统应根据本工程使用年限提出抗老化指标，固体橡胶浮子不发生塌陷并保持美观；</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4）漂浮消浪拦藻系统下部石笼配重；</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5）漂浮消浪拦藻系统系统两侧固桩采样Φ100mm（壁厚5mm）长1.5m 的无缝钢管，锚固桩入土深度根据现场地质条件确定；</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6）太湖平均波高为50-60cm 时，围隔外藻类不会在风浪的作用下，超过围隔浮体进入所围区域；</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7）沉桩可采用锤击或静压等方式，当采用锤击法时，应根据桩径、壁厚、打入深度、工程地质条件及桩密集程度等合理选择桩锤；当采用静压法时，可根据具体工程地质条件及桩基设计要求合理选择配重，桩压设备应有加载反力读数系统；</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8）沉桩时桩身应垂直，垂直度偏差不超过0.5%，锤击法成桩时应选择适宜的桩帽和衬垫，尽量避免桩头的变形；</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9）拦鱼网网孔＜1cm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，布设时高出水面50-70cm，底部配石笼配重到水底；</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10）生态围隔采用耐冲击，抗氧化的材质。</w:t>
      </w:r>
    </w:p>
    <w:p>
      <w:pPr>
        <w:pStyle w:val="2"/>
        <w:rPr>
          <w:rFonts w:hint="default" w:ascii="Times New Roman" w:hAnsi="Times New Roman" w:eastAsia="宋体" w:cs="Times New Roman"/>
          <w:color w:val="auto"/>
          <w:lang w:val="en-US" w:eastAsia="zh-CN"/>
        </w:rPr>
      </w:pPr>
      <w:r>
        <w:rPr>
          <w:rFonts w:hint="default" w:ascii="Times New Roman" w:hAnsi="Times New Roman" w:eastAsia="宋体" w:cs="Times New Roman"/>
        </w:rPr>
        <w:drawing>
          <wp:anchor distT="0" distB="0" distL="114300" distR="114300" simplePos="0" relativeHeight="251672576" behindDoc="0" locked="0" layoutInCell="1" allowOverlap="1">
            <wp:simplePos x="0" y="0"/>
            <wp:positionH relativeFrom="column">
              <wp:posOffset>713105</wp:posOffset>
            </wp:positionH>
            <wp:positionV relativeFrom="paragraph">
              <wp:posOffset>53975</wp:posOffset>
            </wp:positionV>
            <wp:extent cx="4740275" cy="2679065"/>
            <wp:effectExtent l="0" t="0" r="3175" b="6985"/>
            <wp:wrapNone/>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pic:cNvPicPr>
                      <a:picLocks noChangeAspect="1"/>
                    </pic:cNvPicPr>
                  </pic:nvPicPr>
                  <pic:blipFill>
                    <a:blip r:embed="rId23"/>
                    <a:stretch>
                      <a:fillRect/>
                    </a:stretch>
                  </pic:blipFill>
                  <pic:spPr>
                    <a:xfrm>
                      <a:off x="0" y="0"/>
                      <a:ext cx="4740275" cy="2679065"/>
                    </a:xfrm>
                    <a:prstGeom prst="rect">
                      <a:avLst/>
                    </a:prstGeom>
                    <a:noFill/>
                    <a:ln>
                      <a:noFill/>
                    </a:ln>
                  </pic:spPr>
                </pic:pic>
              </a:graphicData>
            </a:graphic>
          </wp:anchor>
        </w:drawing>
      </w:r>
    </w:p>
    <w:p>
      <w:pPr>
        <w:pStyle w:val="2"/>
        <w:rPr>
          <w:rFonts w:hint="default" w:ascii="Times New Roman" w:hAnsi="Times New Roman" w:eastAsia="宋体" w:cs="Times New Roman"/>
          <w:color w:val="auto"/>
          <w:lang w:val="en-US" w:eastAsia="zh-CN"/>
        </w:rPr>
      </w:pPr>
    </w:p>
    <w:p>
      <w:pPr>
        <w:pStyle w:val="2"/>
        <w:rPr>
          <w:rFonts w:hint="default" w:ascii="Times New Roman" w:hAnsi="Times New Roman" w:eastAsia="宋体" w:cs="Times New Roman"/>
          <w:color w:val="auto"/>
          <w:lang w:val="en-US" w:eastAsia="zh-CN"/>
        </w:rPr>
      </w:pPr>
    </w:p>
    <w:p>
      <w:pPr>
        <w:pStyle w:val="2"/>
        <w:rPr>
          <w:rFonts w:hint="default" w:ascii="Times New Roman" w:hAnsi="Times New Roman" w:eastAsia="宋体" w:cs="Times New Roman"/>
          <w:color w:val="auto"/>
          <w:lang w:val="en-US" w:eastAsia="zh-CN"/>
        </w:rPr>
      </w:pPr>
    </w:p>
    <w:p>
      <w:pPr>
        <w:pStyle w:val="2"/>
        <w:rPr>
          <w:rFonts w:hint="default" w:ascii="Times New Roman" w:hAnsi="Times New Roman" w:eastAsia="宋体" w:cs="Times New Roman"/>
          <w:color w:val="auto"/>
          <w:lang w:val="en-US" w:eastAsia="zh-CN"/>
        </w:rPr>
      </w:pPr>
    </w:p>
    <w:p>
      <w:pPr>
        <w:pStyle w:val="2"/>
        <w:rPr>
          <w:rFonts w:hint="default" w:ascii="Times New Roman" w:hAnsi="Times New Roman" w:eastAsia="宋体" w:cs="Times New Roman"/>
          <w:color w:val="auto"/>
          <w:lang w:val="en-US" w:eastAsia="zh-CN"/>
        </w:rPr>
      </w:pPr>
    </w:p>
    <w:p>
      <w:pPr>
        <w:pStyle w:val="2"/>
        <w:rPr>
          <w:rFonts w:hint="default" w:ascii="Times New Roman" w:hAnsi="Times New Roman" w:eastAsia="宋体" w:cs="Times New Roman"/>
          <w:color w:val="auto"/>
          <w:lang w:val="en-US" w:eastAsia="zh-CN"/>
        </w:rPr>
      </w:pPr>
    </w:p>
    <w:p>
      <w:pPr>
        <w:pStyle w:val="2"/>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bookmarkEnd w:id="212"/>
    <w:bookmarkEnd w:id="213"/>
    <w:bookmarkEnd w:id="214"/>
    <w:bookmarkEnd w:id="215"/>
    <w:bookmarkEnd w:id="216"/>
    <w:p>
      <w:pPr>
        <w:rPr>
          <w:rFonts w:hint="default" w:ascii="Times New Roman" w:hAnsi="Times New Roman" w:eastAsia="宋体" w:cs="Times New Roman"/>
          <w:color w:val="auto"/>
          <w:lang w:val="en-US" w:eastAsia="zh-CN"/>
        </w:rPr>
      </w:pPr>
      <w:bookmarkStart w:id="224" w:name="_Toc310244021"/>
      <w:bookmarkStart w:id="225" w:name="_Toc312155976"/>
      <w:r>
        <w:rPr>
          <w:rFonts w:hint="default" w:ascii="Times New Roman" w:hAnsi="Times New Roman" w:eastAsia="宋体" w:cs="Times New Roman"/>
          <w:color w:val="auto"/>
          <w:lang w:val="en-US" w:eastAsia="zh-CN"/>
        </w:rPr>
        <w:t xml:space="preserve"> </w:t>
      </w:r>
    </w:p>
    <w:p>
      <w:pPr>
        <w:rPr>
          <w:rFonts w:hint="default" w:ascii="Times New Roman" w:hAnsi="Times New Roman" w:eastAsia="宋体" w:cs="Times New Roman"/>
          <w:color w:val="auto"/>
          <w:lang w:val="en-US" w:eastAsia="zh-CN"/>
        </w:rPr>
      </w:pPr>
    </w:p>
    <w:p>
      <w:pPr>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图</w:t>
      </w:r>
      <w:r>
        <w:rPr>
          <w:rFonts w:hint="eastAsia" w:cs="Times New Roman"/>
          <w:b/>
          <w:bCs/>
          <w:color w:val="auto"/>
          <w:lang w:val="en-US" w:eastAsia="zh-CN"/>
        </w:rPr>
        <w:t>3.4-5</w:t>
      </w:r>
      <w:r>
        <w:rPr>
          <w:rFonts w:hint="default" w:ascii="Times New Roman" w:hAnsi="Times New Roman" w:eastAsia="宋体" w:cs="Times New Roman"/>
          <w:b/>
          <w:bCs/>
          <w:color w:val="auto"/>
          <w:lang w:val="en-US" w:eastAsia="zh-CN"/>
        </w:rPr>
        <w:t xml:space="preserve"> 风浪削减、蓝藻拦截示意图</w:t>
      </w:r>
    </w:p>
    <w:p>
      <w:pPr>
        <w:numPr>
          <w:ilvl w:val="0"/>
          <w:numId w:val="0"/>
        </w:numPr>
        <w:spacing w:line="480" w:lineRule="exact"/>
        <w:ind w:left="480" w:leftChars="0"/>
        <w:jc w:val="both"/>
        <w:rPr>
          <w:rFonts w:hint="default" w:ascii="Times New Roman" w:hAnsi="Times New Roman" w:eastAsia="宋体" w:cs="Times New Roman"/>
          <w:b/>
          <w:bCs/>
          <w:color w:val="auto"/>
          <w:lang w:val="en-US" w:eastAsia="zh-CN"/>
        </w:rPr>
      </w:pPr>
      <w:r>
        <w:rPr>
          <w:rFonts w:hint="eastAsia" w:cs="Times New Roman"/>
          <w:b/>
          <w:bCs/>
          <w:color w:val="auto"/>
          <w:lang w:val="en-US" w:eastAsia="zh-CN"/>
        </w:rPr>
        <w:t>2</w:t>
      </w:r>
      <w:r>
        <w:rPr>
          <w:rFonts w:hint="default" w:ascii="Times New Roman" w:hAnsi="Times New Roman" w:eastAsia="宋体" w:cs="Times New Roman"/>
          <w:b/>
          <w:bCs/>
          <w:color w:val="auto"/>
          <w:lang w:val="en-US" w:eastAsia="zh-CN"/>
        </w:rPr>
        <w:t>、水生植物群落构建</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经调查，渔洋山水源地水陆交错带有少许芦苇，过渡性较差；部分区域近岸8-20m 范围内分布沉水植物，且种类较少，仅有菹草、穗花狐尾藻、苦草及金鱼藻。本项目通过沉水植物、浮叶植物及挺水植物群落的种植，构建立体清水型生态系统。</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本工程初步设计以自然生态系统为蓝图，构建</w:t>
      </w:r>
      <w:r>
        <w:rPr>
          <w:rFonts w:hint="eastAsia" w:cs="Times New Roman"/>
          <w:color w:val="auto"/>
          <w:lang w:val="en-US" w:eastAsia="zh-CN"/>
        </w:rPr>
        <w:t>“</w:t>
      </w:r>
      <w:r>
        <w:rPr>
          <w:rFonts w:hint="default" w:ascii="Times New Roman" w:hAnsi="Times New Roman" w:eastAsia="宋体" w:cs="Times New Roman"/>
          <w:color w:val="auto"/>
          <w:lang w:val="en-US" w:eastAsia="zh-CN"/>
        </w:rPr>
        <w:t>水下森林</w:t>
      </w:r>
      <w:r>
        <w:rPr>
          <w:rFonts w:hint="eastAsia" w:cs="Times New Roman"/>
          <w:color w:val="auto"/>
          <w:lang w:val="en-US" w:eastAsia="zh-CN"/>
        </w:rPr>
        <w:t>”</w:t>
      </w:r>
      <w:r>
        <w:rPr>
          <w:rFonts w:hint="default" w:ascii="Times New Roman" w:hAnsi="Times New Roman" w:eastAsia="宋体" w:cs="Times New Roman"/>
          <w:color w:val="auto"/>
          <w:lang w:val="en-US" w:eastAsia="zh-CN"/>
        </w:rPr>
        <w:t>为主体的水下世界，并通过选择强效净化型和景观型的水草，使水下植物保持四季常绿、高低错落，同时还能长效保持较好的水质。</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 水生植物群落的存在，为水生多样性，优劣种群的变化提供了条件，为微型动物提供了附着基质和栖息场所，其大量捕食浮游藻类，控制藻类数量；微生物数量显著高于无植物系统，植物根系分泌物促进其他嗜藻，氮细菌的生长，促进氮，磷的释放和转化；水生植物为水体中微生物降解污染物质提供所需的氧，并向空气中释放大量氧气，改善周边环境质量。</w:t>
      </w:r>
    </w:p>
    <w:p>
      <w:pPr>
        <w:spacing w:line="480" w:lineRule="exact"/>
        <w:ind w:firstLine="482" w:firstLineChars="200"/>
        <w:jc w:val="both"/>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（1）水生植物类型</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本项目沉水植物主要以苦草、微齿眼子菜、黑藻、伊乐藻、马来眼子菜、穗花狐尾</w:t>
      </w:r>
    </w:p>
    <w:p>
      <w:pPr>
        <w:spacing w:line="480" w:lineRule="exact"/>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藻等为主的优势种群落，浮叶植物选用睡莲，挺水植物以芦苇、香蒲、再力花、美人蕉为主，使之生物量能够平衡达到与藻类进行竞争与共生的关系，最终恢复草型生态系统，提高水体的自净能力和景观效果。</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1）挺水植物</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挺水植物可吸收并净化污水中的营养盐成分从而控制水体的富营养化。挺水植物本身就靠吸收水中的富营养物为生，尤其是聚集生长在一起的挺水植物，使得水域中的微生物有了寄生的良好环境，而这些微生物又可以吃掉水域中的富营养成分，它们存活率的提高，有利于加速挺水植物对于营养盐成分的吸收和净化，从而可以降低水域中的富营养元素。</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 挺水植物对同水域的藻类的生长起到抑制的作用。同一水域中的挺水植物和藻类的生存是此消彼长互相影响和制约。但是，因为挺水植物个体大、存活高，吸收养分能力强，生长、繁衍也较有保障，藻类缺乏生长所需要的物质就会大量死亡。随着挺水植物在生存中竞争过了藻类从而得到大量生长，这又使得小型食藻动物有了更多的寄生场，藻类的生长及生存形态受到了极大的影响。</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本工程挺水植物以芦苇、香蒲、再力花、美人蕉为主。</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①芦苇</w:t>
      </w:r>
    </w:p>
    <w:p>
      <w:pPr>
        <w:spacing w:line="480" w:lineRule="exact"/>
        <w:ind w:firstLine="480" w:firstLineChars="200"/>
        <w:jc w:val="both"/>
        <w:rPr>
          <w:rFonts w:hint="eastAsia" w:cs="Times New Roman"/>
          <w:color w:val="auto"/>
          <w:lang w:val="en-US" w:eastAsia="zh-CN"/>
        </w:rPr>
      </w:pPr>
      <w:r>
        <w:rPr>
          <w:rFonts w:hint="default" w:ascii="Times New Roman" w:hAnsi="Times New Roman" w:eastAsia="宋体" w:cs="Times New Roman"/>
          <w:color w:val="auto"/>
          <w:lang w:val="en-US" w:eastAsia="zh-CN"/>
        </w:rPr>
        <w:t>多生于低水生植物或浅水中。种在公园的湖边，开花季节特别美观。为保土固堤植物。以根状茎繁殖为主，种植、管理较为简便。在长江中下游地区，3月中下旬地下茎出芽，并于11月结果。</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②香蒲</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喜温暖、光照充足的环境。香蒲叶绿穗奇常用于点缀园林水池、湖畔</w:t>
      </w:r>
      <w:r>
        <w:rPr>
          <w:rFonts w:hint="eastAsia" w:cs="Times New Roman"/>
          <w:color w:val="auto"/>
          <w:lang w:val="en-US" w:eastAsia="zh-CN"/>
        </w:rPr>
        <w:t>，</w:t>
      </w:r>
      <w:r>
        <w:rPr>
          <w:rFonts w:hint="default" w:ascii="Times New Roman" w:hAnsi="Times New Roman" w:eastAsia="宋体" w:cs="Times New Roman"/>
          <w:color w:val="auto"/>
          <w:lang w:val="en-US" w:eastAsia="zh-CN"/>
        </w:rPr>
        <w:t>构筑水景。宜做花境、水景背景材料。花果期5-8月。</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生于池塘、河滩、渠旁、潮湿多水处,常成丛、成片生长。对土壤要求不严</w:t>
      </w:r>
      <w:r>
        <w:rPr>
          <w:rFonts w:hint="eastAsia" w:cs="Times New Roman"/>
          <w:color w:val="auto"/>
          <w:lang w:val="en-US" w:eastAsia="zh-CN"/>
        </w:rPr>
        <w:t>，</w:t>
      </w:r>
      <w:r>
        <w:rPr>
          <w:rFonts w:hint="default" w:ascii="Times New Roman" w:hAnsi="Times New Roman" w:eastAsia="宋体" w:cs="Times New Roman"/>
          <w:color w:val="auto"/>
          <w:lang w:val="en-US" w:eastAsia="zh-CN"/>
        </w:rPr>
        <w:t>以含丰富有机质的塘泥最好</w:t>
      </w:r>
      <w:r>
        <w:rPr>
          <w:rFonts w:hint="eastAsia" w:cs="Times New Roman"/>
          <w:color w:val="auto"/>
          <w:lang w:val="en-US" w:eastAsia="zh-CN"/>
        </w:rPr>
        <w:t>，</w:t>
      </w:r>
      <w:r>
        <w:rPr>
          <w:rFonts w:hint="default" w:ascii="Times New Roman" w:hAnsi="Times New Roman" w:eastAsia="宋体" w:cs="Times New Roman"/>
          <w:color w:val="auto"/>
          <w:lang w:val="en-US" w:eastAsia="zh-CN"/>
        </w:rPr>
        <w:t>较耐寒。喜温暖湿润气候及潮湿环境。</w:t>
      </w:r>
    </w:p>
    <w:p>
      <w:pPr>
        <w:spacing w:line="480" w:lineRule="exact"/>
        <w:ind w:firstLine="480" w:firstLineChars="200"/>
        <w:jc w:val="both"/>
        <w:rPr>
          <w:rFonts w:hint="default" w:cs="Times New Roman"/>
          <w:color w:val="auto"/>
          <w:lang w:val="en-US" w:eastAsia="zh-CN"/>
        </w:rPr>
      </w:pPr>
      <w:r>
        <w:rPr>
          <w:rFonts w:hint="eastAsia" w:cs="Times New Roman"/>
          <w:color w:val="auto"/>
          <w:lang w:val="en-US" w:eastAsia="zh-CN"/>
        </w:rPr>
        <w:t>③再力花</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再力花植株高大美观，硕大的绿色叶片形似芭蕉叶，叶色翠绿可爱，花序高出叶面，亭亭玉立，蓝紫色的花朵素雅别致，是水景绿化的上品花卉，有“水上天堂鸟”的美誉。</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除供观赏外，再力花还有净化水质的作用，是重要的水景花卉，常成片种植于水池或湿地，形成独特的水体景观。</w:t>
      </w:r>
    </w:p>
    <w:p>
      <w:pPr>
        <w:spacing w:line="480" w:lineRule="exact"/>
        <w:ind w:firstLine="480" w:firstLineChars="200"/>
        <w:jc w:val="both"/>
        <w:rPr>
          <w:rFonts w:hint="default" w:cs="Times New Roman"/>
          <w:color w:val="auto"/>
          <w:lang w:val="en-US" w:eastAsia="zh-CN"/>
        </w:rPr>
      </w:pPr>
      <w:r>
        <w:rPr>
          <w:rFonts w:hint="eastAsia" w:cs="Times New Roman"/>
          <w:color w:val="auto"/>
          <w:lang w:val="en-US" w:eastAsia="zh-CN"/>
        </w:rPr>
        <w:t>④美人蕉</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水生美人蕉生性强健，适应性强，喜光，怕强风，适宜于潮湿及浅水处生长，肥沃的土壤或沙质土壤都可生长良好。生长适宜温度为15~28℃，低于10℃不利于生长。在原产地无休眠期，周年生长开花，在北方寒冷地区冬季休眠。根茎需温室保护越冬。</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水生美人蕉叶茂花繁，花色艳丽而丰富，花期长，适合大片的湿地自然栽植，它还是净化空气的良好材料，对硫、氯、氟、汞等有害气体有一定的抗性和吸收能力。</w:t>
      </w:r>
    </w:p>
    <w:tbl>
      <w:tblPr>
        <w:tblStyle w:val="5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20"/>
        <w:gridCol w:w="46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20" w:type="dxa"/>
            <w:tcBorders>
              <w:tl2br w:val="nil"/>
              <w:tr2bl w:val="nil"/>
            </w:tcBorders>
          </w:tcPr>
          <w:p>
            <w:pPr>
              <w:widowControl w:val="0"/>
              <w:spacing w:line="480" w:lineRule="exact"/>
              <w:jc w:val="both"/>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rPr>
              <w:drawing>
                <wp:anchor distT="0" distB="0" distL="114300" distR="114300" simplePos="0" relativeHeight="251673600" behindDoc="0" locked="0" layoutInCell="1" allowOverlap="1">
                  <wp:simplePos x="0" y="0"/>
                  <wp:positionH relativeFrom="column">
                    <wp:posOffset>428625</wp:posOffset>
                  </wp:positionH>
                  <wp:positionV relativeFrom="paragraph">
                    <wp:posOffset>80645</wp:posOffset>
                  </wp:positionV>
                  <wp:extent cx="2019300" cy="1504315"/>
                  <wp:effectExtent l="0" t="0" r="0" b="635"/>
                  <wp:wrapNone/>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pic:cNvPicPr>
                            <a:picLocks noChangeAspect="1"/>
                          </pic:cNvPicPr>
                        </pic:nvPicPr>
                        <pic:blipFill>
                          <a:blip r:embed="rId24"/>
                          <a:stretch>
                            <a:fillRect/>
                          </a:stretch>
                        </pic:blipFill>
                        <pic:spPr>
                          <a:xfrm>
                            <a:off x="0" y="0"/>
                            <a:ext cx="2019300" cy="1504315"/>
                          </a:xfrm>
                          <a:prstGeom prst="rect">
                            <a:avLst/>
                          </a:prstGeom>
                          <a:noFill/>
                          <a:ln>
                            <a:noFill/>
                          </a:ln>
                        </pic:spPr>
                      </pic:pic>
                    </a:graphicData>
                  </a:graphic>
                </wp:anchor>
              </w:drawing>
            </w:r>
          </w:p>
          <w:p>
            <w:pPr>
              <w:widowControl w:val="0"/>
              <w:spacing w:line="480" w:lineRule="exact"/>
              <w:jc w:val="both"/>
              <w:rPr>
                <w:rFonts w:hint="default" w:ascii="Times New Roman" w:hAnsi="Times New Roman" w:eastAsia="宋体" w:cs="Times New Roman"/>
                <w:color w:val="auto"/>
                <w:vertAlign w:val="baseline"/>
                <w:lang w:val="en-US" w:eastAsia="zh-CN"/>
              </w:rPr>
            </w:pPr>
          </w:p>
          <w:p>
            <w:pPr>
              <w:widowControl w:val="0"/>
              <w:spacing w:line="480" w:lineRule="exact"/>
              <w:jc w:val="both"/>
              <w:rPr>
                <w:rFonts w:hint="default" w:ascii="Times New Roman" w:hAnsi="Times New Roman" w:eastAsia="宋体" w:cs="Times New Roman"/>
                <w:color w:val="auto"/>
                <w:vertAlign w:val="baseline"/>
                <w:lang w:val="en-US" w:eastAsia="zh-CN"/>
              </w:rPr>
            </w:pPr>
          </w:p>
          <w:p>
            <w:pPr>
              <w:widowControl w:val="0"/>
              <w:spacing w:line="480" w:lineRule="exact"/>
              <w:jc w:val="both"/>
              <w:rPr>
                <w:rFonts w:hint="default" w:ascii="Times New Roman" w:hAnsi="Times New Roman" w:eastAsia="宋体" w:cs="Times New Roman"/>
                <w:color w:val="auto"/>
                <w:vertAlign w:val="baseline"/>
                <w:lang w:val="en-US" w:eastAsia="zh-CN"/>
              </w:rPr>
            </w:pPr>
          </w:p>
          <w:p>
            <w:pPr>
              <w:widowControl w:val="0"/>
              <w:spacing w:line="480" w:lineRule="exact"/>
              <w:jc w:val="both"/>
              <w:rPr>
                <w:rFonts w:hint="default" w:ascii="Times New Roman" w:hAnsi="Times New Roman" w:eastAsia="宋体" w:cs="Times New Roman"/>
                <w:color w:val="auto"/>
                <w:vertAlign w:val="baseline"/>
                <w:lang w:val="en-US" w:eastAsia="zh-CN"/>
              </w:rPr>
            </w:pPr>
          </w:p>
          <w:p>
            <w:pPr>
              <w:widowControl w:val="0"/>
              <w:spacing w:line="480" w:lineRule="exact"/>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b/>
                <w:bCs/>
                <w:color w:val="auto"/>
                <w:vertAlign w:val="baseline"/>
                <w:lang w:val="en-US" w:eastAsia="zh-CN"/>
              </w:rPr>
              <w:t>芦苇</w:t>
            </w:r>
          </w:p>
        </w:tc>
        <w:tc>
          <w:tcPr>
            <w:tcW w:w="4621" w:type="dxa"/>
            <w:tcBorders>
              <w:tl2br w:val="nil"/>
              <w:tr2bl w:val="nil"/>
            </w:tcBorders>
          </w:tcPr>
          <w:p>
            <w:pPr>
              <w:widowControl w:val="0"/>
              <w:spacing w:line="480" w:lineRule="exact"/>
              <w:jc w:val="both"/>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rPr>
              <w:drawing>
                <wp:anchor distT="0" distB="0" distL="114300" distR="114300" simplePos="0" relativeHeight="251674624" behindDoc="0" locked="0" layoutInCell="1" allowOverlap="1">
                  <wp:simplePos x="0" y="0"/>
                  <wp:positionH relativeFrom="column">
                    <wp:posOffset>426720</wp:posOffset>
                  </wp:positionH>
                  <wp:positionV relativeFrom="paragraph">
                    <wp:posOffset>46990</wp:posOffset>
                  </wp:positionV>
                  <wp:extent cx="1962785" cy="1567815"/>
                  <wp:effectExtent l="0" t="0" r="18415" b="13335"/>
                  <wp:wrapNone/>
                  <wp:docPr id="4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3"/>
                          <pic:cNvPicPr>
                            <a:picLocks noChangeAspect="1"/>
                          </pic:cNvPicPr>
                        </pic:nvPicPr>
                        <pic:blipFill>
                          <a:blip r:embed="rId25"/>
                          <a:stretch>
                            <a:fillRect/>
                          </a:stretch>
                        </pic:blipFill>
                        <pic:spPr>
                          <a:xfrm>
                            <a:off x="0" y="0"/>
                            <a:ext cx="1962785" cy="1567815"/>
                          </a:xfrm>
                          <a:prstGeom prst="rect">
                            <a:avLst/>
                          </a:prstGeom>
                          <a:noFill/>
                          <a:ln>
                            <a:noFill/>
                          </a:ln>
                        </pic:spPr>
                      </pic:pic>
                    </a:graphicData>
                  </a:graphic>
                </wp:anchor>
              </w:drawing>
            </w:r>
          </w:p>
          <w:p>
            <w:pPr>
              <w:widowControl w:val="0"/>
              <w:spacing w:line="480" w:lineRule="exact"/>
              <w:jc w:val="both"/>
              <w:rPr>
                <w:rFonts w:hint="default" w:ascii="Times New Roman" w:hAnsi="Times New Roman" w:eastAsia="宋体" w:cs="Times New Roman"/>
                <w:color w:val="auto"/>
                <w:vertAlign w:val="baseline"/>
                <w:lang w:val="en-US" w:eastAsia="zh-CN"/>
              </w:rPr>
            </w:pPr>
          </w:p>
          <w:p>
            <w:pPr>
              <w:widowControl w:val="0"/>
              <w:spacing w:line="480" w:lineRule="exact"/>
              <w:jc w:val="both"/>
              <w:rPr>
                <w:rFonts w:hint="default" w:ascii="Times New Roman" w:hAnsi="Times New Roman" w:eastAsia="宋体" w:cs="Times New Roman"/>
                <w:color w:val="auto"/>
                <w:vertAlign w:val="baseline"/>
                <w:lang w:val="en-US" w:eastAsia="zh-CN"/>
              </w:rPr>
            </w:pPr>
          </w:p>
          <w:p>
            <w:pPr>
              <w:widowControl w:val="0"/>
              <w:spacing w:line="480" w:lineRule="exact"/>
              <w:jc w:val="both"/>
              <w:rPr>
                <w:rFonts w:hint="default" w:ascii="Times New Roman" w:hAnsi="Times New Roman" w:eastAsia="宋体" w:cs="Times New Roman"/>
                <w:color w:val="auto"/>
                <w:vertAlign w:val="baseline"/>
                <w:lang w:val="en-US" w:eastAsia="zh-CN"/>
              </w:rPr>
            </w:pPr>
          </w:p>
          <w:p>
            <w:pPr>
              <w:widowControl w:val="0"/>
              <w:spacing w:line="480" w:lineRule="exact"/>
              <w:jc w:val="both"/>
              <w:rPr>
                <w:rFonts w:hint="default" w:ascii="Times New Roman" w:hAnsi="Times New Roman" w:eastAsia="宋体" w:cs="Times New Roman"/>
                <w:color w:val="auto"/>
                <w:vertAlign w:val="baseline"/>
                <w:lang w:val="en-US" w:eastAsia="zh-CN"/>
              </w:rPr>
            </w:pPr>
          </w:p>
          <w:p>
            <w:pPr>
              <w:widowControl w:val="0"/>
              <w:spacing w:line="480" w:lineRule="exact"/>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b/>
                <w:bCs/>
                <w:color w:val="auto"/>
                <w:vertAlign w:val="baseline"/>
                <w:lang w:val="en-US" w:eastAsia="zh-CN"/>
              </w:rPr>
              <w:t>香蒲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20" w:type="dxa"/>
            <w:tcBorders>
              <w:tl2br w:val="nil"/>
              <w:tr2bl w:val="nil"/>
            </w:tcBorders>
          </w:tcPr>
          <w:p>
            <w:pPr>
              <w:widowControl w:val="0"/>
              <w:spacing w:line="480" w:lineRule="exact"/>
              <w:jc w:val="both"/>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rPr>
              <w:drawing>
                <wp:anchor distT="0" distB="0" distL="114300" distR="114300" simplePos="0" relativeHeight="251675648" behindDoc="0" locked="0" layoutInCell="1" allowOverlap="1">
                  <wp:simplePos x="0" y="0"/>
                  <wp:positionH relativeFrom="column">
                    <wp:posOffset>378460</wp:posOffset>
                  </wp:positionH>
                  <wp:positionV relativeFrom="paragraph">
                    <wp:posOffset>45085</wp:posOffset>
                  </wp:positionV>
                  <wp:extent cx="1936750" cy="1567815"/>
                  <wp:effectExtent l="0" t="0" r="6350" b="13335"/>
                  <wp:wrapNone/>
                  <wp:docPr id="4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pic:cNvPicPr>
                            <a:picLocks noChangeAspect="1"/>
                          </pic:cNvPicPr>
                        </pic:nvPicPr>
                        <pic:blipFill>
                          <a:blip r:embed="rId26"/>
                          <a:stretch>
                            <a:fillRect/>
                          </a:stretch>
                        </pic:blipFill>
                        <pic:spPr>
                          <a:xfrm>
                            <a:off x="0" y="0"/>
                            <a:ext cx="1936750" cy="1567815"/>
                          </a:xfrm>
                          <a:prstGeom prst="rect">
                            <a:avLst/>
                          </a:prstGeom>
                          <a:noFill/>
                          <a:ln>
                            <a:noFill/>
                          </a:ln>
                        </pic:spPr>
                      </pic:pic>
                    </a:graphicData>
                  </a:graphic>
                </wp:anchor>
              </w:drawing>
            </w:r>
          </w:p>
          <w:p>
            <w:pPr>
              <w:widowControl w:val="0"/>
              <w:spacing w:line="480" w:lineRule="exact"/>
              <w:jc w:val="both"/>
              <w:rPr>
                <w:rFonts w:hint="default" w:ascii="Times New Roman" w:hAnsi="Times New Roman" w:eastAsia="宋体" w:cs="Times New Roman"/>
                <w:color w:val="auto"/>
                <w:vertAlign w:val="baseline"/>
                <w:lang w:val="en-US" w:eastAsia="zh-CN"/>
              </w:rPr>
            </w:pPr>
          </w:p>
          <w:p>
            <w:pPr>
              <w:widowControl w:val="0"/>
              <w:spacing w:line="480" w:lineRule="exact"/>
              <w:jc w:val="both"/>
              <w:rPr>
                <w:rFonts w:hint="default" w:ascii="Times New Roman" w:hAnsi="Times New Roman" w:eastAsia="宋体" w:cs="Times New Roman"/>
                <w:color w:val="auto"/>
                <w:vertAlign w:val="baseline"/>
                <w:lang w:val="en-US" w:eastAsia="zh-CN"/>
              </w:rPr>
            </w:pPr>
          </w:p>
          <w:p>
            <w:pPr>
              <w:widowControl w:val="0"/>
              <w:spacing w:line="480" w:lineRule="exact"/>
              <w:jc w:val="both"/>
              <w:rPr>
                <w:rFonts w:hint="default" w:ascii="Times New Roman" w:hAnsi="Times New Roman" w:eastAsia="宋体" w:cs="Times New Roman"/>
                <w:color w:val="auto"/>
                <w:vertAlign w:val="baseline"/>
                <w:lang w:val="en-US" w:eastAsia="zh-CN"/>
              </w:rPr>
            </w:pPr>
          </w:p>
          <w:p>
            <w:pPr>
              <w:widowControl w:val="0"/>
              <w:spacing w:line="480" w:lineRule="exact"/>
              <w:jc w:val="both"/>
              <w:rPr>
                <w:rFonts w:hint="default" w:ascii="Times New Roman" w:hAnsi="Times New Roman" w:eastAsia="宋体" w:cs="Times New Roman"/>
                <w:color w:val="auto"/>
                <w:vertAlign w:val="baseline"/>
                <w:lang w:val="en-US" w:eastAsia="zh-CN"/>
              </w:rPr>
            </w:pPr>
          </w:p>
          <w:p>
            <w:pPr>
              <w:widowControl w:val="0"/>
              <w:spacing w:line="480" w:lineRule="exact"/>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b/>
                <w:bCs/>
                <w:color w:val="auto"/>
                <w:vertAlign w:val="baseline"/>
                <w:lang w:val="en-US" w:eastAsia="zh-CN"/>
              </w:rPr>
              <w:t>再力花</w:t>
            </w:r>
          </w:p>
        </w:tc>
        <w:tc>
          <w:tcPr>
            <w:tcW w:w="4621" w:type="dxa"/>
            <w:tcBorders>
              <w:tl2br w:val="nil"/>
              <w:tr2bl w:val="nil"/>
            </w:tcBorders>
          </w:tcPr>
          <w:p>
            <w:pPr>
              <w:widowControl w:val="0"/>
              <w:spacing w:line="480" w:lineRule="exact"/>
              <w:jc w:val="both"/>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rPr>
              <w:drawing>
                <wp:anchor distT="0" distB="0" distL="114300" distR="114300" simplePos="0" relativeHeight="251676672" behindDoc="0" locked="0" layoutInCell="1" allowOverlap="1">
                  <wp:simplePos x="0" y="0"/>
                  <wp:positionH relativeFrom="column">
                    <wp:posOffset>434340</wp:posOffset>
                  </wp:positionH>
                  <wp:positionV relativeFrom="paragraph">
                    <wp:posOffset>42545</wp:posOffset>
                  </wp:positionV>
                  <wp:extent cx="1913890" cy="1539240"/>
                  <wp:effectExtent l="0" t="0" r="10160" b="3810"/>
                  <wp:wrapNone/>
                  <wp:docPr id="4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5"/>
                          <pic:cNvPicPr>
                            <a:picLocks noChangeAspect="1"/>
                          </pic:cNvPicPr>
                        </pic:nvPicPr>
                        <pic:blipFill>
                          <a:blip r:embed="rId27"/>
                          <a:stretch>
                            <a:fillRect/>
                          </a:stretch>
                        </pic:blipFill>
                        <pic:spPr>
                          <a:xfrm>
                            <a:off x="0" y="0"/>
                            <a:ext cx="1913890" cy="1539240"/>
                          </a:xfrm>
                          <a:prstGeom prst="rect">
                            <a:avLst/>
                          </a:prstGeom>
                          <a:noFill/>
                          <a:ln>
                            <a:noFill/>
                          </a:ln>
                        </pic:spPr>
                      </pic:pic>
                    </a:graphicData>
                  </a:graphic>
                </wp:anchor>
              </w:drawing>
            </w:r>
          </w:p>
          <w:p>
            <w:pPr>
              <w:widowControl w:val="0"/>
              <w:spacing w:line="480" w:lineRule="exact"/>
              <w:jc w:val="both"/>
              <w:rPr>
                <w:rFonts w:hint="default" w:ascii="Times New Roman" w:hAnsi="Times New Roman" w:eastAsia="宋体" w:cs="Times New Roman"/>
                <w:color w:val="auto"/>
                <w:vertAlign w:val="baseline"/>
                <w:lang w:val="en-US" w:eastAsia="zh-CN"/>
              </w:rPr>
            </w:pPr>
          </w:p>
          <w:p>
            <w:pPr>
              <w:widowControl w:val="0"/>
              <w:spacing w:line="480" w:lineRule="exact"/>
              <w:jc w:val="both"/>
              <w:rPr>
                <w:rFonts w:hint="default" w:ascii="Times New Roman" w:hAnsi="Times New Roman" w:eastAsia="宋体" w:cs="Times New Roman"/>
                <w:color w:val="auto"/>
                <w:vertAlign w:val="baseline"/>
                <w:lang w:val="en-US" w:eastAsia="zh-CN"/>
              </w:rPr>
            </w:pPr>
          </w:p>
          <w:p>
            <w:pPr>
              <w:widowControl w:val="0"/>
              <w:spacing w:line="480" w:lineRule="exact"/>
              <w:jc w:val="both"/>
              <w:rPr>
                <w:rFonts w:hint="default" w:ascii="Times New Roman" w:hAnsi="Times New Roman" w:eastAsia="宋体" w:cs="Times New Roman"/>
                <w:color w:val="auto"/>
                <w:vertAlign w:val="baseline"/>
                <w:lang w:val="en-US" w:eastAsia="zh-CN"/>
              </w:rPr>
            </w:pPr>
          </w:p>
          <w:p>
            <w:pPr>
              <w:widowControl w:val="0"/>
              <w:spacing w:line="480" w:lineRule="exact"/>
              <w:jc w:val="both"/>
              <w:rPr>
                <w:rFonts w:hint="default" w:ascii="Times New Roman" w:hAnsi="Times New Roman" w:eastAsia="宋体" w:cs="Times New Roman"/>
                <w:color w:val="auto"/>
                <w:vertAlign w:val="baseline"/>
                <w:lang w:val="en-US" w:eastAsia="zh-CN"/>
              </w:rPr>
            </w:pPr>
          </w:p>
          <w:p>
            <w:pPr>
              <w:widowControl w:val="0"/>
              <w:spacing w:line="480" w:lineRule="exact"/>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b/>
                <w:bCs/>
                <w:color w:val="auto"/>
                <w:vertAlign w:val="baseline"/>
                <w:lang w:val="en-US" w:eastAsia="zh-CN"/>
              </w:rPr>
              <w:t>美人蕉红</w:t>
            </w:r>
          </w:p>
        </w:tc>
      </w:tr>
    </w:tbl>
    <w:p>
      <w:pPr>
        <w:spacing w:line="480" w:lineRule="exact"/>
        <w:ind w:firstLine="482" w:firstLineChars="20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图</w:t>
      </w:r>
      <w:r>
        <w:rPr>
          <w:rFonts w:hint="eastAsia" w:cs="Times New Roman"/>
          <w:b/>
          <w:bCs/>
          <w:color w:val="auto"/>
          <w:lang w:val="en-US" w:eastAsia="zh-CN"/>
        </w:rPr>
        <w:t>3.4-6</w:t>
      </w:r>
      <w:r>
        <w:rPr>
          <w:rFonts w:hint="default" w:ascii="Times New Roman" w:hAnsi="Times New Roman" w:eastAsia="宋体" w:cs="Times New Roman"/>
          <w:b/>
          <w:bCs/>
          <w:color w:val="auto"/>
          <w:lang w:val="en-US" w:eastAsia="zh-CN"/>
        </w:rPr>
        <w:t xml:space="preserve"> 挺水植物</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2）浮叶植物</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本工程浮叶植物选用睡莲，（白、黄、红、粉4 种花色）。</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睡莲</w:t>
      </w:r>
      <w:r>
        <w:rPr>
          <w:rFonts w:hint="default" w:ascii="Times New Roman" w:hAnsi="Times New Roman" w:eastAsia="宋体" w:cs="Times New Roman"/>
          <w:color w:val="auto"/>
          <w:lang w:val="en-US" w:eastAsia="zh-CN"/>
        </w:rPr>
        <w:t>喜强光，通风良好，在岸边有树萌的池塘，虽能开花，但生长较弱。生于池沼、湖泊中，一些公园的水池中常有栽培。睡莲花叶俱美，花色丰富，开花期长。</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研究表明睡莲对净化水体中的总磷、总氮有明显的作用，对重金属有一定的吸附作用。睡莲浸出液对铜绿微囊藻存在一定的抑制作用，其克藻作用是源于植物连续分泌的物质，表现为明显的低促高抑现象。随着浸出液加入量的增加，对铜绿微囊藻的抑制率有逐渐增大的趋势；当浸出液的浓度达到25g/L的时候，睡莲浸出液对铜绿微囊藻的最大抑制率分别能达到91.2%和96.4%。</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植物分泌的物质中有很多物质容易被微生物所利用，只有当它们达到一定浓度时才会抑制微生物的生长，且不同物质对藻类生长的影响差异很大，儿不同的植物所分泌的克藻物质也是不同的，因此利用各种植物的协同作用合理搭配水生植物种类，充分发挥它们之间的协同增效作用，联合它们的观赏价值，合理搭配挺水、沉水、漂浮植物，可创造出好的环境效果，且多种植物的合理组合不仅满足的物种多样性，更容易保持湖泊生态系统的长期稳定性。</w:t>
      </w:r>
    </w:p>
    <w:tbl>
      <w:tblPr>
        <w:tblStyle w:val="5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41" w:type="dxa"/>
            <w:tcBorders>
              <w:tl2br w:val="nil"/>
              <w:tr2bl w:val="nil"/>
            </w:tcBorders>
          </w:tcPr>
          <w:p>
            <w:pPr>
              <w:widowControl w:val="0"/>
              <w:spacing w:line="480" w:lineRule="exact"/>
              <w:jc w:val="both"/>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rPr>
              <w:drawing>
                <wp:anchor distT="0" distB="0" distL="114300" distR="114300" simplePos="0" relativeHeight="251677696" behindDoc="0" locked="0" layoutInCell="1" allowOverlap="1">
                  <wp:simplePos x="0" y="0"/>
                  <wp:positionH relativeFrom="column">
                    <wp:posOffset>0</wp:posOffset>
                  </wp:positionH>
                  <wp:positionV relativeFrom="paragraph">
                    <wp:posOffset>78740</wp:posOffset>
                  </wp:positionV>
                  <wp:extent cx="5724525" cy="720725"/>
                  <wp:effectExtent l="0" t="0" r="9525" b="3175"/>
                  <wp:wrapNone/>
                  <wp:docPr id="4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6"/>
                          <pic:cNvPicPr>
                            <a:picLocks noChangeAspect="1"/>
                          </pic:cNvPicPr>
                        </pic:nvPicPr>
                        <pic:blipFill>
                          <a:blip r:embed="rId28"/>
                          <a:stretch>
                            <a:fillRect/>
                          </a:stretch>
                        </pic:blipFill>
                        <pic:spPr>
                          <a:xfrm>
                            <a:off x="0" y="0"/>
                            <a:ext cx="5724525" cy="720725"/>
                          </a:xfrm>
                          <a:prstGeom prst="rect">
                            <a:avLst/>
                          </a:prstGeom>
                          <a:noFill/>
                          <a:ln>
                            <a:noFill/>
                          </a:ln>
                        </pic:spPr>
                      </pic:pic>
                    </a:graphicData>
                  </a:graphic>
                </wp:anchor>
              </w:drawing>
            </w:r>
          </w:p>
          <w:p>
            <w:pPr>
              <w:widowControl w:val="0"/>
              <w:spacing w:line="480" w:lineRule="exact"/>
              <w:jc w:val="both"/>
              <w:rPr>
                <w:rFonts w:hint="default" w:ascii="Times New Roman" w:hAnsi="Times New Roman" w:eastAsia="宋体" w:cs="Times New Roman"/>
                <w:color w:val="auto"/>
                <w:vertAlign w:val="baseline"/>
                <w:lang w:val="en-US" w:eastAsia="zh-CN"/>
              </w:rPr>
            </w:pPr>
          </w:p>
          <w:p>
            <w:pPr>
              <w:widowControl w:val="0"/>
              <w:spacing w:line="480" w:lineRule="exact"/>
              <w:jc w:val="both"/>
              <w:rPr>
                <w:rFonts w:hint="default" w:ascii="Times New Roman" w:hAnsi="Times New Roman" w:eastAsia="宋体" w:cs="Times New Roman"/>
                <w:color w:val="auto"/>
                <w:vertAlign w:val="baseline"/>
                <w:lang w:val="en-US" w:eastAsia="zh-CN"/>
              </w:rPr>
            </w:pPr>
          </w:p>
        </w:tc>
      </w:tr>
    </w:tbl>
    <w:p>
      <w:pPr>
        <w:spacing w:line="480" w:lineRule="exact"/>
        <w:ind w:firstLine="482" w:firstLineChars="20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图</w:t>
      </w:r>
      <w:r>
        <w:rPr>
          <w:rFonts w:hint="eastAsia" w:cs="Times New Roman"/>
          <w:b/>
          <w:bCs/>
          <w:color w:val="auto"/>
          <w:lang w:val="en-US" w:eastAsia="zh-CN"/>
        </w:rPr>
        <w:t>3.4-7</w:t>
      </w:r>
      <w:r>
        <w:rPr>
          <w:rFonts w:hint="default" w:ascii="Times New Roman" w:hAnsi="Times New Roman" w:eastAsia="宋体" w:cs="Times New Roman"/>
          <w:b/>
          <w:bCs/>
          <w:color w:val="auto"/>
          <w:lang w:val="en-US" w:eastAsia="zh-CN"/>
        </w:rPr>
        <w:t xml:space="preserve"> 浮叶植物</w:t>
      </w:r>
      <w:r>
        <w:rPr>
          <w:rFonts w:hint="eastAsia" w:cs="Times New Roman"/>
          <w:b/>
          <w:bCs/>
          <w:color w:val="auto"/>
          <w:lang w:val="en-US" w:eastAsia="zh-CN"/>
        </w:rPr>
        <w:t>（睡莲）</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3）沉水植物</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沉水植物是湖泊生态系统的重要组成部分，对维护湖泊生态系统，控制湖泊富营养具有重要生态价值，不仅影响着水中的鱼类，浮游生物，底栖动物的组成和分布，而且可以起到消浪和净水质的作用。</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沉水植物-水下森林净化机理主要包括：</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①同化作用：水生植物从水层和底泥中吸收氮、磷，并同化为自身的结构组成物质，从而去除减少氮、磷等富营养化物质。</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②营养竞争：沉水植物大量吸收水体中的营养物质，成为优秀品种，造成藻类缺乏营养，从而抑制其发展。</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③絮凝沉淀：水生植物的茎和叶以及浮水植物的根可以减缓水流速度和消除缓流，以达到过滤、沉淀泥沙颗粒、有机微粒的作用。水生植物的存在减小水中的风浪扰动，为悬浮固体的沉淀去除创造了条件，并减小了固体重新悬浮的可能性。</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④化感作用：沉水植物通过向水体释放化学物质而对藻类产生的抑制作用。从而保证自身阳光、营养物质和生存空间需要。</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本工程沉水植物选用苦草、微齿眼子菜、黑藻、伊乐藻、马来眼子菜、穗花狐尾藻。</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①</w:t>
      </w:r>
      <w:r>
        <w:rPr>
          <w:rFonts w:hint="default" w:ascii="Times New Roman" w:hAnsi="Times New Roman" w:eastAsia="宋体" w:cs="Times New Roman"/>
          <w:color w:val="auto"/>
          <w:lang w:val="en-US" w:eastAsia="zh-CN"/>
        </w:rPr>
        <w:t>穗花狐尾藻</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穗花狐尾藻为小二仙草科狐尾藻属植物，上层沉水植物。穗花狐尾藻的适应能力强，在各种水体均能发育良好，相对于其他沉水植物，具有较高的光合作用速率和较强净化水体的能力，能在水表面形成厚密的冠层阻止光的透射，特别在水体污染较重，水体浑浊，低光照的条件下能良好生长并净化水体，吸附吸收转化水体污染物，提高水体透明度。穗花狐尾藻对水体总氮总磷的净化效率大于80％，对悬浮物的吸附率大于85％，同时对调节水体的pH值也有一定作用，因此，穗花狐尾藻常作为水体净化和水生态修复物种，但其在净化水体后期，极易因生长优势大量繁殖漂浮甚至长出水面，在水体中蔓延泛滥，对其他植物群落造成强烈影响，破坏种群平衡，是目前亟待解决的生态问题。</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②</w:t>
      </w:r>
      <w:r>
        <w:rPr>
          <w:rFonts w:hint="default" w:ascii="Times New Roman" w:hAnsi="Times New Roman" w:eastAsia="宋体" w:cs="Times New Roman"/>
          <w:color w:val="auto"/>
          <w:lang w:val="en-US" w:eastAsia="zh-CN"/>
        </w:rPr>
        <w:t>密刺苦草</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多年生沉水草本。须根多数。根茎直，褐色，长1-6厘米，径4-6毫米。常从叶腋发出匍匐茎，黄白色，径约3毫米，节间长5-20厘米，表面具微刺，节上生根和叶。</w:t>
      </w:r>
    </w:p>
    <w:p>
      <w:pPr>
        <w:spacing w:line="480" w:lineRule="exact"/>
        <w:ind w:firstLine="482" w:firstLineChars="200"/>
        <w:jc w:val="both"/>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穗花狐尾藻</w:t>
      </w:r>
      <w:r>
        <w:rPr>
          <w:rFonts w:hint="eastAsia" w:cs="Times New Roman"/>
          <w:b/>
          <w:bCs/>
          <w:color w:val="auto"/>
          <w:lang w:val="en-US" w:eastAsia="zh-CN"/>
        </w:rPr>
        <w:t>与</w:t>
      </w:r>
      <w:r>
        <w:rPr>
          <w:rFonts w:hint="default" w:ascii="Times New Roman" w:hAnsi="Times New Roman" w:eastAsia="宋体" w:cs="Times New Roman"/>
          <w:b/>
          <w:bCs/>
          <w:color w:val="auto"/>
          <w:lang w:val="en-US" w:eastAsia="zh-CN"/>
        </w:rPr>
        <w:t>密刺苦草</w:t>
      </w:r>
      <w:r>
        <w:rPr>
          <w:rFonts w:hint="eastAsia" w:cs="Times New Roman"/>
          <w:b/>
          <w:bCs/>
          <w:color w:val="auto"/>
          <w:lang w:val="en-US" w:eastAsia="zh-CN"/>
        </w:rPr>
        <w:t>的相互制约</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利用密齿苦草和穗花狐尾藻两个种群间的种群竞争关系和各自的特殊生长特性，选取穗花狐尾藻作为净化水体的先锋物种，并按照特定种植比例和种植参数在后期用密齿苦草逐步演替穗花狐尾藻达到一定覆盖率，在前期水体浑浊时，穗花狐尾藻具有生长优势，可大量繁殖，同时净化水体，待水体透明度提高，后种植的密齿苦草较穗花狐尾藻根系更为发达，生长较快，可控制穗花狐尾藻种群的扩散和蔓延，随后逐步自然演替密齿苦草至80～85％的覆盖率，最终形成“水下森林”的景观效果，最终实现水体净化和水生态修复的目的。</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③</w:t>
      </w:r>
      <w:r>
        <w:rPr>
          <w:rFonts w:hint="default" w:ascii="Times New Roman" w:hAnsi="Times New Roman" w:eastAsia="宋体" w:cs="Times New Roman"/>
          <w:color w:val="auto"/>
          <w:lang w:val="en-US" w:eastAsia="zh-CN"/>
        </w:rPr>
        <w:t>轮叶黑藻</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别称温丝草、灯笼薇、转转薇。属沼生目、水鳖科、黑藻属、罗氏轮叶黑藻种。</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多年生沉水植物，茎直立细长，长50-80厘米，叶带状披针形，4-8片轮生，通常以4-6片为多，长1.5厘米左右，宽约1.5-2cm。叶缘具小锯刺，叶无柄。</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广布于池塘、湖泊和水沟中。在中国南北各省及欧、亚、非和大洋洲等广大地区均有分布。喜阳光充足的环境。环境荫蔽植株生长受阻，新叶叶色变淡，老叶逐渐死亡。喜温暖，耐寒，在15～30℃的温度范围内生长良好，越冬不低于4℃。</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④</w:t>
      </w:r>
      <w:r>
        <w:rPr>
          <w:rFonts w:hint="default" w:ascii="Times New Roman" w:hAnsi="Times New Roman" w:eastAsia="宋体" w:cs="Times New Roman"/>
          <w:color w:val="auto"/>
          <w:lang w:val="en-US" w:eastAsia="zh-CN"/>
        </w:rPr>
        <w:t>伊乐藻</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中文学名水蕴藻，别称三轮水蕴草、伊乐藻、加拿大蜈蚣草，属侧膜胎座目、藤黄科、水蕴藻属、水蕴藻种。</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多年生挺水草本，茎细长，株高60-180厘米。单叶轮生，无柄，每轮4枚，长约1.9厘米，宽约6亳米，先端向外弯曲，缘具细锯刺。</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原产于北美洲。世界各地观赏花鸟鱼虫市场交易、中国各地水族馆有栽培。喜光照充足的环境，性喜温暖，较耐低温，在15-27℃的温度范围内生长良好，可耐4℃的低温。</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⑤</w:t>
      </w:r>
      <w:r>
        <w:rPr>
          <w:rFonts w:hint="default" w:ascii="Times New Roman" w:hAnsi="Times New Roman" w:eastAsia="宋体" w:cs="Times New Roman"/>
          <w:color w:val="auto"/>
          <w:lang w:val="en-US" w:eastAsia="zh-CN"/>
        </w:rPr>
        <w:t>马来眼子菜</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眼子菜科，眼子菜属。多年生沉水或浮叶草本，地下茎发达。叶线状披针形或长椭圆形，8~12cm长，2.5~3cm宽，叶脉2条，明显，黄色，有长柄，托叶膜质。仅有沉水叶，先端急尖，叶缘波状，具有不规则的锯齿，叶柄长2~5cm。穗状花序顶生或假腋生；雄蕊4枚，心皮3~4枚，褐色。果鸭头形，2.4mm，有光泽，背脊3棱，褐黄色。生于地质较硬的湖泊、池塘和河道中，可作绿肥和饲料。</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多年生浮叶或沉水草本。根茎发达，白色，节处生有须根。茎圆柱形，直径约2毫米，不分枝或具少数分枝，节间长可达10余厘米。叶条形或条状披针形，具长柄，稀短于2厘米；叶片长5-19厘米，宽1-2.5厘米，先端钝圆而具小凸尖，基部钝圆或楔形，边缘浅波状，有细微的锯齿；中脉显著，自基部至中部发出6至多条与之平行、并在顶端连接的次级叶脉，三级叶脉清晰可见；托叶大而明显，近膜质，无色或淡绿色，与叶片离生，鞘状抱茎，长2.5-5厘米。穗状花序顶生，具花多轮，密集或稍密集；花序梗膨大，稍粗于茎，长4-7厘米；花小，被片4，绿色；雌蕊4枚，离生。果实倒卵形，长约3毫米，两侧稍扁，背部明显3脊，中脊狭翅状，侧脊锐。花果期6-10月。</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马来眼子菜吸附氮磷效果非常好，初春马来眼子菜分解对水体和底泥碳，氮和磷的积累及释放作用非常明显。</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⑥</w:t>
      </w:r>
      <w:r>
        <w:rPr>
          <w:rFonts w:hint="default" w:ascii="Times New Roman" w:hAnsi="Times New Roman" w:eastAsia="宋体" w:cs="Times New Roman"/>
          <w:color w:val="auto"/>
          <w:lang w:val="en-US" w:eastAsia="zh-CN"/>
        </w:rPr>
        <w:t>微齿眼子菜</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是眼子菜科眼子菜属，多年生沉水草本，无根茎。功效同眼子菜。别称：黄丝草</w:t>
      </w:r>
      <w:r>
        <w:rPr>
          <w:rFonts w:hint="eastAsia" w:cs="Times New Roman"/>
          <w:color w:val="auto"/>
          <w:lang w:val="en-US" w:eastAsia="zh-CN"/>
        </w:rPr>
        <w:t>。</w:t>
      </w:r>
    </w:p>
    <w:p>
      <w:pPr>
        <w:spacing w:line="480" w:lineRule="exact"/>
        <w:ind w:firstLine="480" w:firstLineChars="200"/>
        <w:jc w:val="both"/>
        <w:rPr>
          <w:rFonts w:hint="eastAsia" w:cs="Times New Roman"/>
          <w:color w:val="auto"/>
          <w:lang w:val="en-US" w:eastAsia="zh-CN"/>
        </w:rPr>
      </w:pPr>
      <w:r>
        <w:rPr>
          <w:rFonts w:hint="default" w:ascii="Times New Roman" w:hAnsi="Times New Roman" w:eastAsia="宋体" w:cs="Times New Roman"/>
          <w:color w:val="auto"/>
          <w:lang w:val="en-US" w:eastAsia="zh-CN"/>
        </w:rPr>
        <w:t>多年生沉水草本，无根茎。茎细长，直径0.5-1毫米，具分枝，近基部常匍匐，于节处生出多数纤长的须根，节间长2-10厘米。叶条形，无柄，长2-6厘米，宽2-4毫米，先端钝圆，基部与托叶贴生成短的叶鞘，叶缘具微细的疏锯齿;叶脉3-7条，平行，顶端连接，中脉显著，侧脉较细弱，次级脉不明显;叶鞘长0.3-0.6厘米，抱茎，顶端具一长3-5毫米的膜质小舌片。穗状花序顶生，具花2-3轮;花序梗通常不膨大，与茎近等粗，长1-4厘米;花小，被片4，淡绿色，雌蕊4枚，稀少于4枚，离生。果实倒卵形，长约4毫米，顶端具长约0.5毫米的喙，背部3脊，中脊狭翅状，侧脊稍钝。花果期6-9月。</w:t>
      </w:r>
      <w:r>
        <w:rPr>
          <w:rFonts w:hint="eastAsia" w:cs="Times New Roman"/>
          <w:color w:val="auto"/>
          <w:lang w:val="en-US" w:eastAsia="zh-CN"/>
        </w:rPr>
        <w:t xml:space="preserve">  </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主要存在于湖泊、池塘等静水水体中。</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它具有很好的脱氮除磷能力。研究表明，在实验室模拟条件下，小叶对有机污染物（多环芳烃）的去除率为48%，可以考虑对受污染水体进行生态修复。</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在清溪河的缓流中，草叶摇曳。如果种在清水鱼池里，对水的净化作用很好，游动的鱼也可以清晰的看见。</w:t>
      </w:r>
    </w:p>
    <w:p>
      <w:pPr>
        <w:pStyle w:val="2"/>
        <w:rPr>
          <w:rFonts w:hint="default" w:ascii="Times New Roman" w:hAnsi="Times New Roman" w:eastAsia="宋体" w:cs="Times New Roman"/>
          <w:color w:val="auto"/>
          <w:lang w:val="en-US" w:eastAsia="zh-CN"/>
        </w:rPr>
      </w:pPr>
    </w:p>
    <w:p>
      <w:pPr>
        <w:pStyle w:val="2"/>
        <w:rPr>
          <w:rFonts w:hint="default" w:ascii="Times New Roman" w:hAnsi="Times New Roman" w:eastAsia="宋体" w:cs="Times New Roman"/>
          <w:color w:val="auto"/>
          <w:lang w:val="en-US" w:eastAsia="zh-CN"/>
        </w:rPr>
      </w:pPr>
    </w:p>
    <w:p>
      <w:pPr>
        <w:pStyle w:val="2"/>
        <w:rPr>
          <w:rFonts w:hint="default" w:ascii="Times New Roman" w:hAnsi="Times New Roman" w:eastAsia="宋体" w:cs="Times New Roman"/>
          <w:color w:val="auto"/>
          <w:lang w:val="en-US" w:eastAsia="zh-CN"/>
        </w:rPr>
      </w:pPr>
    </w:p>
    <w:p>
      <w:pPr>
        <w:pStyle w:val="2"/>
        <w:rPr>
          <w:rFonts w:hint="default" w:ascii="Times New Roman" w:hAnsi="Times New Roman" w:eastAsia="宋体" w:cs="Times New Roman"/>
          <w:color w:val="auto"/>
          <w:lang w:val="en-US" w:eastAsia="zh-CN"/>
        </w:rPr>
      </w:pPr>
    </w:p>
    <w:p>
      <w:pPr>
        <w:pStyle w:val="2"/>
        <w:rPr>
          <w:rFonts w:hint="default" w:ascii="Times New Roman" w:hAnsi="Times New Roman" w:eastAsia="宋体" w:cs="Times New Roman"/>
          <w:color w:val="auto"/>
          <w:lang w:val="en-US" w:eastAsia="zh-CN"/>
        </w:rPr>
      </w:pPr>
    </w:p>
    <w:p>
      <w:pPr>
        <w:pStyle w:val="2"/>
        <w:rPr>
          <w:rFonts w:hint="default" w:ascii="Times New Roman" w:hAnsi="Times New Roman" w:eastAsia="宋体" w:cs="Times New Roman"/>
          <w:color w:val="auto"/>
          <w:lang w:val="en-US" w:eastAsia="zh-CN"/>
        </w:rPr>
      </w:pPr>
    </w:p>
    <w:p>
      <w:pPr>
        <w:pStyle w:val="2"/>
        <w:rPr>
          <w:rFonts w:hint="default" w:ascii="Times New Roman" w:hAnsi="Times New Roman" w:eastAsia="宋体" w:cs="Times New Roman"/>
          <w:color w:val="auto"/>
          <w:lang w:val="en-US" w:eastAsia="zh-CN"/>
        </w:rPr>
      </w:pPr>
    </w:p>
    <w:p>
      <w:pPr>
        <w:pStyle w:val="2"/>
        <w:rPr>
          <w:rFonts w:hint="default" w:ascii="Times New Roman" w:hAnsi="Times New Roman" w:eastAsia="宋体" w:cs="Times New Roman"/>
          <w:color w:val="auto"/>
          <w:lang w:val="en-US" w:eastAsia="zh-CN"/>
        </w:rPr>
      </w:pPr>
    </w:p>
    <w:p>
      <w:pPr>
        <w:pStyle w:val="2"/>
        <w:rPr>
          <w:rFonts w:hint="default" w:ascii="Times New Roman" w:hAnsi="Times New Roman" w:eastAsia="宋体" w:cs="Times New Roman"/>
          <w:color w:val="auto"/>
          <w:lang w:val="en-US" w:eastAsia="zh-CN"/>
        </w:rPr>
      </w:pPr>
    </w:p>
    <w:p>
      <w:pPr>
        <w:pStyle w:val="2"/>
        <w:rPr>
          <w:rFonts w:hint="default" w:ascii="Times New Roman" w:hAnsi="Times New Roman" w:eastAsia="宋体" w:cs="Times New Roman"/>
          <w:color w:val="auto"/>
          <w:lang w:val="en-US" w:eastAsia="zh-CN"/>
        </w:rPr>
      </w:pPr>
    </w:p>
    <w:p>
      <w:pPr>
        <w:pStyle w:val="2"/>
        <w:rPr>
          <w:rFonts w:hint="default" w:ascii="Times New Roman" w:hAnsi="Times New Roman" w:eastAsia="宋体" w:cs="Times New Roman"/>
          <w:color w:val="auto"/>
          <w:lang w:val="en-US" w:eastAsia="zh-CN"/>
        </w:rPr>
      </w:pPr>
    </w:p>
    <w:p>
      <w:pPr>
        <w:pStyle w:val="2"/>
        <w:rPr>
          <w:rFonts w:hint="default" w:ascii="Times New Roman" w:hAnsi="Times New Roman" w:eastAsia="宋体" w:cs="Times New Roman"/>
          <w:color w:val="auto"/>
          <w:lang w:val="en-US" w:eastAsia="zh-CN"/>
        </w:rPr>
      </w:pPr>
    </w:p>
    <w:p>
      <w:pPr>
        <w:pStyle w:val="2"/>
        <w:rPr>
          <w:rFonts w:hint="default" w:ascii="Times New Roman" w:hAnsi="Times New Roman" w:eastAsia="宋体" w:cs="Times New Roman"/>
          <w:color w:val="auto"/>
          <w:lang w:val="en-US" w:eastAsia="zh-CN"/>
        </w:rPr>
      </w:pPr>
    </w:p>
    <w:p>
      <w:pPr>
        <w:pStyle w:val="2"/>
        <w:rPr>
          <w:rFonts w:hint="default" w:ascii="Times New Roman" w:hAnsi="Times New Roman" w:eastAsia="宋体" w:cs="Times New Roman"/>
          <w:color w:val="auto"/>
          <w:lang w:val="en-US" w:eastAsia="zh-CN"/>
        </w:rPr>
      </w:pPr>
    </w:p>
    <w:p>
      <w:pPr>
        <w:pStyle w:val="2"/>
        <w:rPr>
          <w:rFonts w:hint="default" w:ascii="Times New Roman" w:hAnsi="Times New Roman" w:eastAsia="宋体" w:cs="Times New Roman"/>
          <w:color w:val="auto"/>
          <w:lang w:val="en-US" w:eastAsia="zh-CN"/>
        </w:rPr>
      </w:pPr>
    </w:p>
    <w:p>
      <w:pPr>
        <w:pStyle w:val="2"/>
        <w:rPr>
          <w:rFonts w:hint="default" w:ascii="Times New Roman" w:hAnsi="Times New Roman" w:eastAsia="宋体" w:cs="Times New Roman"/>
          <w:color w:val="auto"/>
          <w:lang w:val="en-US" w:eastAsia="zh-CN"/>
        </w:rPr>
      </w:pPr>
    </w:p>
    <w:tbl>
      <w:tblPr>
        <w:tblStyle w:val="5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20"/>
        <w:gridCol w:w="46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20" w:type="dxa"/>
            <w:tcBorders>
              <w:tl2br w:val="nil"/>
              <w:tr2bl w:val="nil"/>
            </w:tcBorders>
          </w:tcPr>
          <w:p>
            <w:pPr>
              <w:widowControl w:val="0"/>
              <w:spacing w:line="480" w:lineRule="exact"/>
              <w:jc w:val="both"/>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rPr>
              <w:drawing>
                <wp:anchor distT="0" distB="0" distL="114300" distR="114300" simplePos="0" relativeHeight="251678720" behindDoc="0" locked="0" layoutInCell="1" allowOverlap="1">
                  <wp:simplePos x="0" y="0"/>
                  <wp:positionH relativeFrom="column">
                    <wp:posOffset>380365</wp:posOffset>
                  </wp:positionH>
                  <wp:positionV relativeFrom="paragraph">
                    <wp:posOffset>69215</wp:posOffset>
                  </wp:positionV>
                  <wp:extent cx="1868170" cy="1497330"/>
                  <wp:effectExtent l="0" t="0" r="17780" b="7620"/>
                  <wp:wrapNone/>
                  <wp:docPr id="5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7"/>
                          <pic:cNvPicPr>
                            <a:picLocks noChangeAspect="1"/>
                          </pic:cNvPicPr>
                        </pic:nvPicPr>
                        <pic:blipFill>
                          <a:blip r:embed="rId29"/>
                          <a:stretch>
                            <a:fillRect/>
                          </a:stretch>
                        </pic:blipFill>
                        <pic:spPr>
                          <a:xfrm>
                            <a:off x="0" y="0"/>
                            <a:ext cx="1868170" cy="1497330"/>
                          </a:xfrm>
                          <a:prstGeom prst="rect">
                            <a:avLst/>
                          </a:prstGeom>
                          <a:noFill/>
                          <a:ln>
                            <a:noFill/>
                          </a:ln>
                        </pic:spPr>
                      </pic:pic>
                    </a:graphicData>
                  </a:graphic>
                </wp:anchor>
              </w:drawing>
            </w:r>
          </w:p>
          <w:p>
            <w:pPr>
              <w:widowControl w:val="0"/>
              <w:spacing w:line="480" w:lineRule="exact"/>
              <w:jc w:val="both"/>
              <w:rPr>
                <w:rFonts w:hint="default" w:ascii="Times New Roman" w:hAnsi="Times New Roman" w:eastAsia="宋体" w:cs="Times New Roman"/>
                <w:color w:val="auto"/>
                <w:vertAlign w:val="baseline"/>
                <w:lang w:val="en-US" w:eastAsia="zh-CN"/>
              </w:rPr>
            </w:pPr>
          </w:p>
          <w:p>
            <w:pPr>
              <w:widowControl w:val="0"/>
              <w:spacing w:line="480" w:lineRule="exact"/>
              <w:jc w:val="both"/>
              <w:rPr>
                <w:rFonts w:hint="default" w:ascii="Times New Roman" w:hAnsi="Times New Roman" w:eastAsia="宋体" w:cs="Times New Roman"/>
                <w:color w:val="auto"/>
                <w:vertAlign w:val="baseline"/>
                <w:lang w:val="en-US" w:eastAsia="zh-CN"/>
              </w:rPr>
            </w:pPr>
          </w:p>
          <w:p>
            <w:pPr>
              <w:widowControl w:val="0"/>
              <w:spacing w:line="480" w:lineRule="exact"/>
              <w:jc w:val="both"/>
              <w:rPr>
                <w:rFonts w:hint="default" w:ascii="Times New Roman" w:hAnsi="Times New Roman" w:eastAsia="宋体" w:cs="Times New Roman"/>
                <w:color w:val="auto"/>
                <w:vertAlign w:val="baseline"/>
                <w:lang w:val="en-US" w:eastAsia="zh-CN"/>
              </w:rPr>
            </w:pPr>
          </w:p>
          <w:p>
            <w:pPr>
              <w:widowControl w:val="0"/>
              <w:spacing w:line="480" w:lineRule="exact"/>
              <w:jc w:val="both"/>
              <w:rPr>
                <w:rFonts w:hint="default" w:ascii="Times New Roman" w:hAnsi="Times New Roman" w:eastAsia="宋体" w:cs="Times New Roman"/>
                <w:color w:val="auto"/>
                <w:vertAlign w:val="baseline"/>
                <w:lang w:val="en-US" w:eastAsia="zh-CN"/>
              </w:rPr>
            </w:pPr>
          </w:p>
          <w:p>
            <w:pPr>
              <w:widowControl w:val="0"/>
              <w:spacing w:line="480" w:lineRule="exact"/>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b/>
                <w:bCs/>
                <w:color w:val="auto"/>
                <w:vertAlign w:val="baseline"/>
                <w:lang w:val="en-US" w:eastAsia="zh-CN"/>
              </w:rPr>
              <w:t>密刺苦草</w:t>
            </w:r>
          </w:p>
        </w:tc>
        <w:tc>
          <w:tcPr>
            <w:tcW w:w="4621" w:type="dxa"/>
            <w:tcBorders>
              <w:tl2br w:val="nil"/>
              <w:tr2bl w:val="nil"/>
            </w:tcBorders>
          </w:tcPr>
          <w:p>
            <w:pPr>
              <w:widowControl w:val="0"/>
              <w:spacing w:line="480" w:lineRule="exact"/>
              <w:jc w:val="both"/>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rPr>
              <w:drawing>
                <wp:anchor distT="0" distB="0" distL="114300" distR="114300" simplePos="0" relativeHeight="251679744" behindDoc="0" locked="0" layoutInCell="1" allowOverlap="1">
                  <wp:simplePos x="0" y="0"/>
                  <wp:positionH relativeFrom="column">
                    <wp:posOffset>481330</wp:posOffset>
                  </wp:positionH>
                  <wp:positionV relativeFrom="paragraph">
                    <wp:posOffset>76200</wp:posOffset>
                  </wp:positionV>
                  <wp:extent cx="1877695" cy="1501140"/>
                  <wp:effectExtent l="0" t="0" r="8255" b="3810"/>
                  <wp:wrapNone/>
                  <wp:docPr id="5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8"/>
                          <pic:cNvPicPr>
                            <a:picLocks noChangeAspect="1"/>
                          </pic:cNvPicPr>
                        </pic:nvPicPr>
                        <pic:blipFill>
                          <a:blip r:embed="rId30"/>
                          <a:stretch>
                            <a:fillRect/>
                          </a:stretch>
                        </pic:blipFill>
                        <pic:spPr>
                          <a:xfrm>
                            <a:off x="0" y="0"/>
                            <a:ext cx="1877695" cy="1501140"/>
                          </a:xfrm>
                          <a:prstGeom prst="rect">
                            <a:avLst/>
                          </a:prstGeom>
                          <a:noFill/>
                          <a:ln>
                            <a:noFill/>
                          </a:ln>
                        </pic:spPr>
                      </pic:pic>
                    </a:graphicData>
                  </a:graphic>
                </wp:anchor>
              </w:drawing>
            </w:r>
          </w:p>
          <w:p>
            <w:pPr>
              <w:widowControl w:val="0"/>
              <w:spacing w:line="480" w:lineRule="exact"/>
              <w:jc w:val="both"/>
              <w:rPr>
                <w:rFonts w:hint="default" w:ascii="Times New Roman" w:hAnsi="Times New Roman" w:eastAsia="宋体" w:cs="Times New Roman"/>
                <w:color w:val="auto"/>
                <w:vertAlign w:val="baseline"/>
                <w:lang w:val="en-US" w:eastAsia="zh-CN"/>
              </w:rPr>
            </w:pPr>
          </w:p>
          <w:p>
            <w:pPr>
              <w:widowControl w:val="0"/>
              <w:spacing w:line="480" w:lineRule="exact"/>
              <w:jc w:val="both"/>
              <w:rPr>
                <w:rFonts w:hint="default" w:ascii="Times New Roman" w:hAnsi="Times New Roman" w:eastAsia="宋体" w:cs="Times New Roman"/>
                <w:color w:val="auto"/>
                <w:vertAlign w:val="baseline"/>
                <w:lang w:val="en-US" w:eastAsia="zh-CN"/>
              </w:rPr>
            </w:pPr>
          </w:p>
          <w:p>
            <w:pPr>
              <w:widowControl w:val="0"/>
              <w:spacing w:line="480" w:lineRule="exact"/>
              <w:jc w:val="both"/>
              <w:rPr>
                <w:rFonts w:hint="default" w:ascii="Times New Roman" w:hAnsi="Times New Roman" w:eastAsia="宋体" w:cs="Times New Roman"/>
                <w:color w:val="auto"/>
                <w:vertAlign w:val="baseline"/>
                <w:lang w:val="en-US" w:eastAsia="zh-CN"/>
              </w:rPr>
            </w:pPr>
          </w:p>
          <w:p>
            <w:pPr>
              <w:widowControl w:val="0"/>
              <w:spacing w:line="480" w:lineRule="exact"/>
              <w:jc w:val="both"/>
              <w:rPr>
                <w:rFonts w:hint="default" w:ascii="Times New Roman" w:hAnsi="Times New Roman" w:eastAsia="宋体" w:cs="Times New Roman"/>
                <w:color w:val="auto"/>
                <w:vertAlign w:val="baseline"/>
                <w:lang w:val="en-US" w:eastAsia="zh-CN"/>
              </w:rPr>
            </w:pPr>
          </w:p>
          <w:p>
            <w:pPr>
              <w:widowControl w:val="0"/>
              <w:spacing w:line="480" w:lineRule="exact"/>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b/>
                <w:bCs/>
                <w:color w:val="auto"/>
                <w:vertAlign w:val="baseline"/>
                <w:lang w:val="en-US" w:eastAsia="zh-CN"/>
              </w:rPr>
              <w:t>微齿眼子菜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20" w:type="dxa"/>
            <w:tcBorders>
              <w:tl2br w:val="nil"/>
              <w:tr2bl w:val="nil"/>
            </w:tcBorders>
          </w:tcPr>
          <w:p>
            <w:pPr>
              <w:widowControl w:val="0"/>
              <w:spacing w:line="480" w:lineRule="exact"/>
              <w:jc w:val="both"/>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rPr>
              <w:drawing>
                <wp:anchor distT="0" distB="0" distL="114300" distR="114300" simplePos="0" relativeHeight="251680768" behindDoc="0" locked="0" layoutInCell="1" allowOverlap="1">
                  <wp:simplePos x="0" y="0"/>
                  <wp:positionH relativeFrom="column">
                    <wp:posOffset>421005</wp:posOffset>
                  </wp:positionH>
                  <wp:positionV relativeFrom="paragraph">
                    <wp:posOffset>81280</wp:posOffset>
                  </wp:positionV>
                  <wp:extent cx="1814830" cy="1447800"/>
                  <wp:effectExtent l="0" t="0" r="13970" b="0"/>
                  <wp:wrapNone/>
                  <wp:docPr id="5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9"/>
                          <pic:cNvPicPr>
                            <a:picLocks noChangeAspect="1"/>
                          </pic:cNvPicPr>
                        </pic:nvPicPr>
                        <pic:blipFill>
                          <a:blip r:embed="rId31"/>
                          <a:stretch>
                            <a:fillRect/>
                          </a:stretch>
                        </pic:blipFill>
                        <pic:spPr>
                          <a:xfrm>
                            <a:off x="0" y="0"/>
                            <a:ext cx="1814830" cy="1447800"/>
                          </a:xfrm>
                          <a:prstGeom prst="rect">
                            <a:avLst/>
                          </a:prstGeom>
                          <a:noFill/>
                          <a:ln>
                            <a:noFill/>
                          </a:ln>
                        </pic:spPr>
                      </pic:pic>
                    </a:graphicData>
                  </a:graphic>
                </wp:anchor>
              </w:drawing>
            </w:r>
          </w:p>
          <w:p>
            <w:pPr>
              <w:widowControl w:val="0"/>
              <w:spacing w:line="480" w:lineRule="exact"/>
              <w:jc w:val="both"/>
              <w:rPr>
                <w:rFonts w:hint="default" w:ascii="Times New Roman" w:hAnsi="Times New Roman" w:eastAsia="宋体" w:cs="Times New Roman"/>
                <w:color w:val="auto"/>
                <w:vertAlign w:val="baseline"/>
                <w:lang w:val="en-US" w:eastAsia="zh-CN"/>
              </w:rPr>
            </w:pPr>
          </w:p>
          <w:p>
            <w:pPr>
              <w:widowControl w:val="0"/>
              <w:spacing w:line="480" w:lineRule="exact"/>
              <w:jc w:val="both"/>
              <w:rPr>
                <w:rFonts w:hint="default" w:ascii="Times New Roman" w:hAnsi="Times New Roman" w:eastAsia="宋体" w:cs="Times New Roman"/>
                <w:color w:val="auto"/>
                <w:vertAlign w:val="baseline"/>
                <w:lang w:val="en-US" w:eastAsia="zh-CN"/>
              </w:rPr>
            </w:pPr>
          </w:p>
          <w:p>
            <w:pPr>
              <w:widowControl w:val="0"/>
              <w:spacing w:line="480" w:lineRule="exact"/>
              <w:jc w:val="both"/>
              <w:rPr>
                <w:rFonts w:hint="default" w:ascii="Times New Roman" w:hAnsi="Times New Roman" w:eastAsia="宋体" w:cs="Times New Roman"/>
                <w:color w:val="auto"/>
                <w:vertAlign w:val="baseline"/>
                <w:lang w:val="en-US" w:eastAsia="zh-CN"/>
              </w:rPr>
            </w:pPr>
          </w:p>
          <w:p>
            <w:pPr>
              <w:widowControl w:val="0"/>
              <w:spacing w:line="480" w:lineRule="exact"/>
              <w:jc w:val="both"/>
              <w:rPr>
                <w:rFonts w:hint="default" w:ascii="Times New Roman" w:hAnsi="Times New Roman" w:eastAsia="宋体" w:cs="Times New Roman"/>
                <w:color w:val="auto"/>
                <w:vertAlign w:val="baseline"/>
                <w:lang w:val="en-US" w:eastAsia="zh-CN"/>
              </w:rPr>
            </w:pPr>
          </w:p>
          <w:p>
            <w:pPr>
              <w:widowControl w:val="0"/>
              <w:spacing w:line="480" w:lineRule="exact"/>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b/>
                <w:bCs/>
                <w:color w:val="auto"/>
                <w:vertAlign w:val="baseline"/>
                <w:lang w:val="en-US" w:eastAsia="zh-CN"/>
              </w:rPr>
              <w:t>轮叶黑藻</w:t>
            </w:r>
          </w:p>
        </w:tc>
        <w:tc>
          <w:tcPr>
            <w:tcW w:w="4621" w:type="dxa"/>
            <w:tcBorders>
              <w:tl2br w:val="nil"/>
              <w:tr2bl w:val="nil"/>
            </w:tcBorders>
          </w:tcPr>
          <w:p>
            <w:pPr>
              <w:widowControl w:val="0"/>
              <w:spacing w:line="480" w:lineRule="exact"/>
              <w:jc w:val="both"/>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rPr>
              <w:drawing>
                <wp:anchor distT="0" distB="0" distL="114300" distR="114300" simplePos="0" relativeHeight="251681792" behindDoc="0" locked="0" layoutInCell="1" allowOverlap="1">
                  <wp:simplePos x="0" y="0"/>
                  <wp:positionH relativeFrom="column">
                    <wp:posOffset>516255</wp:posOffset>
                  </wp:positionH>
                  <wp:positionV relativeFrom="paragraph">
                    <wp:posOffset>91440</wp:posOffset>
                  </wp:positionV>
                  <wp:extent cx="1903730" cy="1420495"/>
                  <wp:effectExtent l="0" t="0" r="1270" b="8255"/>
                  <wp:wrapNone/>
                  <wp:docPr id="5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0"/>
                          <pic:cNvPicPr>
                            <a:picLocks noChangeAspect="1"/>
                          </pic:cNvPicPr>
                        </pic:nvPicPr>
                        <pic:blipFill>
                          <a:blip r:embed="rId32"/>
                          <a:stretch>
                            <a:fillRect/>
                          </a:stretch>
                        </pic:blipFill>
                        <pic:spPr>
                          <a:xfrm>
                            <a:off x="0" y="0"/>
                            <a:ext cx="1903730" cy="1420495"/>
                          </a:xfrm>
                          <a:prstGeom prst="rect">
                            <a:avLst/>
                          </a:prstGeom>
                          <a:noFill/>
                          <a:ln>
                            <a:noFill/>
                          </a:ln>
                        </pic:spPr>
                      </pic:pic>
                    </a:graphicData>
                  </a:graphic>
                </wp:anchor>
              </w:drawing>
            </w:r>
          </w:p>
          <w:p>
            <w:pPr>
              <w:widowControl w:val="0"/>
              <w:spacing w:line="480" w:lineRule="exact"/>
              <w:jc w:val="both"/>
              <w:rPr>
                <w:rFonts w:hint="default" w:ascii="Times New Roman" w:hAnsi="Times New Roman" w:eastAsia="宋体" w:cs="Times New Roman"/>
                <w:color w:val="auto"/>
                <w:vertAlign w:val="baseline"/>
                <w:lang w:val="en-US" w:eastAsia="zh-CN"/>
              </w:rPr>
            </w:pPr>
          </w:p>
          <w:p>
            <w:pPr>
              <w:widowControl w:val="0"/>
              <w:spacing w:line="480" w:lineRule="exact"/>
              <w:jc w:val="both"/>
              <w:rPr>
                <w:rFonts w:hint="default" w:ascii="Times New Roman" w:hAnsi="Times New Roman" w:eastAsia="宋体" w:cs="Times New Roman"/>
                <w:color w:val="auto"/>
                <w:vertAlign w:val="baseline"/>
                <w:lang w:val="en-US" w:eastAsia="zh-CN"/>
              </w:rPr>
            </w:pPr>
          </w:p>
          <w:p>
            <w:pPr>
              <w:widowControl w:val="0"/>
              <w:spacing w:line="480" w:lineRule="exact"/>
              <w:jc w:val="both"/>
              <w:rPr>
                <w:rFonts w:hint="default" w:ascii="Times New Roman" w:hAnsi="Times New Roman" w:eastAsia="宋体" w:cs="Times New Roman"/>
                <w:color w:val="auto"/>
                <w:vertAlign w:val="baseline"/>
                <w:lang w:val="en-US" w:eastAsia="zh-CN"/>
              </w:rPr>
            </w:pPr>
          </w:p>
          <w:p>
            <w:pPr>
              <w:widowControl w:val="0"/>
              <w:spacing w:line="480" w:lineRule="exact"/>
              <w:jc w:val="both"/>
              <w:rPr>
                <w:rFonts w:hint="default" w:ascii="Times New Roman" w:hAnsi="Times New Roman" w:eastAsia="宋体" w:cs="Times New Roman"/>
                <w:color w:val="auto"/>
                <w:vertAlign w:val="baseline"/>
                <w:lang w:val="en-US" w:eastAsia="zh-CN"/>
              </w:rPr>
            </w:pPr>
          </w:p>
          <w:p>
            <w:pPr>
              <w:widowControl w:val="0"/>
              <w:spacing w:line="480" w:lineRule="exact"/>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b/>
                <w:bCs/>
                <w:color w:val="auto"/>
                <w:vertAlign w:val="baseline"/>
                <w:lang w:val="en-US" w:eastAsia="zh-CN"/>
              </w:rPr>
              <w:t>伊乐藻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20" w:type="dxa"/>
            <w:tcBorders>
              <w:tl2br w:val="nil"/>
              <w:tr2bl w:val="nil"/>
            </w:tcBorders>
            <w:vAlign w:val="top"/>
          </w:tcPr>
          <w:p>
            <w:pPr>
              <w:widowControl w:val="0"/>
              <w:spacing w:line="480" w:lineRule="exact"/>
              <w:jc w:val="both"/>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rPr>
              <w:drawing>
                <wp:anchor distT="0" distB="0" distL="114300" distR="114300" simplePos="0" relativeHeight="251682816" behindDoc="0" locked="0" layoutInCell="1" allowOverlap="1">
                  <wp:simplePos x="0" y="0"/>
                  <wp:positionH relativeFrom="column">
                    <wp:posOffset>400050</wp:posOffset>
                  </wp:positionH>
                  <wp:positionV relativeFrom="paragraph">
                    <wp:posOffset>100965</wp:posOffset>
                  </wp:positionV>
                  <wp:extent cx="1906270" cy="1448435"/>
                  <wp:effectExtent l="0" t="0" r="17780" b="18415"/>
                  <wp:wrapNone/>
                  <wp:docPr id="6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1"/>
                          <pic:cNvPicPr>
                            <a:picLocks noChangeAspect="1"/>
                          </pic:cNvPicPr>
                        </pic:nvPicPr>
                        <pic:blipFill>
                          <a:blip r:embed="rId33"/>
                          <a:stretch>
                            <a:fillRect/>
                          </a:stretch>
                        </pic:blipFill>
                        <pic:spPr>
                          <a:xfrm>
                            <a:off x="0" y="0"/>
                            <a:ext cx="1906270" cy="1448435"/>
                          </a:xfrm>
                          <a:prstGeom prst="rect">
                            <a:avLst/>
                          </a:prstGeom>
                          <a:noFill/>
                          <a:ln>
                            <a:noFill/>
                          </a:ln>
                        </pic:spPr>
                      </pic:pic>
                    </a:graphicData>
                  </a:graphic>
                </wp:anchor>
              </w:drawing>
            </w:r>
          </w:p>
          <w:p>
            <w:pPr>
              <w:widowControl w:val="0"/>
              <w:spacing w:line="480" w:lineRule="exact"/>
              <w:jc w:val="both"/>
              <w:rPr>
                <w:rFonts w:hint="default" w:ascii="Times New Roman" w:hAnsi="Times New Roman" w:eastAsia="宋体" w:cs="Times New Roman"/>
                <w:color w:val="auto"/>
                <w:vertAlign w:val="baseline"/>
                <w:lang w:val="en-US" w:eastAsia="zh-CN"/>
              </w:rPr>
            </w:pPr>
          </w:p>
          <w:p>
            <w:pPr>
              <w:widowControl w:val="0"/>
              <w:spacing w:line="480" w:lineRule="exact"/>
              <w:jc w:val="both"/>
              <w:rPr>
                <w:rFonts w:hint="default" w:ascii="Times New Roman" w:hAnsi="Times New Roman" w:eastAsia="宋体" w:cs="Times New Roman"/>
                <w:color w:val="auto"/>
                <w:vertAlign w:val="baseline"/>
                <w:lang w:val="en-US" w:eastAsia="zh-CN"/>
              </w:rPr>
            </w:pPr>
          </w:p>
          <w:p>
            <w:pPr>
              <w:widowControl w:val="0"/>
              <w:spacing w:line="480" w:lineRule="exact"/>
              <w:jc w:val="both"/>
              <w:rPr>
                <w:rFonts w:hint="default" w:ascii="Times New Roman" w:hAnsi="Times New Roman" w:eastAsia="宋体" w:cs="Times New Roman"/>
                <w:color w:val="auto"/>
                <w:vertAlign w:val="baseline"/>
                <w:lang w:val="en-US" w:eastAsia="zh-CN"/>
              </w:rPr>
            </w:pPr>
          </w:p>
          <w:p>
            <w:pPr>
              <w:widowControl w:val="0"/>
              <w:spacing w:line="480" w:lineRule="exact"/>
              <w:jc w:val="both"/>
              <w:rPr>
                <w:rFonts w:hint="default" w:ascii="Times New Roman" w:hAnsi="Times New Roman" w:eastAsia="宋体" w:cs="Times New Roman"/>
                <w:color w:val="auto"/>
                <w:vertAlign w:val="baseline"/>
                <w:lang w:val="en-US" w:eastAsia="zh-CN"/>
              </w:rPr>
            </w:pPr>
          </w:p>
          <w:p>
            <w:pPr>
              <w:widowControl w:val="0"/>
              <w:spacing w:line="480" w:lineRule="exact"/>
              <w:jc w:val="center"/>
              <w:rPr>
                <w:rFonts w:hint="default" w:ascii="Times New Roman" w:hAnsi="Times New Roman" w:eastAsia="宋体" w:cs="Times New Roman"/>
                <w:color w:val="auto"/>
                <w:sz w:val="24"/>
                <w:szCs w:val="24"/>
                <w:vertAlign w:val="baseline"/>
                <w:lang w:val="en-US" w:eastAsia="zh-CN" w:bidi="ar-SA"/>
              </w:rPr>
            </w:pPr>
            <w:r>
              <w:rPr>
                <w:rFonts w:hint="default" w:ascii="Times New Roman" w:hAnsi="Times New Roman" w:eastAsia="宋体" w:cs="Times New Roman"/>
                <w:b/>
                <w:bCs/>
                <w:color w:val="auto"/>
                <w:vertAlign w:val="baseline"/>
                <w:lang w:val="en-US" w:eastAsia="zh-CN"/>
              </w:rPr>
              <w:t>马来眼子菜</w:t>
            </w:r>
          </w:p>
        </w:tc>
        <w:tc>
          <w:tcPr>
            <w:tcW w:w="4621" w:type="dxa"/>
            <w:tcBorders>
              <w:tl2br w:val="nil"/>
              <w:tr2bl w:val="nil"/>
            </w:tcBorders>
            <w:vAlign w:val="top"/>
          </w:tcPr>
          <w:p>
            <w:pPr>
              <w:widowControl w:val="0"/>
              <w:spacing w:line="480" w:lineRule="exact"/>
              <w:jc w:val="both"/>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rPr>
              <w:drawing>
                <wp:anchor distT="0" distB="0" distL="114300" distR="114300" simplePos="0" relativeHeight="251683840" behindDoc="0" locked="0" layoutInCell="1" allowOverlap="1">
                  <wp:simplePos x="0" y="0"/>
                  <wp:positionH relativeFrom="column">
                    <wp:posOffset>520700</wp:posOffset>
                  </wp:positionH>
                  <wp:positionV relativeFrom="paragraph">
                    <wp:posOffset>67310</wp:posOffset>
                  </wp:positionV>
                  <wp:extent cx="1891665" cy="1516380"/>
                  <wp:effectExtent l="0" t="0" r="13335" b="7620"/>
                  <wp:wrapNone/>
                  <wp:docPr id="6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2"/>
                          <pic:cNvPicPr>
                            <a:picLocks noChangeAspect="1"/>
                          </pic:cNvPicPr>
                        </pic:nvPicPr>
                        <pic:blipFill>
                          <a:blip r:embed="rId34"/>
                          <a:stretch>
                            <a:fillRect/>
                          </a:stretch>
                        </pic:blipFill>
                        <pic:spPr>
                          <a:xfrm>
                            <a:off x="0" y="0"/>
                            <a:ext cx="1891665" cy="1516380"/>
                          </a:xfrm>
                          <a:prstGeom prst="rect">
                            <a:avLst/>
                          </a:prstGeom>
                          <a:noFill/>
                          <a:ln>
                            <a:noFill/>
                          </a:ln>
                        </pic:spPr>
                      </pic:pic>
                    </a:graphicData>
                  </a:graphic>
                </wp:anchor>
              </w:drawing>
            </w:r>
          </w:p>
          <w:p>
            <w:pPr>
              <w:widowControl w:val="0"/>
              <w:spacing w:line="480" w:lineRule="exact"/>
              <w:jc w:val="both"/>
              <w:rPr>
                <w:rFonts w:hint="default" w:ascii="Times New Roman" w:hAnsi="Times New Roman" w:eastAsia="宋体" w:cs="Times New Roman"/>
                <w:color w:val="auto"/>
                <w:vertAlign w:val="baseline"/>
                <w:lang w:val="en-US" w:eastAsia="zh-CN"/>
              </w:rPr>
            </w:pPr>
          </w:p>
          <w:p>
            <w:pPr>
              <w:widowControl w:val="0"/>
              <w:spacing w:line="480" w:lineRule="exact"/>
              <w:jc w:val="both"/>
              <w:rPr>
                <w:rFonts w:hint="default" w:ascii="Times New Roman" w:hAnsi="Times New Roman" w:eastAsia="宋体" w:cs="Times New Roman"/>
                <w:color w:val="auto"/>
                <w:vertAlign w:val="baseline"/>
                <w:lang w:val="en-US" w:eastAsia="zh-CN"/>
              </w:rPr>
            </w:pPr>
          </w:p>
          <w:p>
            <w:pPr>
              <w:widowControl w:val="0"/>
              <w:spacing w:line="480" w:lineRule="exact"/>
              <w:jc w:val="both"/>
              <w:rPr>
                <w:rFonts w:hint="default" w:ascii="Times New Roman" w:hAnsi="Times New Roman" w:eastAsia="宋体" w:cs="Times New Roman"/>
                <w:color w:val="auto"/>
                <w:vertAlign w:val="baseline"/>
                <w:lang w:val="en-US" w:eastAsia="zh-CN"/>
              </w:rPr>
            </w:pPr>
          </w:p>
          <w:p>
            <w:pPr>
              <w:widowControl w:val="0"/>
              <w:spacing w:line="480" w:lineRule="exact"/>
              <w:jc w:val="both"/>
              <w:rPr>
                <w:rFonts w:hint="default" w:ascii="Times New Roman" w:hAnsi="Times New Roman" w:eastAsia="宋体" w:cs="Times New Roman"/>
                <w:color w:val="auto"/>
                <w:vertAlign w:val="baseline"/>
                <w:lang w:val="en-US" w:eastAsia="zh-CN"/>
              </w:rPr>
            </w:pPr>
          </w:p>
          <w:p>
            <w:pPr>
              <w:widowControl w:val="0"/>
              <w:spacing w:line="480" w:lineRule="exact"/>
              <w:jc w:val="center"/>
              <w:rPr>
                <w:rFonts w:hint="default" w:ascii="Times New Roman" w:hAnsi="Times New Roman" w:eastAsia="宋体" w:cs="Times New Roman"/>
                <w:color w:val="auto"/>
                <w:sz w:val="24"/>
                <w:szCs w:val="24"/>
                <w:vertAlign w:val="baseline"/>
                <w:lang w:val="en-US" w:eastAsia="zh-CN" w:bidi="ar-SA"/>
              </w:rPr>
            </w:pPr>
            <w:r>
              <w:rPr>
                <w:rFonts w:hint="default" w:ascii="Times New Roman" w:hAnsi="Times New Roman" w:eastAsia="宋体" w:cs="Times New Roman"/>
                <w:b/>
                <w:bCs/>
                <w:color w:val="auto"/>
                <w:vertAlign w:val="baseline"/>
                <w:lang w:val="en-US" w:eastAsia="zh-CN"/>
              </w:rPr>
              <w:t>穗花狐尾藻</w:t>
            </w:r>
          </w:p>
        </w:tc>
      </w:tr>
    </w:tbl>
    <w:p>
      <w:pPr>
        <w:spacing w:line="480" w:lineRule="exact"/>
        <w:ind w:firstLine="482" w:firstLineChars="20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图</w:t>
      </w:r>
      <w:r>
        <w:rPr>
          <w:rFonts w:hint="eastAsia" w:cs="Times New Roman"/>
          <w:b/>
          <w:bCs/>
          <w:color w:val="auto"/>
          <w:lang w:val="en-US" w:eastAsia="zh-CN"/>
        </w:rPr>
        <w:t>3.4</w:t>
      </w:r>
      <w:r>
        <w:rPr>
          <w:rFonts w:hint="default" w:ascii="Times New Roman" w:hAnsi="Times New Roman" w:eastAsia="宋体" w:cs="Times New Roman"/>
          <w:b/>
          <w:bCs/>
          <w:color w:val="auto"/>
          <w:lang w:val="en-US" w:eastAsia="zh-CN"/>
        </w:rPr>
        <w:t>-8 沉水植物</w:t>
      </w:r>
    </w:p>
    <w:p>
      <w:pPr>
        <w:spacing w:line="480" w:lineRule="exact"/>
        <w:ind w:firstLine="482" w:firstLineChars="200"/>
        <w:jc w:val="both"/>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（2）水生植物种植</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1）挺水植物</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①挺水植物种植时，植株应为全植株鲜体，根据繁殖习性选择合适的种植方法，以</w:t>
      </w:r>
    </w:p>
    <w:p>
      <w:pPr>
        <w:spacing w:line="480" w:lineRule="exact"/>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最大程度发挥其生态功能；</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②挺水植物苗种需清洗、整理、去除杂质与残、病、伤、缺植株等；</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③种植的品种和密度详见下表；</w:t>
      </w:r>
    </w:p>
    <w:p>
      <w:pPr>
        <w:spacing w:line="480" w:lineRule="exact"/>
        <w:ind w:firstLine="482" w:firstLineChars="200"/>
        <w:jc w:val="center"/>
        <w:rPr>
          <w:rFonts w:hint="default" w:ascii="Times New Roman" w:hAnsi="Times New Roman" w:eastAsia="宋体" w:cs="Times New Roman"/>
          <w:b/>
          <w:bCs/>
          <w:color w:val="auto"/>
          <w:lang w:val="en-US" w:eastAsia="zh-CN"/>
        </w:rPr>
      </w:pPr>
    </w:p>
    <w:p>
      <w:pPr>
        <w:spacing w:line="480" w:lineRule="exact"/>
        <w:ind w:firstLine="482" w:firstLineChars="200"/>
        <w:jc w:val="center"/>
        <w:rPr>
          <w:rFonts w:hint="default" w:ascii="Times New Roman" w:hAnsi="Times New Roman" w:eastAsia="宋体" w:cs="Times New Roman"/>
          <w:b/>
          <w:bCs/>
          <w:color w:val="auto"/>
          <w:lang w:val="en-US" w:eastAsia="zh-CN"/>
        </w:rPr>
      </w:pPr>
    </w:p>
    <w:p>
      <w:pPr>
        <w:spacing w:line="480" w:lineRule="exact"/>
        <w:ind w:firstLine="482" w:firstLineChars="20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w:t>
      </w:r>
      <w:r>
        <w:rPr>
          <w:rFonts w:hint="eastAsia" w:cs="Times New Roman"/>
          <w:b/>
          <w:bCs/>
          <w:color w:val="auto"/>
          <w:lang w:val="en-US" w:eastAsia="zh-CN"/>
        </w:rPr>
        <w:t>3.6-1</w:t>
      </w:r>
      <w:r>
        <w:rPr>
          <w:rFonts w:hint="default" w:ascii="Times New Roman" w:hAnsi="Times New Roman" w:eastAsia="宋体" w:cs="Times New Roman"/>
          <w:b/>
          <w:bCs/>
          <w:color w:val="auto"/>
          <w:lang w:val="en-US" w:eastAsia="zh-CN"/>
        </w:rPr>
        <w:t xml:space="preserve"> 挺水植物品种和种植密度</w:t>
      </w:r>
    </w:p>
    <w:tbl>
      <w:tblPr>
        <w:tblStyle w:val="5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16"/>
        <w:gridCol w:w="3104"/>
        <w:gridCol w:w="2310"/>
        <w:gridCol w:w="23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6" w:type="dxa"/>
            <w:tcBorders>
              <w:tl2br w:val="nil"/>
              <w:tr2bl w:val="nil"/>
            </w:tcBorders>
            <w:vAlign w:val="center"/>
          </w:tcPr>
          <w:p>
            <w:pPr>
              <w:widowControl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名称</w:t>
            </w:r>
          </w:p>
        </w:tc>
        <w:tc>
          <w:tcPr>
            <w:tcW w:w="3104" w:type="dxa"/>
            <w:tcBorders>
              <w:tl2br w:val="nil"/>
              <w:tr2bl w:val="nil"/>
            </w:tcBorders>
            <w:vAlign w:val="center"/>
          </w:tcPr>
          <w:p>
            <w:pPr>
              <w:widowControl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种植规格</w:t>
            </w:r>
          </w:p>
        </w:tc>
        <w:tc>
          <w:tcPr>
            <w:tcW w:w="2310" w:type="dxa"/>
            <w:tcBorders>
              <w:tl2br w:val="nil"/>
              <w:tr2bl w:val="nil"/>
            </w:tcBorders>
            <w:vAlign w:val="center"/>
          </w:tcPr>
          <w:p>
            <w:pPr>
              <w:widowControl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种植密度</w:t>
            </w:r>
          </w:p>
        </w:tc>
        <w:tc>
          <w:tcPr>
            <w:tcW w:w="2311" w:type="dxa"/>
            <w:tcBorders>
              <w:tl2br w:val="nil"/>
              <w:tr2bl w:val="nil"/>
            </w:tcBorders>
            <w:vAlign w:val="center"/>
          </w:tcPr>
          <w:p>
            <w:pPr>
              <w:widowControl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6"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芦苇</w:t>
            </w:r>
          </w:p>
        </w:tc>
        <w:tc>
          <w:tcPr>
            <w:tcW w:w="3104"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3~5芽/从</w:t>
            </w:r>
          </w:p>
        </w:tc>
        <w:tc>
          <w:tcPr>
            <w:tcW w:w="2310"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9从/m</w:t>
            </w:r>
            <w:r>
              <w:rPr>
                <w:rFonts w:hint="default" w:ascii="Times New Roman" w:hAnsi="Times New Roman" w:eastAsia="宋体" w:cs="Times New Roman"/>
                <w:color w:val="auto"/>
                <w:sz w:val="21"/>
                <w:szCs w:val="21"/>
                <w:vertAlign w:val="superscript"/>
                <w:lang w:val="en-US" w:eastAsia="zh-CN"/>
              </w:rPr>
              <w:t>2</w:t>
            </w:r>
          </w:p>
        </w:tc>
        <w:tc>
          <w:tcPr>
            <w:tcW w:w="2311"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H=100~150cm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6"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香蒲</w:t>
            </w:r>
          </w:p>
        </w:tc>
        <w:tc>
          <w:tcPr>
            <w:tcW w:w="3104"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3~5芽/株</w:t>
            </w:r>
          </w:p>
        </w:tc>
        <w:tc>
          <w:tcPr>
            <w:tcW w:w="2310"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25株/m</w:t>
            </w:r>
            <w:r>
              <w:rPr>
                <w:rFonts w:hint="default" w:ascii="Times New Roman" w:hAnsi="Times New Roman" w:eastAsia="宋体" w:cs="Times New Roman"/>
                <w:color w:val="auto"/>
                <w:sz w:val="21"/>
                <w:szCs w:val="21"/>
                <w:vertAlign w:val="superscript"/>
                <w:lang w:val="en-US" w:eastAsia="zh-CN"/>
              </w:rPr>
              <w:t>2</w:t>
            </w:r>
          </w:p>
        </w:tc>
        <w:tc>
          <w:tcPr>
            <w:tcW w:w="2311"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H=41~50cm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6"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再力花</w:t>
            </w:r>
          </w:p>
        </w:tc>
        <w:tc>
          <w:tcPr>
            <w:tcW w:w="3104"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3~5芽/株</w:t>
            </w:r>
          </w:p>
        </w:tc>
        <w:tc>
          <w:tcPr>
            <w:tcW w:w="2310"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25株/m</w:t>
            </w:r>
            <w:r>
              <w:rPr>
                <w:rFonts w:hint="default" w:ascii="Times New Roman" w:hAnsi="Times New Roman" w:eastAsia="宋体" w:cs="Times New Roman"/>
                <w:color w:val="auto"/>
                <w:sz w:val="21"/>
                <w:szCs w:val="21"/>
                <w:vertAlign w:val="superscript"/>
                <w:lang w:val="en-US" w:eastAsia="zh-CN"/>
              </w:rPr>
              <w:t>2</w:t>
            </w:r>
          </w:p>
        </w:tc>
        <w:tc>
          <w:tcPr>
            <w:tcW w:w="2311"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H=61~80cm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6"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美人蕉</w:t>
            </w:r>
          </w:p>
        </w:tc>
        <w:tc>
          <w:tcPr>
            <w:tcW w:w="3104"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3~5芽/株</w:t>
            </w:r>
          </w:p>
        </w:tc>
        <w:tc>
          <w:tcPr>
            <w:tcW w:w="2310"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25株/m</w:t>
            </w:r>
            <w:r>
              <w:rPr>
                <w:rFonts w:hint="default" w:ascii="Times New Roman" w:hAnsi="Times New Roman" w:eastAsia="宋体" w:cs="Times New Roman"/>
                <w:color w:val="auto"/>
                <w:sz w:val="21"/>
                <w:szCs w:val="21"/>
                <w:vertAlign w:val="superscript"/>
                <w:lang w:val="en-US" w:eastAsia="zh-CN"/>
              </w:rPr>
              <w:t>2</w:t>
            </w:r>
          </w:p>
        </w:tc>
        <w:tc>
          <w:tcPr>
            <w:tcW w:w="2311"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H=51~60cm</w:t>
            </w:r>
          </w:p>
        </w:tc>
      </w:tr>
    </w:tbl>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④挺水植物种植区≤600mm，施工时对种植区适当塑型、覆土，确保植物成活率。</w:t>
      </w:r>
    </w:p>
    <w:p>
      <w:pPr>
        <w:spacing w:line="480" w:lineRule="exact"/>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rPr>
        <w:drawing>
          <wp:anchor distT="0" distB="0" distL="114300" distR="114300" simplePos="0" relativeHeight="251684864" behindDoc="0" locked="0" layoutInCell="1" allowOverlap="1">
            <wp:simplePos x="0" y="0"/>
            <wp:positionH relativeFrom="column">
              <wp:posOffset>1871980</wp:posOffset>
            </wp:positionH>
            <wp:positionV relativeFrom="paragraph">
              <wp:posOffset>33655</wp:posOffset>
            </wp:positionV>
            <wp:extent cx="2397760" cy="2314575"/>
            <wp:effectExtent l="0" t="0" r="2540" b="9525"/>
            <wp:wrapNone/>
            <wp:docPr id="6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3"/>
                    <pic:cNvPicPr>
                      <a:picLocks noChangeAspect="1"/>
                    </pic:cNvPicPr>
                  </pic:nvPicPr>
                  <pic:blipFill>
                    <a:blip r:embed="rId35"/>
                    <a:stretch>
                      <a:fillRect/>
                    </a:stretch>
                  </pic:blipFill>
                  <pic:spPr>
                    <a:xfrm>
                      <a:off x="0" y="0"/>
                      <a:ext cx="2397760" cy="2314575"/>
                    </a:xfrm>
                    <a:prstGeom prst="rect">
                      <a:avLst/>
                    </a:prstGeom>
                    <a:noFill/>
                    <a:ln>
                      <a:noFill/>
                    </a:ln>
                  </pic:spPr>
                </pic:pic>
              </a:graphicData>
            </a:graphic>
          </wp:anchor>
        </w:drawing>
      </w: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2" w:firstLineChars="200"/>
        <w:jc w:val="center"/>
        <w:rPr>
          <w:rFonts w:hint="default" w:ascii="Times New Roman" w:hAnsi="Times New Roman" w:eastAsia="宋体" w:cs="Times New Roman"/>
          <w:b/>
          <w:bCs/>
          <w:color w:val="auto"/>
          <w:lang w:val="en-US" w:eastAsia="zh-CN"/>
        </w:rPr>
      </w:pPr>
    </w:p>
    <w:p>
      <w:pPr>
        <w:spacing w:line="480" w:lineRule="exact"/>
        <w:ind w:firstLine="482" w:firstLineChars="20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图</w:t>
      </w:r>
      <w:r>
        <w:rPr>
          <w:rFonts w:hint="eastAsia" w:cs="Times New Roman"/>
          <w:b/>
          <w:bCs/>
          <w:color w:val="auto"/>
          <w:lang w:val="en-US" w:eastAsia="zh-CN"/>
        </w:rPr>
        <w:t>3.4-9</w:t>
      </w:r>
      <w:r>
        <w:rPr>
          <w:rFonts w:hint="default" w:ascii="Times New Roman" w:hAnsi="Times New Roman" w:eastAsia="宋体" w:cs="Times New Roman"/>
          <w:b/>
          <w:bCs/>
          <w:color w:val="auto"/>
          <w:lang w:val="en-US" w:eastAsia="zh-CN"/>
        </w:rPr>
        <w:t xml:space="preserve"> 挺水植物种植示意图</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2）浮叶植物</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浮叶植物为睡莲（白、黄、红、粉4 种花色），用盆栽型式，种植范围在水深1.2-1.5m，规格：5 株/盆，种植密度：1 盆/m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w:t>
      </w:r>
    </w:p>
    <w:p>
      <w:pPr>
        <w:pStyle w:val="2"/>
        <w:rPr>
          <w:rFonts w:hint="default" w:ascii="Times New Roman" w:hAnsi="Times New Roman" w:eastAsia="宋体" w:cs="Times New Roman"/>
          <w:color w:val="auto"/>
          <w:lang w:val="en-US" w:eastAsia="zh-CN"/>
        </w:rPr>
      </w:pPr>
      <w:r>
        <w:rPr>
          <w:rFonts w:hint="default" w:ascii="Times New Roman" w:hAnsi="Times New Roman" w:eastAsia="宋体" w:cs="Times New Roman"/>
        </w:rPr>
        <w:drawing>
          <wp:anchor distT="0" distB="0" distL="114300" distR="114300" simplePos="0" relativeHeight="251685888" behindDoc="0" locked="0" layoutInCell="1" allowOverlap="1">
            <wp:simplePos x="0" y="0"/>
            <wp:positionH relativeFrom="column">
              <wp:posOffset>1278255</wp:posOffset>
            </wp:positionH>
            <wp:positionV relativeFrom="paragraph">
              <wp:posOffset>29845</wp:posOffset>
            </wp:positionV>
            <wp:extent cx="3202940" cy="2296160"/>
            <wp:effectExtent l="0" t="0" r="16510" b="8890"/>
            <wp:wrapNone/>
            <wp:docPr id="6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4"/>
                    <pic:cNvPicPr>
                      <a:picLocks noChangeAspect="1"/>
                    </pic:cNvPicPr>
                  </pic:nvPicPr>
                  <pic:blipFill>
                    <a:blip r:embed="rId36"/>
                    <a:srcRect t="6343" b="2726"/>
                    <a:stretch>
                      <a:fillRect/>
                    </a:stretch>
                  </pic:blipFill>
                  <pic:spPr>
                    <a:xfrm>
                      <a:off x="0" y="0"/>
                      <a:ext cx="3202940" cy="2296160"/>
                    </a:xfrm>
                    <a:prstGeom prst="rect">
                      <a:avLst/>
                    </a:prstGeom>
                    <a:noFill/>
                    <a:ln>
                      <a:noFill/>
                    </a:ln>
                  </pic:spPr>
                </pic:pic>
              </a:graphicData>
            </a:graphic>
          </wp:anchor>
        </w:drawing>
      </w:r>
    </w:p>
    <w:p>
      <w:pPr>
        <w:pStyle w:val="2"/>
        <w:rPr>
          <w:rFonts w:hint="default" w:ascii="Times New Roman" w:hAnsi="Times New Roman" w:eastAsia="宋体" w:cs="Times New Roman"/>
          <w:color w:val="auto"/>
          <w:lang w:val="en-US" w:eastAsia="zh-CN"/>
        </w:rPr>
      </w:pPr>
    </w:p>
    <w:p>
      <w:pPr>
        <w:pStyle w:val="2"/>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2" w:firstLineChars="200"/>
        <w:jc w:val="center"/>
        <w:rPr>
          <w:rFonts w:hint="default" w:ascii="Times New Roman" w:hAnsi="Times New Roman" w:eastAsia="宋体" w:cs="Times New Roman"/>
          <w:b/>
          <w:bCs/>
          <w:color w:val="auto"/>
          <w:lang w:val="en-US" w:eastAsia="zh-CN"/>
        </w:rPr>
      </w:pPr>
    </w:p>
    <w:p>
      <w:pPr>
        <w:spacing w:line="480" w:lineRule="exact"/>
        <w:ind w:firstLine="482" w:firstLineChars="20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图</w:t>
      </w:r>
      <w:r>
        <w:rPr>
          <w:rFonts w:hint="eastAsia" w:cs="Times New Roman"/>
          <w:b/>
          <w:bCs/>
          <w:color w:val="auto"/>
          <w:lang w:val="en-US" w:eastAsia="zh-CN"/>
        </w:rPr>
        <w:t>3.4-10</w:t>
      </w:r>
      <w:r>
        <w:rPr>
          <w:rFonts w:hint="default" w:ascii="Times New Roman" w:hAnsi="Times New Roman" w:eastAsia="宋体" w:cs="Times New Roman"/>
          <w:b/>
          <w:bCs/>
          <w:color w:val="auto"/>
          <w:lang w:val="en-US" w:eastAsia="zh-CN"/>
        </w:rPr>
        <w:t xml:space="preserve"> 浮叶植物种植示意图</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3）沉水植物</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①沉水植物种植苗种基本为全植株鲜体和营养体，根据其繁殖习性选择合适的种植方法，以最大程度发挥其生态功能，除冬季外其他沉水植物应尽量选择早春种植；</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②苗种需要清洗、整理、去除杂质与残、病、伤、缺植株等，确保沉水植株及营养体健壮、鲜活、无附着物；</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③在种植前需选定暂养水域，暂养水域的选定应该紧靠施工便道，暂养时间不得大于7 天，暂养密度不得＞10kg/m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④沉水植物种植区域需满足水体透明度/水深＞2/5；</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⑤由于沉水植物不易成活的特性，施工方栽植前后需要根据水质、底质及水生生物监测结果评测、分析，以调整施工方法与工序；</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⑥本工程设计的水生植物是按照最佳施工季节配置，沉水植物品种随着工程项目的开工季节不同可以做适当的调整变更；</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⑦种植的品种和密度详见下表；</w:t>
      </w:r>
    </w:p>
    <w:p>
      <w:pPr>
        <w:spacing w:line="480" w:lineRule="exact"/>
        <w:ind w:firstLine="482" w:firstLineChars="20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w:t>
      </w:r>
      <w:r>
        <w:rPr>
          <w:rFonts w:hint="eastAsia" w:cs="Times New Roman"/>
          <w:b/>
          <w:bCs/>
          <w:color w:val="auto"/>
          <w:lang w:val="en-US" w:eastAsia="zh-CN"/>
        </w:rPr>
        <w:t>3.4-2</w:t>
      </w:r>
      <w:r>
        <w:rPr>
          <w:rFonts w:hint="default" w:ascii="Times New Roman" w:hAnsi="Times New Roman" w:eastAsia="宋体" w:cs="Times New Roman"/>
          <w:b/>
          <w:bCs/>
          <w:color w:val="auto"/>
          <w:lang w:val="en-US" w:eastAsia="zh-CN"/>
        </w:rPr>
        <w:t xml:space="preserve"> 沉水植物品种和种植密度</w:t>
      </w:r>
    </w:p>
    <w:tbl>
      <w:tblPr>
        <w:tblStyle w:val="5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96"/>
        <w:gridCol w:w="2475"/>
        <w:gridCol w:w="2745"/>
        <w:gridCol w:w="17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6" w:type="dxa"/>
            <w:tcBorders>
              <w:tl2br w:val="nil"/>
              <w:tr2bl w:val="nil"/>
            </w:tcBorders>
            <w:vAlign w:val="center"/>
          </w:tcPr>
          <w:p>
            <w:pPr>
              <w:widowControl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名称</w:t>
            </w:r>
          </w:p>
        </w:tc>
        <w:tc>
          <w:tcPr>
            <w:tcW w:w="2475" w:type="dxa"/>
            <w:tcBorders>
              <w:tl2br w:val="nil"/>
              <w:tr2bl w:val="nil"/>
            </w:tcBorders>
            <w:vAlign w:val="center"/>
          </w:tcPr>
          <w:p>
            <w:pPr>
              <w:widowControl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种植规格</w:t>
            </w:r>
          </w:p>
        </w:tc>
        <w:tc>
          <w:tcPr>
            <w:tcW w:w="2745" w:type="dxa"/>
            <w:tcBorders>
              <w:tl2br w:val="nil"/>
              <w:tr2bl w:val="nil"/>
            </w:tcBorders>
            <w:vAlign w:val="center"/>
          </w:tcPr>
          <w:p>
            <w:pPr>
              <w:widowControl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种植密度</w:t>
            </w:r>
          </w:p>
        </w:tc>
        <w:tc>
          <w:tcPr>
            <w:tcW w:w="1725" w:type="dxa"/>
            <w:tcBorders>
              <w:tl2br w:val="nil"/>
              <w:tr2bl w:val="nil"/>
            </w:tcBorders>
            <w:vAlign w:val="center"/>
          </w:tcPr>
          <w:p>
            <w:pPr>
              <w:widowControl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6"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穗花狐尾藻</w:t>
            </w:r>
          </w:p>
        </w:tc>
        <w:tc>
          <w:tcPr>
            <w:tcW w:w="247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10芽/从</w:t>
            </w:r>
          </w:p>
        </w:tc>
        <w:tc>
          <w:tcPr>
            <w:tcW w:w="274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20从/m</w:t>
            </w:r>
            <w:r>
              <w:rPr>
                <w:rFonts w:hint="default" w:ascii="Times New Roman" w:hAnsi="Times New Roman" w:eastAsia="宋体" w:cs="Times New Roman"/>
                <w:color w:val="auto"/>
                <w:sz w:val="21"/>
                <w:szCs w:val="21"/>
                <w:vertAlign w:val="superscript"/>
                <w:lang w:val="en-US" w:eastAsia="zh-CN"/>
              </w:rPr>
              <w:t>2</w:t>
            </w:r>
          </w:p>
        </w:tc>
        <w:tc>
          <w:tcPr>
            <w:tcW w:w="172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6"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轮叶黑藻</w:t>
            </w:r>
          </w:p>
        </w:tc>
        <w:tc>
          <w:tcPr>
            <w:tcW w:w="247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10芽/从</w:t>
            </w:r>
          </w:p>
        </w:tc>
        <w:tc>
          <w:tcPr>
            <w:tcW w:w="274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20从/m</w:t>
            </w:r>
            <w:r>
              <w:rPr>
                <w:rFonts w:hint="default" w:ascii="Times New Roman" w:hAnsi="Times New Roman" w:eastAsia="宋体" w:cs="Times New Roman"/>
                <w:color w:val="auto"/>
                <w:sz w:val="21"/>
                <w:szCs w:val="21"/>
                <w:vertAlign w:val="superscript"/>
                <w:lang w:val="en-US" w:eastAsia="zh-CN"/>
              </w:rPr>
              <w:t>2</w:t>
            </w:r>
          </w:p>
        </w:tc>
        <w:tc>
          <w:tcPr>
            <w:tcW w:w="172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6"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伊乐藻</w:t>
            </w:r>
          </w:p>
        </w:tc>
        <w:tc>
          <w:tcPr>
            <w:tcW w:w="247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10芽/从</w:t>
            </w:r>
          </w:p>
        </w:tc>
        <w:tc>
          <w:tcPr>
            <w:tcW w:w="274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20从/m</w:t>
            </w:r>
            <w:r>
              <w:rPr>
                <w:rFonts w:hint="default" w:ascii="Times New Roman" w:hAnsi="Times New Roman" w:eastAsia="宋体" w:cs="Times New Roman"/>
                <w:color w:val="auto"/>
                <w:sz w:val="21"/>
                <w:szCs w:val="21"/>
                <w:vertAlign w:val="superscript"/>
                <w:lang w:val="en-US" w:eastAsia="zh-CN"/>
              </w:rPr>
              <w:t>2</w:t>
            </w:r>
          </w:p>
        </w:tc>
        <w:tc>
          <w:tcPr>
            <w:tcW w:w="172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6"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密刺苦草</w:t>
            </w:r>
          </w:p>
        </w:tc>
        <w:tc>
          <w:tcPr>
            <w:tcW w:w="247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10芽/从</w:t>
            </w:r>
          </w:p>
        </w:tc>
        <w:tc>
          <w:tcPr>
            <w:tcW w:w="274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20从/m</w:t>
            </w:r>
            <w:r>
              <w:rPr>
                <w:rFonts w:hint="default" w:ascii="Times New Roman" w:hAnsi="Times New Roman" w:eastAsia="宋体" w:cs="Times New Roman"/>
                <w:color w:val="auto"/>
                <w:sz w:val="21"/>
                <w:szCs w:val="21"/>
                <w:vertAlign w:val="superscript"/>
                <w:lang w:val="en-US" w:eastAsia="zh-CN"/>
              </w:rPr>
              <w:t>2</w:t>
            </w:r>
          </w:p>
        </w:tc>
        <w:tc>
          <w:tcPr>
            <w:tcW w:w="172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6"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马来眼子菜</w:t>
            </w:r>
          </w:p>
        </w:tc>
        <w:tc>
          <w:tcPr>
            <w:tcW w:w="247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10芽/从</w:t>
            </w:r>
          </w:p>
        </w:tc>
        <w:tc>
          <w:tcPr>
            <w:tcW w:w="274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20从/m</w:t>
            </w:r>
            <w:r>
              <w:rPr>
                <w:rFonts w:hint="default" w:ascii="Times New Roman" w:hAnsi="Times New Roman" w:eastAsia="宋体" w:cs="Times New Roman"/>
                <w:color w:val="auto"/>
                <w:sz w:val="21"/>
                <w:szCs w:val="21"/>
                <w:vertAlign w:val="superscript"/>
                <w:lang w:val="en-US" w:eastAsia="zh-CN"/>
              </w:rPr>
              <w:t>2</w:t>
            </w:r>
          </w:p>
        </w:tc>
        <w:tc>
          <w:tcPr>
            <w:tcW w:w="172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6"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微齿眼子菜</w:t>
            </w:r>
          </w:p>
        </w:tc>
        <w:tc>
          <w:tcPr>
            <w:tcW w:w="247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10芽/从</w:t>
            </w:r>
          </w:p>
        </w:tc>
        <w:tc>
          <w:tcPr>
            <w:tcW w:w="274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20从/m</w:t>
            </w:r>
            <w:r>
              <w:rPr>
                <w:rFonts w:hint="default" w:ascii="Times New Roman" w:hAnsi="Times New Roman" w:eastAsia="宋体" w:cs="Times New Roman"/>
                <w:color w:val="auto"/>
                <w:sz w:val="21"/>
                <w:szCs w:val="21"/>
                <w:vertAlign w:val="superscript"/>
                <w:lang w:val="en-US" w:eastAsia="zh-CN"/>
              </w:rPr>
              <w:t>2</w:t>
            </w:r>
          </w:p>
        </w:tc>
        <w:tc>
          <w:tcPr>
            <w:tcW w:w="172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bl>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⑧沉水植物种植区深度＜1.5m，种植方法采用直插法或抛掷法。</w:t>
      </w:r>
    </w:p>
    <w:p>
      <w:pPr>
        <w:spacing w:line="480" w:lineRule="exact"/>
        <w:ind w:firstLine="480" w:firstLineChars="200"/>
        <w:jc w:val="both"/>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2" w:firstLineChars="200"/>
        <w:jc w:val="center"/>
        <w:rPr>
          <w:rFonts w:hint="default" w:ascii="Times New Roman" w:hAnsi="Times New Roman" w:eastAsia="宋体" w:cs="Times New Roman"/>
          <w:b/>
          <w:bCs/>
          <w:color w:val="auto"/>
          <w:lang w:val="en-US" w:eastAsia="zh-CN"/>
        </w:rPr>
      </w:pPr>
    </w:p>
    <w:p>
      <w:pPr>
        <w:spacing w:line="480" w:lineRule="exact"/>
        <w:ind w:firstLine="480" w:firstLineChars="20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rPr>
        <w:drawing>
          <wp:anchor distT="0" distB="0" distL="114300" distR="114300" simplePos="0" relativeHeight="251686912" behindDoc="0" locked="0" layoutInCell="1" allowOverlap="1">
            <wp:simplePos x="0" y="0"/>
            <wp:positionH relativeFrom="column">
              <wp:posOffset>1496060</wp:posOffset>
            </wp:positionH>
            <wp:positionV relativeFrom="paragraph">
              <wp:posOffset>-58420</wp:posOffset>
            </wp:positionV>
            <wp:extent cx="2872105" cy="2141855"/>
            <wp:effectExtent l="0" t="0" r="4445" b="10795"/>
            <wp:wrapNone/>
            <wp:docPr id="6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5"/>
                    <pic:cNvPicPr>
                      <a:picLocks noChangeAspect="1"/>
                    </pic:cNvPicPr>
                  </pic:nvPicPr>
                  <pic:blipFill>
                    <a:blip r:embed="rId37"/>
                    <a:stretch>
                      <a:fillRect/>
                    </a:stretch>
                  </pic:blipFill>
                  <pic:spPr>
                    <a:xfrm>
                      <a:off x="0" y="0"/>
                      <a:ext cx="2872105" cy="2141855"/>
                    </a:xfrm>
                    <a:prstGeom prst="rect">
                      <a:avLst/>
                    </a:prstGeom>
                    <a:noFill/>
                    <a:ln>
                      <a:noFill/>
                    </a:ln>
                  </pic:spPr>
                </pic:pic>
              </a:graphicData>
            </a:graphic>
          </wp:anchor>
        </w:drawing>
      </w:r>
    </w:p>
    <w:p>
      <w:pPr>
        <w:spacing w:line="480" w:lineRule="exact"/>
        <w:ind w:firstLine="482" w:firstLineChars="200"/>
        <w:jc w:val="center"/>
        <w:rPr>
          <w:rFonts w:hint="default" w:ascii="Times New Roman" w:hAnsi="Times New Roman" w:eastAsia="宋体" w:cs="Times New Roman"/>
          <w:b/>
          <w:bCs/>
          <w:color w:val="auto"/>
          <w:lang w:val="en-US" w:eastAsia="zh-CN"/>
        </w:rPr>
      </w:pPr>
    </w:p>
    <w:p>
      <w:pPr>
        <w:spacing w:line="480" w:lineRule="exact"/>
        <w:ind w:firstLine="482" w:firstLineChars="200"/>
        <w:jc w:val="center"/>
        <w:rPr>
          <w:rFonts w:hint="default" w:ascii="Times New Roman" w:hAnsi="Times New Roman" w:eastAsia="宋体" w:cs="Times New Roman"/>
          <w:b/>
          <w:bCs/>
          <w:color w:val="auto"/>
          <w:lang w:val="en-US" w:eastAsia="zh-CN"/>
        </w:rPr>
      </w:pPr>
    </w:p>
    <w:p>
      <w:pPr>
        <w:spacing w:line="480" w:lineRule="exact"/>
        <w:ind w:firstLine="482" w:firstLineChars="200"/>
        <w:jc w:val="center"/>
        <w:rPr>
          <w:rFonts w:hint="default" w:ascii="Times New Roman" w:hAnsi="Times New Roman" w:eastAsia="宋体" w:cs="Times New Roman"/>
          <w:b/>
          <w:bCs/>
          <w:color w:val="auto"/>
          <w:lang w:val="en-US" w:eastAsia="zh-CN"/>
        </w:rPr>
      </w:pPr>
    </w:p>
    <w:p>
      <w:pPr>
        <w:spacing w:line="480" w:lineRule="exact"/>
        <w:ind w:firstLine="482" w:firstLineChars="200"/>
        <w:jc w:val="center"/>
        <w:rPr>
          <w:rFonts w:hint="default" w:ascii="Times New Roman" w:hAnsi="Times New Roman" w:eastAsia="宋体" w:cs="Times New Roman"/>
          <w:b/>
          <w:bCs/>
          <w:color w:val="auto"/>
          <w:lang w:val="en-US" w:eastAsia="zh-CN"/>
        </w:rPr>
      </w:pPr>
    </w:p>
    <w:p>
      <w:pPr>
        <w:spacing w:line="480" w:lineRule="exact"/>
        <w:ind w:firstLine="482" w:firstLineChars="200"/>
        <w:jc w:val="center"/>
        <w:rPr>
          <w:rFonts w:hint="default" w:ascii="Times New Roman" w:hAnsi="Times New Roman" w:eastAsia="宋体" w:cs="Times New Roman"/>
          <w:b/>
          <w:bCs/>
          <w:color w:val="auto"/>
          <w:lang w:val="en-US" w:eastAsia="zh-CN"/>
        </w:rPr>
      </w:pPr>
    </w:p>
    <w:p>
      <w:pPr>
        <w:spacing w:line="480" w:lineRule="exact"/>
        <w:ind w:firstLine="482" w:firstLineChars="200"/>
        <w:jc w:val="center"/>
        <w:rPr>
          <w:rFonts w:hint="default" w:ascii="Times New Roman" w:hAnsi="Times New Roman" w:eastAsia="宋体" w:cs="Times New Roman"/>
          <w:b/>
          <w:bCs/>
          <w:color w:val="auto"/>
          <w:lang w:val="en-US" w:eastAsia="zh-CN"/>
        </w:rPr>
      </w:pPr>
    </w:p>
    <w:p>
      <w:pPr>
        <w:spacing w:line="480" w:lineRule="exact"/>
        <w:ind w:firstLine="482" w:firstLineChars="20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图</w:t>
      </w:r>
      <w:r>
        <w:rPr>
          <w:rFonts w:hint="eastAsia" w:cs="Times New Roman"/>
          <w:b/>
          <w:bCs/>
          <w:color w:val="auto"/>
          <w:lang w:val="en-US" w:eastAsia="zh-CN"/>
        </w:rPr>
        <w:t>3.4-11</w:t>
      </w:r>
      <w:r>
        <w:rPr>
          <w:rFonts w:hint="default" w:ascii="Times New Roman" w:hAnsi="Times New Roman" w:eastAsia="宋体" w:cs="Times New Roman"/>
          <w:b/>
          <w:bCs/>
          <w:color w:val="auto"/>
          <w:lang w:val="en-US" w:eastAsia="zh-CN"/>
        </w:rPr>
        <w:t xml:space="preserve"> 沉水植物种植示意图</w:t>
      </w:r>
    </w:p>
    <w:p>
      <w:pPr>
        <w:numPr>
          <w:ilvl w:val="0"/>
          <w:numId w:val="0"/>
        </w:numPr>
        <w:spacing w:line="480" w:lineRule="exact"/>
        <w:ind w:left="480" w:leftChars="0"/>
        <w:jc w:val="both"/>
        <w:rPr>
          <w:rFonts w:hint="default" w:ascii="Times New Roman" w:hAnsi="Times New Roman" w:eastAsia="宋体" w:cs="Times New Roman"/>
          <w:b/>
          <w:bCs/>
          <w:color w:val="auto"/>
          <w:lang w:val="en-US" w:eastAsia="zh-CN"/>
        </w:rPr>
      </w:pPr>
      <w:r>
        <w:rPr>
          <w:rFonts w:hint="eastAsia" w:cs="Times New Roman"/>
          <w:b/>
          <w:bCs/>
          <w:color w:val="auto"/>
          <w:lang w:val="en-US" w:eastAsia="zh-CN"/>
        </w:rPr>
        <w:t>3</w:t>
      </w:r>
      <w:r>
        <w:rPr>
          <w:rFonts w:hint="default" w:ascii="Times New Roman" w:hAnsi="Times New Roman" w:eastAsia="宋体" w:cs="Times New Roman"/>
          <w:b/>
          <w:bCs/>
          <w:color w:val="auto"/>
          <w:lang w:val="en-US" w:eastAsia="zh-CN"/>
        </w:rPr>
        <w:t>、水生动物群落优化</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经调查，水源地有蓝藻滋生现象，夏季蓝藻水华时有发生，仍存在</w:t>
      </w:r>
      <w:r>
        <w:rPr>
          <w:rFonts w:hint="eastAsia" w:cs="Times New Roman"/>
          <w:color w:val="auto"/>
          <w:lang w:val="en-US" w:eastAsia="zh-CN"/>
        </w:rPr>
        <w:t>“</w:t>
      </w:r>
      <w:r>
        <w:rPr>
          <w:rFonts w:hint="default" w:ascii="Times New Roman" w:hAnsi="Times New Roman" w:eastAsia="宋体" w:cs="Times New Roman"/>
          <w:color w:val="auto"/>
          <w:lang w:val="en-US" w:eastAsia="zh-CN"/>
        </w:rPr>
        <w:t>湖泛</w:t>
      </w:r>
      <w:r>
        <w:rPr>
          <w:rFonts w:hint="eastAsia" w:cs="Times New Roman"/>
          <w:color w:val="auto"/>
          <w:lang w:val="en-US" w:eastAsia="zh-CN"/>
        </w:rPr>
        <w:t>”</w:t>
      </w:r>
      <w:r>
        <w:rPr>
          <w:rFonts w:hint="default" w:ascii="Times New Roman" w:hAnsi="Times New Roman" w:eastAsia="宋体" w:cs="Times New Roman"/>
          <w:color w:val="auto"/>
          <w:lang w:val="en-US" w:eastAsia="zh-CN"/>
        </w:rPr>
        <w:t>型供水危机的潜在危险。本项目采用鱼贝螺控藻系统进行处理，通过鱼类、贝螺类水生动物的滤食作用，对蓝藻进行处理，环保无污染，对水源地供水安全无影响。本工程鱼类选择白鲢，设计投放223kg；贝类选择环棱螺和三角蚌，其中环棱螺设计投放36372kg，三角蚌设计投放29098kg。</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（1）</w:t>
      </w:r>
      <w:r>
        <w:rPr>
          <w:rFonts w:hint="default" w:ascii="Times New Roman" w:hAnsi="Times New Roman" w:eastAsia="宋体" w:cs="Times New Roman"/>
          <w:color w:val="auto"/>
          <w:lang w:val="en-US" w:eastAsia="zh-CN"/>
        </w:rPr>
        <w:t>白鲢</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白鲢栖息于水体的上层。性活泼，善跳跃。以浮游植物为主食，但是鱼苗阶段仍以浮游动物为食，是一种典型的浮游生物食性的鱼类。仔鱼以浮游动物，如轮虫和枝角类、桡足类的无节幼体为食。稚鱼期以后鲢主要以滤食浮游植物（藻类）为生，兼食浮游动物、腐屑和细菌聚合体等。喜在静水水体肥育，冬季回到干流河床或在湖泊深处越冬。</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（2）</w:t>
      </w:r>
      <w:r>
        <w:rPr>
          <w:rFonts w:hint="default" w:ascii="Times New Roman" w:hAnsi="Times New Roman" w:eastAsia="宋体" w:cs="Times New Roman"/>
          <w:color w:val="auto"/>
          <w:lang w:val="en-US" w:eastAsia="zh-CN"/>
        </w:rPr>
        <w:t>环棱螺</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环棱螺体型大，身体分为头部、足部、内脏囊、外套膜和贝壳五个部分。为淡水群栖螺类，喜松软底质、饵料丰富、水质清鲜的水域食性杂，以水生植物嫩茎叶、细菌和有机碎屑等为食，夜间活动和摄食。具有耐旱、耐寒、耐氧能力。</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（3）</w:t>
      </w:r>
      <w:r>
        <w:rPr>
          <w:rFonts w:hint="default" w:ascii="Times New Roman" w:hAnsi="Times New Roman" w:eastAsia="宋体" w:cs="Times New Roman"/>
          <w:color w:val="auto"/>
          <w:lang w:val="en-US" w:eastAsia="zh-CN"/>
        </w:rPr>
        <w:t>三角蚌</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栖息于浅滩泥质底或浅水层中，其食性主要以小型浮游生物为主，也滤食细小的动植物碎屑。</w:t>
      </w:r>
    </w:p>
    <w:p>
      <w:pPr>
        <w:spacing w:line="480" w:lineRule="exact"/>
        <w:ind w:firstLine="482" w:firstLineChars="200"/>
        <w:jc w:val="both"/>
        <w:rPr>
          <w:rFonts w:hint="default" w:ascii="Times New Roman" w:hAnsi="Times New Roman" w:eastAsia="宋体" w:cs="Times New Roman"/>
          <w:b/>
          <w:bCs/>
          <w:color w:val="auto"/>
          <w:lang w:val="en-US" w:eastAsia="zh-CN"/>
        </w:rPr>
      </w:pPr>
      <w:r>
        <w:rPr>
          <w:rFonts w:hint="eastAsia" w:cs="Times New Roman"/>
          <w:b/>
          <w:bCs/>
          <w:color w:val="auto"/>
          <w:lang w:val="en-US" w:eastAsia="zh-CN"/>
        </w:rPr>
        <w:t>鱼贝螺控藻原理：</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大量研究表明，</w:t>
      </w:r>
      <w:r>
        <w:rPr>
          <w:rFonts w:hint="default" w:ascii="Times New Roman" w:hAnsi="Times New Roman" w:eastAsia="宋体" w:cs="Times New Roman"/>
          <w:color w:val="auto"/>
          <w:lang w:val="en-US" w:eastAsia="zh-CN"/>
        </w:rPr>
        <w:t>鲢</w:t>
      </w:r>
      <w:r>
        <w:rPr>
          <w:rFonts w:hint="eastAsia" w:cs="Times New Roman"/>
          <w:color w:val="auto"/>
          <w:lang w:val="en-US" w:eastAsia="zh-CN"/>
        </w:rPr>
        <w:t>鱼放养会导致藻类小型化，而藻类小型化，恰恰有利于浮游动物的摄食。通常小型浮游植物，特别是硅藻类，其分布水层较深。同时</w:t>
      </w:r>
      <w:r>
        <w:rPr>
          <w:rFonts w:hint="default" w:ascii="Times New Roman" w:hAnsi="Times New Roman" w:eastAsia="宋体" w:cs="Times New Roman"/>
          <w:color w:val="auto"/>
          <w:lang w:val="en-US" w:eastAsia="zh-CN"/>
        </w:rPr>
        <w:t>鲢</w:t>
      </w:r>
      <w:r>
        <w:rPr>
          <w:rFonts w:hint="eastAsia" w:cs="Times New Roman"/>
          <w:color w:val="auto"/>
          <w:lang w:val="en-US" w:eastAsia="zh-CN"/>
        </w:rPr>
        <w:t>鱼粪便等形成的有机碎屑，也会在沉降至中下水层时而成为其食物资源。因此在自然湖库生态系统中，一方面，</w:t>
      </w:r>
      <w:r>
        <w:rPr>
          <w:rFonts w:hint="default" w:ascii="Times New Roman" w:hAnsi="Times New Roman" w:eastAsia="宋体" w:cs="Times New Roman"/>
          <w:color w:val="auto"/>
          <w:lang w:val="en-US" w:eastAsia="zh-CN"/>
        </w:rPr>
        <w:t>鲢</w:t>
      </w:r>
      <w:r>
        <w:rPr>
          <w:rFonts w:hint="eastAsia" w:cs="Times New Roman"/>
          <w:color w:val="auto"/>
          <w:lang w:val="en-US" w:eastAsia="zh-CN"/>
        </w:rPr>
        <w:t>鱼摄食大型浮游植物后，使水体中的营养物更有利于为大量小型或超微浮游植物利用，从而为浮游动物提供了更多的食物，同时</w:t>
      </w:r>
      <w:r>
        <w:rPr>
          <w:rFonts w:hint="default" w:ascii="Times New Roman" w:hAnsi="Times New Roman" w:eastAsia="宋体" w:cs="Times New Roman"/>
          <w:color w:val="auto"/>
          <w:lang w:val="en-US" w:eastAsia="zh-CN"/>
        </w:rPr>
        <w:t>鲢</w:t>
      </w:r>
      <w:r>
        <w:rPr>
          <w:rFonts w:hint="eastAsia" w:cs="Times New Roman"/>
          <w:color w:val="auto"/>
          <w:lang w:val="en-US" w:eastAsia="zh-CN"/>
        </w:rPr>
        <w:t>鱼摄食形成大量的有机碎屑，其在沉降过程中也会为分布于深水层的浮游动物提供食物；这些因素都会促进浮游动物数量的增长。另一方面，尽管</w:t>
      </w:r>
      <w:r>
        <w:rPr>
          <w:rFonts w:hint="default" w:ascii="Times New Roman" w:hAnsi="Times New Roman" w:eastAsia="宋体" w:cs="Times New Roman"/>
          <w:color w:val="auto"/>
          <w:lang w:val="en-US" w:eastAsia="zh-CN"/>
        </w:rPr>
        <w:t>鲢</w:t>
      </w:r>
      <w:r>
        <w:rPr>
          <w:rFonts w:hint="eastAsia" w:cs="Times New Roman"/>
          <w:color w:val="auto"/>
          <w:lang w:val="en-US" w:eastAsia="zh-CN"/>
        </w:rPr>
        <w:t>鱼会牧食掉水体中的部分浮游动物，但在这些大中型的自然湖库生态系统中，</w:t>
      </w:r>
      <w:r>
        <w:rPr>
          <w:rFonts w:hint="default" w:ascii="Times New Roman" w:hAnsi="Times New Roman" w:eastAsia="宋体" w:cs="Times New Roman"/>
          <w:color w:val="auto"/>
          <w:lang w:val="en-US" w:eastAsia="zh-CN"/>
        </w:rPr>
        <w:t>鲢</w:t>
      </w:r>
      <w:r>
        <w:rPr>
          <w:rFonts w:hint="eastAsia" w:cs="Times New Roman"/>
          <w:color w:val="auto"/>
          <w:lang w:val="en-US" w:eastAsia="zh-CN"/>
        </w:rPr>
        <w:t>鱼与浮游动物均能有各自的生态位，当</w:t>
      </w:r>
      <w:r>
        <w:rPr>
          <w:rFonts w:hint="default" w:ascii="Times New Roman" w:hAnsi="Times New Roman" w:eastAsia="宋体" w:cs="Times New Roman"/>
          <w:color w:val="auto"/>
          <w:lang w:val="en-US" w:eastAsia="zh-CN"/>
        </w:rPr>
        <w:t>鲢</w:t>
      </w:r>
      <w:r>
        <w:rPr>
          <w:rFonts w:hint="eastAsia" w:cs="Times New Roman"/>
          <w:color w:val="auto"/>
          <w:lang w:val="en-US" w:eastAsia="zh-CN"/>
        </w:rPr>
        <w:t>鱼在某个局部水域进行觅食时，其他水域的浮游动物就得到了繁衍生息，因此</w:t>
      </w:r>
      <w:r>
        <w:rPr>
          <w:rFonts w:hint="default" w:ascii="Times New Roman" w:hAnsi="Times New Roman" w:eastAsia="宋体" w:cs="Times New Roman"/>
          <w:color w:val="auto"/>
          <w:lang w:val="en-US" w:eastAsia="zh-CN"/>
        </w:rPr>
        <w:t>鲢</w:t>
      </w:r>
      <w:r>
        <w:rPr>
          <w:rFonts w:hint="eastAsia" w:cs="Times New Roman"/>
          <w:color w:val="auto"/>
          <w:lang w:val="en-US" w:eastAsia="zh-CN"/>
        </w:rPr>
        <w:t>鱼永远也不可能彻底食尽水中的浮游动物，从而使</w:t>
      </w:r>
      <w:r>
        <w:rPr>
          <w:rFonts w:hint="default" w:ascii="Times New Roman" w:hAnsi="Times New Roman" w:eastAsia="宋体" w:cs="Times New Roman"/>
          <w:color w:val="auto"/>
          <w:lang w:val="en-US" w:eastAsia="zh-CN"/>
        </w:rPr>
        <w:t>鲢</w:t>
      </w:r>
      <w:r>
        <w:rPr>
          <w:rFonts w:hint="eastAsia" w:cs="Times New Roman"/>
          <w:color w:val="auto"/>
          <w:lang w:val="en-US" w:eastAsia="zh-CN"/>
        </w:rPr>
        <w:t>鱼和浮游动物共存成为可能，发挥</w:t>
      </w:r>
      <w:r>
        <w:rPr>
          <w:rFonts w:hint="default" w:ascii="Times New Roman" w:hAnsi="Times New Roman" w:eastAsia="宋体" w:cs="Times New Roman"/>
          <w:color w:val="auto"/>
          <w:lang w:val="en-US" w:eastAsia="zh-CN"/>
        </w:rPr>
        <w:t>鲢</w:t>
      </w:r>
      <w:r>
        <w:rPr>
          <w:rFonts w:hint="eastAsia" w:cs="Times New Roman"/>
          <w:color w:val="auto"/>
          <w:lang w:val="en-US" w:eastAsia="zh-CN"/>
        </w:rPr>
        <w:t>鱼与浮游动物之间的协同控藻作用。</w:t>
      </w:r>
    </w:p>
    <w:p>
      <w:pPr>
        <w:pStyle w:val="4"/>
        <w:tabs>
          <w:tab w:val="left" w:pos="2160"/>
        </w:tabs>
        <w:adjustRightInd/>
        <w:spacing w:before="196" w:beforeLines="50" w:after="196" w:afterLines="50" w:line="480" w:lineRule="exact"/>
        <w:jc w:val="both"/>
        <w:rPr>
          <w:rFonts w:hint="default" w:ascii="Times New Roman" w:hAnsi="Times New Roman" w:eastAsia="宋体" w:cs="Times New Roman"/>
          <w:bCs/>
          <w:color w:val="auto"/>
          <w:sz w:val="30"/>
          <w:szCs w:val="30"/>
          <w:lang w:val="en-US" w:eastAsia="zh-CN"/>
        </w:rPr>
      </w:pPr>
      <w:bookmarkStart w:id="226" w:name="_Toc12388"/>
      <w:r>
        <w:rPr>
          <w:rFonts w:hint="default" w:ascii="Times New Roman" w:hAnsi="Times New Roman" w:eastAsia="宋体" w:cs="Times New Roman"/>
          <w:bCs/>
          <w:color w:val="auto"/>
          <w:sz w:val="30"/>
          <w:szCs w:val="30"/>
          <w:lang w:val="en-US" w:eastAsia="zh-CN"/>
        </w:rPr>
        <w:t>3.</w:t>
      </w:r>
      <w:r>
        <w:rPr>
          <w:rFonts w:hint="eastAsia" w:cs="Times New Roman"/>
          <w:bCs/>
          <w:color w:val="auto"/>
          <w:sz w:val="30"/>
          <w:szCs w:val="30"/>
          <w:lang w:val="en-US" w:eastAsia="zh-CN"/>
        </w:rPr>
        <w:t>5</w:t>
      </w:r>
      <w:r>
        <w:rPr>
          <w:rFonts w:hint="default" w:ascii="Times New Roman" w:hAnsi="Times New Roman" w:eastAsia="宋体" w:cs="Times New Roman"/>
          <w:bCs/>
          <w:color w:val="auto"/>
          <w:sz w:val="30"/>
          <w:szCs w:val="30"/>
          <w:lang w:val="en-US" w:eastAsia="zh-CN"/>
        </w:rPr>
        <w:t>工程施工规划</w:t>
      </w:r>
      <w:bookmarkEnd w:id="226"/>
    </w:p>
    <w:p>
      <w:pPr>
        <w:pStyle w:val="5"/>
        <w:jc w:val="both"/>
        <w:rPr>
          <w:rFonts w:hint="default" w:ascii="Times New Roman" w:hAnsi="Times New Roman" w:eastAsia="宋体" w:cs="Times New Roman"/>
          <w:color w:val="auto"/>
          <w:lang w:val="en-US" w:eastAsia="zh-CN"/>
        </w:rPr>
      </w:pPr>
      <w:bookmarkStart w:id="227" w:name="_Toc13410"/>
      <w:r>
        <w:rPr>
          <w:rFonts w:hint="default" w:ascii="Times New Roman" w:hAnsi="Times New Roman" w:eastAsia="宋体" w:cs="Times New Roman"/>
          <w:color w:val="auto"/>
          <w:lang w:val="en-US" w:eastAsia="zh-CN"/>
        </w:rPr>
        <w:t>3.</w:t>
      </w:r>
      <w:r>
        <w:rPr>
          <w:rFonts w:hint="eastAsia" w:cs="Times New Roman"/>
          <w:color w:val="auto"/>
          <w:lang w:val="en-US" w:eastAsia="zh-CN"/>
        </w:rPr>
        <w:t>5</w:t>
      </w:r>
      <w:r>
        <w:rPr>
          <w:rFonts w:hint="default" w:ascii="Times New Roman" w:hAnsi="Times New Roman" w:eastAsia="宋体" w:cs="Times New Roman"/>
          <w:color w:val="auto"/>
          <w:lang w:val="en-US" w:eastAsia="zh-CN"/>
        </w:rPr>
        <w:t>.1施工条件</w:t>
      </w:r>
      <w:bookmarkEnd w:id="227"/>
    </w:p>
    <w:p>
      <w:pPr>
        <w:numPr>
          <w:ilvl w:val="0"/>
          <w:numId w:val="13"/>
        </w:numPr>
        <w:spacing w:line="480" w:lineRule="exact"/>
        <w:ind w:firstLine="482" w:firstLineChars="200"/>
        <w:jc w:val="both"/>
        <w:rPr>
          <w:rFonts w:hint="eastAsia" w:cs="Times New Roman"/>
          <w:b/>
          <w:bCs/>
          <w:color w:val="auto"/>
          <w:lang w:val="en-US" w:eastAsia="zh-CN"/>
        </w:rPr>
      </w:pPr>
      <w:r>
        <w:rPr>
          <w:rFonts w:hint="eastAsia" w:cs="Times New Roman"/>
          <w:b/>
          <w:bCs/>
          <w:color w:val="auto"/>
          <w:lang w:val="en-US" w:eastAsia="zh-CN"/>
        </w:rPr>
        <w:t>工程条件</w:t>
      </w:r>
    </w:p>
    <w:p>
      <w:pPr>
        <w:spacing w:line="480" w:lineRule="exact"/>
        <w:ind w:firstLine="480" w:firstLineChars="200"/>
        <w:jc w:val="both"/>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苏州</w:t>
      </w:r>
      <w:r>
        <w:rPr>
          <w:rFonts w:hint="eastAsia" w:cs="Times New Roman"/>
          <w:color w:val="auto"/>
          <w:lang w:val="en-US" w:eastAsia="zh-CN"/>
        </w:rPr>
        <w:t>市太湖渔洋山水源地近岸生态修复工程</w:t>
      </w:r>
      <w:r>
        <w:rPr>
          <w:rFonts w:hint="eastAsia" w:ascii="Times New Roman" w:hAnsi="Times New Roman" w:eastAsia="宋体" w:cs="Times New Roman"/>
          <w:color w:val="auto"/>
          <w:lang w:val="en-US" w:eastAsia="zh-CN"/>
        </w:rPr>
        <w:t>项目位于江苏省</w:t>
      </w:r>
      <w:r>
        <w:rPr>
          <w:rFonts w:hint="eastAsia" w:cs="Times New Roman"/>
          <w:color w:val="auto"/>
          <w:lang w:val="en-US" w:eastAsia="zh-CN"/>
        </w:rPr>
        <w:t>苏州市太湖旅游度假区</w:t>
      </w:r>
      <w:r>
        <w:rPr>
          <w:rFonts w:hint="eastAsia" w:ascii="Times New Roman" w:hAnsi="Times New Roman" w:eastAsia="宋体" w:cs="Times New Roman"/>
          <w:color w:val="auto"/>
          <w:lang w:val="en-US" w:eastAsia="zh-CN"/>
        </w:rPr>
        <w:t>境内，太湖是苏州市境内最大湖泊，具有水资源供给、防洪排涝和生态三大公益性功能，并兼有交通航运、渔业养殖、旅游及休闲等经济社会要求。</w:t>
      </w:r>
    </w:p>
    <w:p>
      <w:pPr>
        <w:spacing w:line="480" w:lineRule="exact"/>
        <w:ind w:firstLine="482" w:firstLineChars="200"/>
        <w:jc w:val="both"/>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（2）自然条件</w:t>
      </w:r>
    </w:p>
    <w:p>
      <w:pPr>
        <w:spacing w:line="480" w:lineRule="exact"/>
        <w:ind w:firstLine="480" w:firstLineChars="200"/>
        <w:jc w:val="both"/>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太湖非汛期正常蓄水位1.38m左右（黄海高程），警戒水位2.10m，洪水位3.17m。地区属亚热带湿润、半湿润季风气候区，气候温和，雨量丰沛，季风明显，多年平均年降水量为1153.8mm，流域年均无霜期240天左右，年均风速为1.3~3.3m/s。</w:t>
      </w:r>
    </w:p>
    <w:p>
      <w:pPr>
        <w:spacing w:line="480" w:lineRule="exact"/>
        <w:ind w:firstLine="482" w:firstLineChars="200"/>
        <w:jc w:val="both"/>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（3）交通条件</w:t>
      </w:r>
    </w:p>
    <w:p>
      <w:pPr>
        <w:spacing w:line="480" w:lineRule="exact"/>
        <w:ind w:firstLine="480" w:firstLineChars="200"/>
        <w:jc w:val="both"/>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本工程位于苏州</w:t>
      </w:r>
      <w:r>
        <w:rPr>
          <w:rFonts w:hint="eastAsia" w:cs="Times New Roman"/>
          <w:color w:val="auto"/>
          <w:lang w:val="en-US" w:eastAsia="zh-CN"/>
        </w:rPr>
        <w:t>太湖旅游度假区境内</w:t>
      </w:r>
      <w:r>
        <w:rPr>
          <w:rFonts w:hint="eastAsia" w:ascii="Times New Roman" w:hAnsi="Times New Roman" w:eastAsia="宋体" w:cs="Times New Roman"/>
          <w:color w:val="auto"/>
          <w:lang w:val="en-US" w:eastAsia="zh-CN"/>
        </w:rPr>
        <w:t>，市政道路网络发展成熟，有多级道路可通往项目工程区，且现有道路均能满足施工机械进出场、建筑材料运输等要求，工程外来物资运输条件良好，对外交通较为便利。</w:t>
      </w:r>
    </w:p>
    <w:p>
      <w:pPr>
        <w:spacing w:line="480" w:lineRule="exact"/>
        <w:ind w:firstLine="482" w:firstLineChars="200"/>
        <w:jc w:val="both"/>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（4）场地条件</w:t>
      </w:r>
    </w:p>
    <w:p>
      <w:pPr>
        <w:spacing w:line="480" w:lineRule="exact"/>
        <w:ind w:firstLine="480" w:firstLineChars="200"/>
        <w:jc w:val="both"/>
        <w:rPr>
          <w:rFonts w:hint="eastAsia" w:cs="Times New Roman"/>
          <w:color w:val="auto"/>
          <w:lang w:val="en-US" w:eastAsia="zh-CN"/>
        </w:rPr>
      </w:pPr>
      <w:r>
        <w:rPr>
          <w:rFonts w:hint="eastAsia" w:ascii="Times New Roman" w:hAnsi="Times New Roman" w:eastAsia="宋体" w:cs="Times New Roman"/>
          <w:color w:val="auto"/>
          <w:lang w:val="en-US" w:eastAsia="zh-CN"/>
        </w:rPr>
        <w:t>本着减少占用陆域基本农田、减轻对环境不利影响的原则，结合地方城市发展要求，本项目不设置排泥场</w:t>
      </w:r>
      <w:r>
        <w:rPr>
          <w:rFonts w:hint="eastAsia" w:cs="Times New Roman"/>
          <w:color w:val="auto"/>
          <w:lang w:val="en-US" w:eastAsia="zh-CN"/>
        </w:rPr>
        <w:t>和取、弃土场。</w:t>
      </w:r>
    </w:p>
    <w:p>
      <w:pPr>
        <w:pStyle w:val="5"/>
        <w:jc w:val="both"/>
        <w:rPr>
          <w:rFonts w:hint="eastAsia" w:ascii="Times New Roman" w:hAnsi="Times New Roman" w:eastAsia="宋体" w:cs="Times New Roman"/>
          <w:color w:val="auto"/>
          <w:lang w:val="en-US" w:eastAsia="zh-CN"/>
        </w:rPr>
      </w:pPr>
      <w:bookmarkStart w:id="228" w:name="_Toc27512"/>
      <w:r>
        <w:rPr>
          <w:rFonts w:hint="eastAsia" w:ascii="Times New Roman" w:hAnsi="Times New Roman" w:eastAsia="宋体" w:cs="Times New Roman"/>
          <w:color w:val="auto"/>
          <w:lang w:val="en-US" w:eastAsia="zh-CN"/>
        </w:rPr>
        <w:t>3.</w:t>
      </w:r>
      <w:r>
        <w:rPr>
          <w:rFonts w:hint="eastAsia" w:cs="Times New Roman"/>
          <w:color w:val="auto"/>
          <w:lang w:val="en-US" w:eastAsia="zh-CN"/>
        </w:rPr>
        <w:t>5</w:t>
      </w:r>
      <w:r>
        <w:rPr>
          <w:rFonts w:hint="eastAsia" w:ascii="Times New Roman" w:hAnsi="Times New Roman" w:eastAsia="宋体" w:cs="Times New Roman"/>
          <w:color w:val="auto"/>
          <w:lang w:val="en-US" w:eastAsia="zh-CN"/>
        </w:rPr>
        <w:t>.2 施工</w:t>
      </w:r>
      <w:r>
        <w:rPr>
          <w:rFonts w:hint="eastAsia" w:cs="Times New Roman"/>
          <w:color w:val="auto"/>
          <w:lang w:val="en-US" w:eastAsia="zh-CN"/>
        </w:rPr>
        <w:t>总体</w:t>
      </w:r>
      <w:r>
        <w:rPr>
          <w:rFonts w:hint="eastAsia" w:ascii="Times New Roman" w:hAnsi="Times New Roman" w:eastAsia="宋体" w:cs="Times New Roman"/>
          <w:color w:val="auto"/>
          <w:lang w:val="en-US" w:eastAsia="zh-CN"/>
        </w:rPr>
        <w:t>布置</w:t>
      </w:r>
      <w:bookmarkEnd w:id="228"/>
    </w:p>
    <w:p>
      <w:pPr>
        <w:spacing w:line="480" w:lineRule="exact"/>
        <w:ind w:firstLine="480" w:firstLineChars="200"/>
        <w:jc w:val="both"/>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本工程项目部租用附近民房</w:t>
      </w:r>
      <w:r>
        <w:rPr>
          <w:rFonts w:hint="eastAsia" w:cs="Times New Roman"/>
          <w:color w:val="auto"/>
          <w:lang w:val="en-US" w:eastAsia="zh-CN"/>
        </w:rPr>
        <w:t>，材料堆场临时征用附近网球场</w:t>
      </w:r>
      <w:r>
        <w:rPr>
          <w:rFonts w:hint="eastAsia" w:ascii="Times New Roman" w:hAnsi="Times New Roman" w:eastAsia="宋体" w:cs="Times New Roman"/>
          <w:color w:val="auto"/>
          <w:lang w:val="en-US" w:eastAsia="zh-CN"/>
        </w:rPr>
        <w:t>。</w:t>
      </w:r>
    </w:p>
    <w:p>
      <w:pPr>
        <w:spacing w:line="480" w:lineRule="exact"/>
        <w:ind w:firstLine="480" w:firstLineChars="200"/>
        <w:rPr>
          <w:rFonts w:hint="eastAsia" w:ascii="Times New Roman" w:hAnsi="Times New Roman" w:eastAsia="宋体" w:cs="Times New Roman"/>
          <w:color w:val="auto"/>
          <w:lang w:val="en-US" w:eastAsia="zh-CN"/>
        </w:rPr>
      </w:pPr>
      <w:r>
        <w:drawing>
          <wp:anchor distT="0" distB="0" distL="114300" distR="114300" simplePos="0" relativeHeight="251703296" behindDoc="0" locked="0" layoutInCell="1" allowOverlap="1">
            <wp:simplePos x="0" y="0"/>
            <wp:positionH relativeFrom="column">
              <wp:posOffset>3315335</wp:posOffset>
            </wp:positionH>
            <wp:positionV relativeFrom="paragraph">
              <wp:posOffset>177800</wp:posOffset>
            </wp:positionV>
            <wp:extent cx="2547620" cy="3185795"/>
            <wp:effectExtent l="0" t="0" r="5080" b="14605"/>
            <wp:wrapNone/>
            <wp:docPr id="10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5"/>
                    <pic:cNvPicPr>
                      <a:picLocks noChangeAspect="1"/>
                    </pic:cNvPicPr>
                  </pic:nvPicPr>
                  <pic:blipFill>
                    <a:blip r:embed="rId38"/>
                    <a:stretch>
                      <a:fillRect/>
                    </a:stretch>
                  </pic:blipFill>
                  <pic:spPr>
                    <a:xfrm>
                      <a:off x="0" y="0"/>
                      <a:ext cx="2547620" cy="3185795"/>
                    </a:xfrm>
                    <a:prstGeom prst="rect">
                      <a:avLst/>
                    </a:prstGeom>
                    <a:noFill/>
                    <a:ln>
                      <a:noFill/>
                    </a:ln>
                  </pic:spPr>
                </pic:pic>
              </a:graphicData>
            </a:graphic>
          </wp:anchor>
        </w:drawing>
      </w:r>
      <w:r>
        <w:drawing>
          <wp:anchor distT="0" distB="0" distL="114300" distR="114300" simplePos="0" relativeHeight="251704320" behindDoc="0" locked="0" layoutInCell="1" allowOverlap="1">
            <wp:simplePos x="0" y="0"/>
            <wp:positionH relativeFrom="column">
              <wp:posOffset>-151765</wp:posOffset>
            </wp:positionH>
            <wp:positionV relativeFrom="paragraph">
              <wp:posOffset>186055</wp:posOffset>
            </wp:positionV>
            <wp:extent cx="3286125" cy="3161665"/>
            <wp:effectExtent l="0" t="0" r="9525" b="635"/>
            <wp:wrapNone/>
            <wp:docPr id="10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6"/>
                    <pic:cNvPicPr>
                      <a:picLocks noChangeAspect="1"/>
                    </pic:cNvPicPr>
                  </pic:nvPicPr>
                  <pic:blipFill>
                    <a:blip r:embed="rId39"/>
                    <a:stretch>
                      <a:fillRect/>
                    </a:stretch>
                  </pic:blipFill>
                  <pic:spPr>
                    <a:xfrm>
                      <a:off x="0" y="0"/>
                      <a:ext cx="3286125" cy="3161665"/>
                    </a:xfrm>
                    <a:prstGeom prst="rect">
                      <a:avLst/>
                    </a:prstGeom>
                    <a:noFill/>
                    <a:ln>
                      <a:noFill/>
                    </a:ln>
                  </pic:spPr>
                </pic:pic>
              </a:graphicData>
            </a:graphic>
          </wp:anchor>
        </w:drawing>
      </w:r>
    </w:p>
    <w:p>
      <w:pPr>
        <w:spacing w:line="480" w:lineRule="exact"/>
        <w:ind w:firstLine="480" w:firstLineChars="200"/>
        <w:rPr>
          <w:rFonts w:hint="eastAsia" w:ascii="Times New Roman" w:hAnsi="Times New Roman" w:eastAsia="宋体" w:cs="Times New Roman"/>
          <w:color w:val="auto"/>
          <w:lang w:val="en-US" w:eastAsia="zh-CN"/>
        </w:rPr>
      </w:pPr>
    </w:p>
    <w:p>
      <w:pPr>
        <w:spacing w:line="480" w:lineRule="exact"/>
        <w:ind w:firstLine="480" w:firstLineChars="200"/>
        <w:rPr>
          <w:rFonts w:hint="eastAsia" w:ascii="Times New Roman" w:hAnsi="Times New Roman" w:eastAsia="宋体" w:cs="Times New Roman"/>
          <w:color w:val="auto"/>
          <w:lang w:val="en-US" w:eastAsia="zh-CN"/>
        </w:rPr>
      </w:pPr>
    </w:p>
    <w:p>
      <w:pPr>
        <w:spacing w:line="480" w:lineRule="exact"/>
        <w:ind w:firstLine="480" w:firstLineChars="200"/>
        <w:rPr>
          <w:rFonts w:hint="eastAsia" w:ascii="Times New Roman" w:hAnsi="Times New Roman" w:eastAsia="宋体" w:cs="Times New Roman"/>
          <w:color w:val="auto"/>
          <w:lang w:val="en-US" w:eastAsia="zh-CN"/>
        </w:rPr>
      </w:pPr>
    </w:p>
    <w:p>
      <w:pPr>
        <w:spacing w:line="480" w:lineRule="exact"/>
        <w:ind w:firstLine="480" w:firstLineChars="200"/>
        <w:rPr>
          <w:rFonts w:hint="eastAsia" w:ascii="Times New Roman" w:hAnsi="Times New Roman" w:eastAsia="宋体" w:cs="Times New Roman"/>
          <w:color w:val="auto"/>
          <w:lang w:val="en-US" w:eastAsia="zh-CN"/>
        </w:rPr>
      </w:pPr>
    </w:p>
    <w:p>
      <w:pPr>
        <w:spacing w:line="480" w:lineRule="exact"/>
        <w:ind w:firstLine="480" w:firstLineChars="200"/>
        <w:rPr>
          <w:rFonts w:hint="eastAsia" w:ascii="Times New Roman" w:hAnsi="Times New Roman" w:eastAsia="宋体" w:cs="Times New Roman"/>
          <w:color w:val="auto"/>
          <w:lang w:val="en-US" w:eastAsia="zh-CN"/>
        </w:rPr>
      </w:pPr>
    </w:p>
    <w:p>
      <w:pPr>
        <w:spacing w:line="480" w:lineRule="exact"/>
        <w:ind w:firstLine="480" w:firstLineChars="200"/>
        <w:rPr>
          <w:rFonts w:hint="eastAsia" w:ascii="Times New Roman" w:hAnsi="Times New Roman" w:eastAsia="宋体" w:cs="Times New Roman"/>
          <w:color w:val="auto"/>
          <w:lang w:val="en-US" w:eastAsia="zh-CN"/>
        </w:rPr>
      </w:pPr>
    </w:p>
    <w:p>
      <w:pPr>
        <w:spacing w:line="480" w:lineRule="exact"/>
        <w:ind w:firstLine="480" w:firstLineChars="200"/>
        <w:rPr>
          <w:rFonts w:hint="eastAsia" w:ascii="Times New Roman" w:hAnsi="Times New Roman" w:eastAsia="宋体" w:cs="Times New Roman"/>
          <w:color w:val="auto"/>
          <w:lang w:val="en-US" w:eastAsia="zh-CN"/>
        </w:rPr>
      </w:pPr>
    </w:p>
    <w:p>
      <w:pPr>
        <w:spacing w:line="480" w:lineRule="exact"/>
        <w:ind w:firstLine="482" w:firstLineChars="200"/>
        <w:jc w:val="center"/>
        <w:rPr>
          <w:rFonts w:hint="default" w:ascii="Times New Roman" w:hAnsi="Times New Roman" w:eastAsia="宋体" w:cs="Times New Roman"/>
          <w:b/>
          <w:bCs/>
          <w:color w:val="auto"/>
          <w:lang w:val="en-US" w:eastAsia="zh-CN"/>
        </w:rPr>
      </w:pPr>
    </w:p>
    <w:p>
      <w:pPr>
        <w:spacing w:line="480" w:lineRule="exact"/>
        <w:ind w:firstLine="482" w:firstLineChars="200"/>
        <w:jc w:val="center"/>
        <w:rPr>
          <w:rFonts w:hint="default" w:ascii="Times New Roman" w:hAnsi="Times New Roman" w:eastAsia="宋体" w:cs="Times New Roman"/>
          <w:b/>
          <w:bCs/>
          <w:color w:val="auto"/>
          <w:lang w:val="en-US" w:eastAsia="zh-CN"/>
        </w:rPr>
      </w:pPr>
    </w:p>
    <w:p>
      <w:pPr>
        <w:spacing w:line="480" w:lineRule="exact"/>
        <w:ind w:firstLine="482" w:firstLineChars="200"/>
        <w:jc w:val="center"/>
        <w:rPr>
          <w:rFonts w:hint="default" w:ascii="Times New Roman" w:hAnsi="Times New Roman" w:eastAsia="宋体" w:cs="Times New Roman"/>
          <w:b/>
          <w:bCs/>
          <w:color w:val="auto"/>
          <w:lang w:val="en-US" w:eastAsia="zh-CN"/>
        </w:rPr>
      </w:pPr>
    </w:p>
    <w:p>
      <w:pPr>
        <w:spacing w:line="480" w:lineRule="exact"/>
        <w:ind w:firstLine="482" w:firstLineChars="20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图</w:t>
      </w:r>
      <w:r>
        <w:rPr>
          <w:rFonts w:hint="eastAsia" w:cs="Times New Roman"/>
          <w:b/>
          <w:bCs/>
          <w:color w:val="auto"/>
          <w:lang w:val="en-US" w:eastAsia="zh-CN"/>
        </w:rPr>
        <w:t>3.5-1</w:t>
      </w:r>
      <w:r>
        <w:rPr>
          <w:rFonts w:hint="default" w:ascii="Times New Roman" w:hAnsi="Times New Roman" w:eastAsia="宋体" w:cs="Times New Roman"/>
          <w:b/>
          <w:bCs/>
          <w:color w:val="auto"/>
          <w:lang w:val="en-US" w:eastAsia="zh-CN"/>
        </w:rPr>
        <w:t xml:space="preserve"> </w:t>
      </w:r>
      <w:r>
        <w:rPr>
          <w:rFonts w:hint="eastAsia" w:cs="Times New Roman"/>
          <w:b/>
          <w:bCs/>
          <w:color w:val="auto"/>
          <w:lang w:val="en-US" w:eastAsia="zh-CN"/>
        </w:rPr>
        <w:t>项目部和材料堆场位置</w:t>
      </w:r>
      <w:r>
        <w:rPr>
          <w:rFonts w:hint="default" w:ascii="Times New Roman" w:hAnsi="Times New Roman" w:eastAsia="宋体" w:cs="Times New Roman"/>
          <w:b/>
          <w:bCs/>
          <w:color w:val="auto"/>
          <w:lang w:val="en-US" w:eastAsia="zh-CN"/>
        </w:rPr>
        <w:t>图</w:t>
      </w:r>
    </w:p>
    <w:p>
      <w:pPr>
        <w:pStyle w:val="5"/>
        <w:jc w:val="both"/>
        <w:rPr>
          <w:rFonts w:hint="eastAsia" w:ascii="Times New Roman" w:hAnsi="Times New Roman" w:eastAsia="宋体" w:cs="Times New Roman"/>
          <w:color w:val="auto"/>
          <w:lang w:val="en-US" w:eastAsia="zh-CN"/>
        </w:rPr>
      </w:pPr>
      <w:bookmarkStart w:id="229" w:name="_Toc32314"/>
      <w:r>
        <w:rPr>
          <w:rFonts w:hint="eastAsia" w:ascii="Times New Roman" w:hAnsi="Times New Roman" w:eastAsia="宋体" w:cs="Times New Roman"/>
          <w:color w:val="auto"/>
          <w:lang w:val="en-US" w:eastAsia="zh-CN"/>
        </w:rPr>
        <w:t>3.</w:t>
      </w:r>
      <w:r>
        <w:rPr>
          <w:rFonts w:hint="eastAsia" w:cs="Times New Roman"/>
          <w:color w:val="auto"/>
          <w:lang w:val="en-US" w:eastAsia="zh-CN"/>
        </w:rPr>
        <w:t>5.3</w:t>
      </w:r>
      <w:r>
        <w:rPr>
          <w:rFonts w:hint="eastAsia" w:ascii="Times New Roman" w:hAnsi="Times New Roman" w:eastAsia="宋体" w:cs="Times New Roman"/>
          <w:color w:val="auto"/>
          <w:lang w:val="en-US" w:eastAsia="zh-CN"/>
        </w:rPr>
        <w:t xml:space="preserve"> 施工进度</w:t>
      </w:r>
      <w:bookmarkEnd w:id="229"/>
    </w:p>
    <w:p>
      <w:pPr>
        <w:spacing w:line="480" w:lineRule="exact"/>
        <w:ind w:firstLine="480" w:firstLineChars="200"/>
        <w:jc w:val="both"/>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根据工程的规模、建设内容，本工程施工总工期安排</w:t>
      </w:r>
      <w:r>
        <w:rPr>
          <w:rFonts w:hint="eastAsia" w:cs="Times New Roman"/>
          <w:color w:val="auto"/>
          <w:lang w:val="en-US" w:eastAsia="zh-CN"/>
        </w:rPr>
        <w:t>460天</w:t>
      </w:r>
      <w:r>
        <w:rPr>
          <w:rFonts w:hint="eastAsia" w:ascii="Times New Roman" w:hAnsi="Times New Roman" w:eastAsia="宋体" w:cs="Times New Roman"/>
          <w:color w:val="auto"/>
          <w:lang w:val="en-US" w:eastAsia="zh-CN"/>
        </w:rPr>
        <w:t>，即从202</w:t>
      </w:r>
      <w:r>
        <w:rPr>
          <w:rFonts w:hint="eastAsia" w:cs="Times New Roman"/>
          <w:color w:val="auto"/>
          <w:lang w:val="en-US" w:eastAsia="zh-CN"/>
        </w:rPr>
        <w:t>1</w:t>
      </w:r>
      <w:r>
        <w:rPr>
          <w:rFonts w:hint="eastAsia" w:ascii="Times New Roman" w:hAnsi="Times New Roman" w:eastAsia="宋体" w:cs="Times New Roman"/>
          <w:color w:val="auto"/>
          <w:lang w:val="en-US" w:eastAsia="zh-CN"/>
        </w:rPr>
        <w:t>年10月</w:t>
      </w:r>
      <w:r>
        <w:rPr>
          <w:rFonts w:hint="eastAsia" w:cs="Times New Roman"/>
          <w:color w:val="auto"/>
          <w:lang w:val="en-US" w:eastAsia="zh-CN"/>
        </w:rPr>
        <w:t>中旬</w:t>
      </w:r>
      <w:r>
        <w:rPr>
          <w:rFonts w:hint="eastAsia" w:ascii="Times New Roman" w:hAnsi="Times New Roman" w:eastAsia="宋体" w:cs="Times New Roman"/>
          <w:color w:val="auto"/>
          <w:lang w:val="en-US" w:eastAsia="zh-CN"/>
        </w:rPr>
        <w:t>开始施工准备，至202</w:t>
      </w:r>
      <w:r>
        <w:rPr>
          <w:rFonts w:hint="eastAsia" w:cs="Times New Roman"/>
          <w:color w:val="auto"/>
          <w:lang w:val="en-US" w:eastAsia="zh-CN"/>
        </w:rPr>
        <w:t>3</w:t>
      </w:r>
      <w:r>
        <w:rPr>
          <w:rFonts w:hint="eastAsia" w:ascii="Times New Roman" w:hAnsi="Times New Roman" w:eastAsia="宋体" w:cs="Times New Roman"/>
          <w:color w:val="auto"/>
          <w:lang w:val="en-US" w:eastAsia="zh-CN"/>
        </w:rPr>
        <w:t>年</w:t>
      </w:r>
      <w:r>
        <w:rPr>
          <w:rFonts w:hint="eastAsia" w:cs="Times New Roman"/>
          <w:color w:val="auto"/>
          <w:lang w:val="en-US" w:eastAsia="zh-CN"/>
        </w:rPr>
        <w:t>1</w:t>
      </w:r>
      <w:r>
        <w:rPr>
          <w:rFonts w:hint="eastAsia" w:ascii="Times New Roman" w:hAnsi="Times New Roman" w:eastAsia="宋体" w:cs="Times New Roman"/>
          <w:color w:val="auto"/>
          <w:lang w:val="en-US" w:eastAsia="zh-CN"/>
        </w:rPr>
        <w:t>月底全面完成。详细安排如下：</w:t>
      </w:r>
    </w:p>
    <w:p>
      <w:pPr>
        <w:spacing w:line="480" w:lineRule="exact"/>
        <w:ind w:firstLine="480" w:firstLineChars="200"/>
        <w:jc w:val="both"/>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（1）施工准备期</w:t>
      </w:r>
    </w:p>
    <w:p>
      <w:pPr>
        <w:spacing w:line="480" w:lineRule="exact"/>
        <w:ind w:firstLine="480" w:firstLineChars="200"/>
        <w:jc w:val="both"/>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主要为主体工程尽早顺利施工做准备，施工准备期从202</w:t>
      </w:r>
      <w:r>
        <w:rPr>
          <w:rFonts w:hint="eastAsia" w:cs="Times New Roman"/>
          <w:color w:val="auto"/>
          <w:lang w:val="en-US" w:eastAsia="zh-CN"/>
        </w:rPr>
        <w:t>1</w:t>
      </w:r>
      <w:r>
        <w:rPr>
          <w:rFonts w:hint="eastAsia" w:ascii="Times New Roman" w:hAnsi="Times New Roman" w:eastAsia="宋体" w:cs="Times New Roman"/>
          <w:color w:val="auto"/>
          <w:lang w:val="en-US" w:eastAsia="zh-CN"/>
        </w:rPr>
        <w:t>年10月</w:t>
      </w:r>
      <w:r>
        <w:rPr>
          <w:rFonts w:hint="eastAsia" w:cs="Times New Roman"/>
          <w:color w:val="auto"/>
          <w:lang w:val="en-US" w:eastAsia="zh-CN"/>
        </w:rPr>
        <w:t>中旬</w:t>
      </w:r>
      <w:r>
        <w:rPr>
          <w:rFonts w:hint="eastAsia" w:ascii="Times New Roman" w:hAnsi="Times New Roman" w:eastAsia="宋体" w:cs="Times New Roman"/>
          <w:color w:val="auto"/>
          <w:lang w:val="en-US" w:eastAsia="zh-CN"/>
        </w:rPr>
        <w:t>至1</w:t>
      </w:r>
      <w:r>
        <w:rPr>
          <w:rFonts w:hint="eastAsia" w:cs="Times New Roman"/>
          <w:color w:val="auto"/>
          <w:lang w:val="en-US" w:eastAsia="zh-CN"/>
        </w:rPr>
        <w:t>0</w:t>
      </w:r>
      <w:r>
        <w:rPr>
          <w:rFonts w:hint="eastAsia" w:ascii="Times New Roman" w:hAnsi="Times New Roman" w:eastAsia="宋体" w:cs="Times New Roman"/>
          <w:color w:val="auto"/>
          <w:lang w:val="en-US" w:eastAsia="zh-CN"/>
        </w:rPr>
        <w:t>月</w:t>
      </w:r>
      <w:r>
        <w:rPr>
          <w:rFonts w:hint="eastAsia" w:cs="Times New Roman"/>
          <w:color w:val="auto"/>
          <w:lang w:val="en-US" w:eastAsia="zh-CN"/>
        </w:rPr>
        <w:t>底</w:t>
      </w:r>
      <w:r>
        <w:rPr>
          <w:rFonts w:hint="eastAsia" w:ascii="Times New Roman" w:hAnsi="Times New Roman" w:eastAsia="宋体" w:cs="Times New Roman"/>
          <w:color w:val="auto"/>
          <w:lang w:val="en-US" w:eastAsia="zh-CN"/>
        </w:rPr>
        <w:t>，约</w:t>
      </w:r>
      <w:r>
        <w:rPr>
          <w:rFonts w:hint="eastAsia" w:cs="Times New Roman"/>
          <w:color w:val="auto"/>
          <w:lang w:val="en-US" w:eastAsia="zh-CN"/>
        </w:rPr>
        <w:t>15天</w:t>
      </w:r>
      <w:r>
        <w:rPr>
          <w:rFonts w:hint="eastAsia" w:ascii="Times New Roman" w:hAnsi="Times New Roman" w:eastAsia="宋体" w:cs="Times New Roman"/>
          <w:color w:val="auto"/>
          <w:lang w:val="en-US" w:eastAsia="zh-CN"/>
        </w:rPr>
        <w:t>。</w:t>
      </w:r>
    </w:p>
    <w:p>
      <w:pPr>
        <w:spacing w:line="480" w:lineRule="exact"/>
        <w:ind w:firstLine="480" w:firstLineChars="200"/>
        <w:jc w:val="both"/>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（2）主体工程施工期</w:t>
      </w:r>
    </w:p>
    <w:p>
      <w:pPr>
        <w:spacing w:line="480" w:lineRule="exact"/>
        <w:ind w:firstLine="480" w:firstLineChars="200"/>
        <w:jc w:val="both"/>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主体工程施工安排在202</w:t>
      </w:r>
      <w:r>
        <w:rPr>
          <w:rFonts w:hint="eastAsia" w:cs="Times New Roman"/>
          <w:color w:val="auto"/>
          <w:lang w:val="en-US" w:eastAsia="zh-CN"/>
        </w:rPr>
        <w:t>1</w:t>
      </w:r>
      <w:r>
        <w:rPr>
          <w:rFonts w:hint="eastAsia" w:ascii="Times New Roman" w:hAnsi="Times New Roman" w:eastAsia="宋体" w:cs="Times New Roman"/>
          <w:color w:val="auto"/>
          <w:lang w:val="en-US" w:eastAsia="zh-CN"/>
        </w:rPr>
        <w:t>年11月初至202</w:t>
      </w:r>
      <w:r>
        <w:rPr>
          <w:rFonts w:hint="eastAsia" w:cs="Times New Roman"/>
          <w:color w:val="auto"/>
          <w:lang w:val="en-US" w:eastAsia="zh-CN"/>
        </w:rPr>
        <w:t>1</w:t>
      </w:r>
      <w:r>
        <w:rPr>
          <w:rFonts w:hint="eastAsia" w:ascii="Times New Roman" w:hAnsi="Times New Roman" w:eastAsia="宋体" w:cs="Times New Roman"/>
          <w:color w:val="auto"/>
          <w:lang w:val="en-US" w:eastAsia="zh-CN"/>
        </w:rPr>
        <w:t>年</w:t>
      </w:r>
      <w:r>
        <w:rPr>
          <w:rFonts w:hint="eastAsia" w:cs="Times New Roman"/>
          <w:color w:val="auto"/>
          <w:lang w:val="en-US" w:eastAsia="zh-CN"/>
        </w:rPr>
        <w:t>1</w:t>
      </w:r>
      <w:r>
        <w:rPr>
          <w:rFonts w:hint="eastAsia" w:ascii="Times New Roman" w:hAnsi="Times New Roman" w:eastAsia="宋体" w:cs="Times New Roman"/>
          <w:color w:val="auto"/>
          <w:lang w:val="en-US" w:eastAsia="zh-CN"/>
        </w:rPr>
        <w:t>月</w:t>
      </w:r>
      <w:r>
        <w:rPr>
          <w:rFonts w:hint="eastAsia" w:cs="Times New Roman"/>
          <w:color w:val="auto"/>
          <w:lang w:val="en-US" w:eastAsia="zh-CN"/>
        </w:rPr>
        <w:t>上旬</w:t>
      </w:r>
      <w:r>
        <w:rPr>
          <w:rFonts w:hint="eastAsia" w:ascii="Times New Roman" w:hAnsi="Times New Roman" w:eastAsia="宋体" w:cs="Times New Roman"/>
          <w:color w:val="auto"/>
          <w:lang w:val="en-US" w:eastAsia="zh-CN"/>
        </w:rPr>
        <w:t>，</w:t>
      </w:r>
      <w:r>
        <w:rPr>
          <w:rFonts w:hint="eastAsia" w:cs="Times New Roman"/>
          <w:color w:val="auto"/>
          <w:lang w:val="en-US" w:eastAsia="zh-CN"/>
        </w:rPr>
        <w:t>约70天</w:t>
      </w:r>
      <w:r>
        <w:rPr>
          <w:rFonts w:hint="eastAsia" w:ascii="Times New Roman" w:hAnsi="Times New Roman" w:eastAsia="宋体" w:cs="Times New Roman"/>
          <w:color w:val="auto"/>
          <w:lang w:val="en-US" w:eastAsia="zh-CN"/>
        </w:rPr>
        <w:t>。</w:t>
      </w:r>
    </w:p>
    <w:p>
      <w:pPr>
        <w:spacing w:line="480" w:lineRule="exact"/>
        <w:ind w:firstLine="480" w:firstLineChars="200"/>
        <w:jc w:val="both"/>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（3）完建期</w:t>
      </w:r>
    </w:p>
    <w:p>
      <w:pPr>
        <w:spacing w:line="480" w:lineRule="exact"/>
        <w:ind w:firstLine="480" w:firstLineChars="200"/>
        <w:jc w:val="both"/>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主要进行工程验收等收尾工作，安排在202</w:t>
      </w:r>
      <w:r>
        <w:rPr>
          <w:rFonts w:hint="eastAsia" w:cs="Times New Roman"/>
          <w:color w:val="auto"/>
          <w:lang w:val="en-US" w:eastAsia="zh-CN"/>
        </w:rPr>
        <w:t>2</w:t>
      </w:r>
      <w:r>
        <w:rPr>
          <w:rFonts w:hint="eastAsia" w:ascii="Times New Roman" w:hAnsi="Times New Roman" w:eastAsia="宋体" w:cs="Times New Roman"/>
          <w:color w:val="auto"/>
          <w:lang w:val="en-US" w:eastAsia="zh-CN"/>
        </w:rPr>
        <w:t>年</w:t>
      </w:r>
      <w:r>
        <w:rPr>
          <w:rFonts w:hint="eastAsia" w:cs="Times New Roman"/>
          <w:color w:val="auto"/>
          <w:lang w:val="en-US" w:eastAsia="zh-CN"/>
        </w:rPr>
        <w:t>1</w:t>
      </w:r>
      <w:r>
        <w:rPr>
          <w:rFonts w:hint="eastAsia" w:ascii="Times New Roman" w:hAnsi="Times New Roman" w:eastAsia="宋体" w:cs="Times New Roman"/>
          <w:color w:val="auto"/>
          <w:lang w:val="en-US" w:eastAsia="zh-CN"/>
        </w:rPr>
        <w:t>月</w:t>
      </w:r>
      <w:r>
        <w:rPr>
          <w:rFonts w:hint="eastAsia" w:cs="Times New Roman"/>
          <w:color w:val="auto"/>
          <w:lang w:val="en-US" w:eastAsia="zh-CN"/>
        </w:rPr>
        <w:t>中下旬</w:t>
      </w:r>
      <w:r>
        <w:rPr>
          <w:rFonts w:hint="eastAsia" w:ascii="Times New Roman" w:hAnsi="Times New Roman" w:eastAsia="宋体" w:cs="Times New Roman"/>
          <w:color w:val="auto"/>
          <w:lang w:val="en-US" w:eastAsia="zh-CN"/>
        </w:rPr>
        <w:t>，</w:t>
      </w:r>
      <w:r>
        <w:rPr>
          <w:rFonts w:hint="eastAsia" w:cs="Times New Roman"/>
          <w:color w:val="auto"/>
          <w:lang w:val="en-US" w:eastAsia="zh-CN"/>
        </w:rPr>
        <w:t>约10天</w:t>
      </w:r>
      <w:r>
        <w:rPr>
          <w:rFonts w:hint="eastAsia" w:ascii="Times New Roman" w:hAnsi="Times New Roman" w:eastAsia="宋体" w:cs="Times New Roman"/>
          <w:color w:val="auto"/>
          <w:lang w:val="en-US" w:eastAsia="zh-CN"/>
        </w:rPr>
        <w:t>。</w:t>
      </w:r>
    </w:p>
    <w:p>
      <w:pPr>
        <w:spacing w:line="480" w:lineRule="exact"/>
        <w:ind w:firstLine="480" w:firstLineChars="200"/>
        <w:jc w:val="both"/>
        <w:rPr>
          <w:rFonts w:hint="eastAsia" w:ascii="Times New Roman" w:hAnsi="Times New Roman" w:eastAsia="宋体" w:cs="Times New Roman"/>
          <w:color w:val="auto"/>
          <w:lang w:val="en-US" w:eastAsia="zh-CN"/>
        </w:rPr>
      </w:pPr>
      <w:r>
        <w:rPr>
          <w:rFonts w:hint="eastAsia" w:cs="Times New Roman"/>
          <w:color w:val="auto"/>
          <w:lang w:val="en-US" w:eastAsia="zh-CN"/>
        </w:rPr>
        <w:t>（4）养护期</w:t>
      </w:r>
    </w:p>
    <w:p>
      <w:pPr>
        <w:spacing w:line="480" w:lineRule="exact"/>
        <w:ind w:firstLine="480" w:firstLineChars="200"/>
        <w:jc w:val="both"/>
        <w:rPr>
          <w:rFonts w:hint="eastAsia" w:ascii="Times New Roman" w:hAnsi="Times New Roman" w:eastAsia="宋体" w:cs="Times New Roman"/>
          <w:color w:val="auto"/>
          <w:lang w:val="en-US" w:eastAsia="zh-CN"/>
        </w:rPr>
      </w:pPr>
      <w:r>
        <w:rPr>
          <w:rFonts w:hint="eastAsia" w:cs="Times New Roman"/>
          <w:color w:val="auto"/>
          <w:lang w:val="en-US" w:eastAsia="zh-CN"/>
        </w:rPr>
        <w:t>施工完成后，进行为期1年的养护期，365天</w:t>
      </w:r>
      <w:r>
        <w:rPr>
          <w:rFonts w:hint="eastAsia" w:ascii="Times New Roman" w:hAnsi="Times New Roman" w:eastAsia="宋体" w:cs="Times New Roman"/>
          <w:color w:val="auto"/>
          <w:lang w:val="en-US" w:eastAsia="zh-CN"/>
        </w:rPr>
        <w:t>。</w:t>
      </w:r>
    </w:p>
    <w:p>
      <w:pPr>
        <w:pStyle w:val="4"/>
        <w:tabs>
          <w:tab w:val="left" w:pos="2160"/>
        </w:tabs>
        <w:adjustRightInd/>
        <w:spacing w:before="196" w:beforeLines="50" w:after="196" w:afterLines="50" w:line="480" w:lineRule="exact"/>
        <w:jc w:val="both"/>
        <w:rPr>
          <w:rFonts w:hint="eastAsia" w:ascii="Times New Roman" w:hAnsi="Times New Roman" w:eastAsia="宋体" w:cs="Times New Roman"/>
          <w:bCs/>
          <w:color w:val="auto"/>
          <w:sz w:val="30"/>
          <w:szCs w:val="30"/>
          <w:lang w:val="en-US" w:eastAsia="zh-CN"/>
        </w:rPr>
      </w:pPr>
      <w:bookmarkStart w:id="230" w:name="_Toc23127"/>
      <w:r>
        <w:rPr>
          <w:rFonts w:hint="eastAsia" w:ascii="Times New Roman" w:hAnsi="Times New Roman" w:eastAsia="宋体" w:cs="Times New Roman"/>
          <w:bCs/>
          <w:color w:val="auto"/>
          <w:sz w:val="30"/>
          <w:szCs w:val="30"/>
          <w:lang w:val="en-US" w:eastAsia="zh-CN"/>
        </w:rPr>
        <w:t>3.</w:t>
      </w:r>
      <w:r>
        <w:rPr>
          <w:rFonts w:hint="eastAsia" w:cs="Times New Roman"/>
          <w:bCs/>
          <w:color w:val="auto"/>
          <w:sz w:val="30"/>
          <w:szCs w:val="30"/>
          <w:lang w:val="en-US" w:eastAsia="zh-CN"/>
        </w:rPr>
        <w:t>6</w:t>
      </w:r>
      <w:r>
        <w:rPr>
          <w:rFonts w:hint="eastAsia" w:ascii="Times New Roman" w:hAnsi="Times New Roman" w:eastAsia="宋体" w:cs="Times New Roman"/>
          <w:bCs/>
          <w:color w:val="auto"/>
          <w:sz w:val="30"/>
          <w:szCs w:val="30"/>
          <w:lang w:val="en-US" w:eastAsia="zh-CN"/>
        </w:rPr>
        <w:t xml:space="preserve"> 主要工程施工方案</w:t>
      </w:r>
      <w:bookmarkEnd w:id="230"/>
      <w:r>
        <w:rPr>
          <w:rFonts w:hint="eastAsia" w:ascii="Times New Roman" w:hAnsi="Times New Roman" w:eastAsia="宋体" w:cs="Times New Roman"/>
          <w:bCs/>
          <w:color w:val="auto"/>
          <w:sz w:val="30"/>
          <w:szCs w:val="30"/>
          <w:lang w:val="en-US" w:eastAsia="zh-CN"/>
        </w:rPr>
        <w:t xml:space="preserve"> </w:t>
      </w:r>
    </w:p>
    <w:p>
      <w:pPr>
        <w:pStyle w:val="5"/>
        <w:jc w:val="both"/>
        <w:rPr>
          <w:rFonts w:hint="eastAsia" w:ascii="Times New Roman" w:hAnsi="Times New Roman" w:eastAsia="宋体" w:cs="Times New Roman"/>
          <w:color w:val="auto"/>
          <w:lang w:val="en-US" w:eastAsia="zh-CN"/>
        </w:rPr>
      </w:pPr>
      <w:bookmarkStart w:id="231" w:name="_Toc4999"/>
      <w:r>
        <w:rPr>
          <w:rFonts w:hint="eastAsia" w:ascii="Times New Roman" w:hAnsi="Times New Roman" w:eastAsia="宋体" w:cs="Times New Roman"/>
          <w:color w:val="auto"/>
          <w:lang w:val="en-US" w:eastAsia="zh-CN"/>
        </w:rPr>
        <w:t>3.</w:t>
      </w:r>
      <w:r>
        <w:rPr>
          <w:rFonts w:hint="eastAsia" w:cs="Times New Roman"/>
          <w:color w:val="auto"/>
          <w:lang w:val="en-US" w:eastAsia="zh-CN"/>
        </w:rPr>
        <w:t>6</w:t>
      </w:r>
      <w:r>
        <w:rPr>
          <w:rFonts w:hint="eastAsia" w:ascii="Times New Roman" w:hAnsi="Times New Roman" w:eastAsia="宋体" w:cs="Times New Roman"/>
          <w:color w:val="auto"/>
          <w:lang w:val="en-US" w:eastAsia="zh-CN"/>
        </w:rPr>
        <w:t>.1施工测量</w:t>
      </w:r>
      <w:bookmarkEnd w:id="231"/>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根据本工程的施工测量精度要求，配备具有丰富实践经验的人员和先进的测量仪器。同时为保证施工放样及定位的精度，制定本切实可行的测量方案。按下述方案实施本工程的测量控制。</w:t>
      </w:r>
    </w:p>
    <w:p>
      <w:pPr>
        <w:spacing w:line="480" w:lineRule="exact"/>
        <w:ind w:firstLine="482" w:firstLineChars="200"/>
        <w:jc w:val="both"/>
        <w:rPr>
          <w:rFonts w:hint="eastAsia" w:cs="Times New Roman"/>
          <w:b/>
          <w:bCs/>
          <w:color w:val="auto"/>
          <w:lang w:val="en-US" w:eastAsia="zh-CN"/>
        </w:rPr>
      </w:pPr>
      <w:r>
        <w:rPr>
          <w:rFonts w:hint="eastAsia" w:cs="Times New Roman"/>
          <w:b/>
          <w:bCs/>
          <w:color w:val="auto"/>
          <w:lang w:val="en-US" w:eastAsia="zh-CN"/>
        </w:rPr>
        <w:t>1、测量工作的要点：</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（1）熟悉施工图纸，掌握设计意图，严格按照规范规定的程序要求和标准精心施测。施工中发现控制点有位移迹象时，及时进行检测，保证其精度不低于测设时的精度。</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（2）选用高精度仪器，所有测量仪器在使用前按有关规定检验、校正。</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（3）放样前，对已有数据、资料和施工图中的几何尺寸，必须校核，严禁凭口头通知或用未签字的草图放样。</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4）放样立标确定边线，并分别编号、绘制施工测量平面图。在施工期间保护好测量控制点，如遗失必须及时补上。在陆上用砼埋设通视良好、不易破坏的控制点。在施工中应随时进行轴线控制，严格按照设计图纸进行放样。</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5）施工放样做到勤测，每一道工序开始时都要施测，认为必要时可重测或加密施测。施测要精确，技术要熟练，设计和规范的要求要精通，施测的方法要先进，措施要可靠。所有施工测量工作做到有放必复，分别由专人负责，并对测量标志定期进行复测，测量内业工作有专人校核，确保测量准确无误。所有的测量标志清楚、明了，施工人员可以一目了然。</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（6）所有外业测量资料，都应用墨水笔登记，测量完成后，需经监理工程师复核并签字认可。</w:t>
      </w:r>
    </w:p>
    <w:p>
      <w:pPr>
        <w:spacing w:line="480" w:lineRule="exact"/>
        <w:ind w:firstLine="482" w:firstLineChars="200"/>
        <w:jc w:val="both"/>
        <w:rPr>
          <w:rFonts w:hint="eastAsia" w:cs="Times New Roman"/>
          <w:b/>
          <w:bCs/>
          <w:color w:val="auto"/>
          <w:lang w:val="en-US" w:eastAsia="zh-CN"/>
        </w:rPr>
      </w:pPr>
      <w:r>
        <w:rPr>
          <w:rFonts w:hint="eastAsia" w:cs="Times New Roman"/>
          <w:b/>
          <w:bCs/>
          <w:color w:val="auto"/>
          <w:lang w:val="en-US" w:eastAsia="zh-CN"/>
        </w:rPr>
        <w:t>2、测量人员组成</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测量放样，是工程施工质量达到预期效果的重要环节，为此，工地成立专门测量小组，由具有理论与实际施工经验的测量工程师担任组长，并配备5名有实际经验的测量技术人员组成，在整个施工过程中，充分发挥测量工作的先导作用。</w:t>
      </w:r>
    </w:p>
    <w:p>
      <w:pPr>
        <w:spacing w:line="480" w:lineRule="exact"/>
        <w:ind w:firstLine="482" w:firstLineChars="200"/>
        <w:jc w:val="both"/>
        <w:rPr>
          <w:rFonts w:hint="eastAsia" w:cs="Times New Roman"/>
          <w:b/>
          <w:bCs/>
          <w:color w:val="auto"/>
          <w:lang w:val="en-US" w:eastAsia="zh-CN"/>
        </w:rPr>
      </w:pPr>
      <w:r>
        <w:rPr>
          <w:rFonts w:hint="eastAsia" w:cs="Times New Roman"/>
          <w:b/>
          <w:bCs/>
          <w:color w:val="auto"/>
          <w:lang w:val="en-US" w:eastAsia="zh-CN"/>
        </w:rPr>
        <w:t>3、测量仪器配备</w:t>
      </w:r>
    </w:p>
    <w:p>
      <w:pPr>
        <w:spacing w:line="480" w:lineRule="exact"/>
        <w:ind w:firstLine="482" w:firstLineChars="20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w:t>
      </w:r>
      <w:r>
        <w:rPr>
          <w:rFonts w:hint="eastAsia" w:cs="Times New Roman"/>
          <w:b/>
          <w:bCs/>
          <w:color w:val="auto"/>
          <w:lang w:val="en-US" w:eastAsia="zh-CN"/>
        </w:rPr>
        <w:t>3.5-2</w:t>
      </w:r>
      <w:r>
        <w:rPr>
          <w:rFonts w:hint="default" w:ascii="Times New Roman" w:hAnsi="Times New Roman" w:eastAsia="宋体" w:cs="Times New Roman"/>
          <w:b/>
          <w:bCs/>
          <w:color w:val="auto"/>
          <w:lang w:val="en-US" w:eastAsia="zh-CN"/>
        </w:rPr>
        <w:t xml:space="preserve"> </w:t>
      </w:r>
      <w:r>
        <w:rPr>
          <w:rFonts w:hint="eastAsia" w:cs="Times New Roman"/>
          <w:b/>
          <w:bCs/>
          <w:color w:val="auto"/>
          <w:lang w:val="en-US" w:eastAsia="zh-CN"/>
        </w:rPr>
        <w:t>施工测量仪器</w:t>
      </w:r>
    </w:p>
    <w:tbl>
      <w:tblPr>
        <w:tblStyle w:val="5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1750"/>
        <w:gridCol w:w="1634"/>
        <w:gridCol w:w="1360"/>
        <w:gridCol w:w="1710"/>
        <w:gridCol w:w="17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2" w:type="dxa"/>
            <w:tcBorders>
              <w:tl2br w:val="nil"/>
              <w:tr2bl w:val="nil"/>
            </w:tcBorders>
            <w:vAlign w:val="center"/>
          </w:tcPr>
          <w:p>
            <w:pPr>
              <w:widowControl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序号</w:t>
            </w:r>
          </w:p>
        </w:tc>
        <w:tc>
          <w:tcPr>
            <w:tcW w:w="1750" w:type="dxa"/>
            <w:tcBorders>
              <w:tl2br w:val="nil"/>
              <w:tr2bl w:val="nil"/>
            </w:tcBorders>
            <w:vAlign w:val="center"/>
          </w:tcPr>
          <w:p>
            <w:pPr>
              <w:widowControl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仪器名称</w:t>
            </w:r>
          </w:p>
        </w:tc>
        <w:tc>
          <w:tcPr>
            <w:tcW w:w="1634" w:type="dxa"/>
            <w:tcBorders>
              <w:tl2br w:val="nil"/>
              <w:tr2bl w:val="nil"/>
            </w:tcBorders>
            <w:vAlign w:val="center"/>
          </w:tcPr>
          <w:p>
            <w:pPr>
              <w:widowControl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规格型号</w:t>
            </w:r>
          </w:p>
        </w:tc>
        <w:tc>
          <w:tcPr>
            <w:tcW w:w="1360" w:type="dxa"/>
            <w:tcBorders>
              <w:tl2br w:val="nil"/>
              <w:tr2bl w:val="nil"/>
            </w:tcBorders>
            <w:vAlign w:val="center"/>
          </w:tcPr>
          <w:p>
            <w:pPr>
              <w:widowControl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鉴定情况</w:t>
            </w:r>
          </w:p>
        </w:tc>
        <w:tc>
          <w:tcPr>
            <w:tcW w:w="1710" w:type="dxa"/>
            <w:tcBorders>
              <w:tl2br w:val="nil"/>
              <w:tr2bl w:val="nil"/>
            </w:tcBorders>
            <w:vAlign w:val="center"/>
          </w:tcPr>
          <w:p>
            <w:pPr>
              <w:widowControl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单位</w:t>
            </w:r>
          </w:p>
        </w:tc>
        <w:tc>
          <w:tcPr>
            <w:tcW w:w="1725" w:type="dxa"/>
            <w:tcBorders>
              <w:tl2br w:val="nil"/>
              <w:tr2bl w:val="nil"/>
            </w:tcBorders>
            <w:vAlign w:val="center"/>
          </w:tcPr>
          <w:p>
            <w:pPr>
              <w:widowControl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2"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c>
          <w:tcPr>
            <w:tcW w:w="1750"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全站仪</w:t>
            </w:r>
          </w:p>
        </w:tc>
        <w:tc>
          <w:tcPr>
            <w:tcW w:w="1634"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拓普康</w:t>
            </w:r>
          </w:p>
        </w:tc>
        <w:tc>
          <w:tcPr>
            <w:tcW w:w="1360"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合格</w:t>
            </w:r>
          </w:p>
        </w:tc>
        <w:tc>
          <w:tcPr>
            <w:tcW w:w="1710"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套</w:t>
            </w:r>
          </w:p>
        </w:tc>
        <w:tc>
          <w:tcPr>
            <w:tcW w:w="172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2"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w:t>
            </w:r>
          </w:p>
        </w:tc>
        <w:tc>
          <w:tcPr>
            <w:tcW w:w="1750"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经纬仪</w:t>
            </w:r>
          </w:p>
        </w:tc>
        <w:tc>
          <w:tcPr>
            <w:tcW w:w="1634"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DJ2</w:t>
            </w:r>
          </w:p>
        </w:tc>
        <w:tc>
          <w:tcPr>
            <w:tcW w:w="1360"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合格</w:t>
            </w:r>
          </w:p>
        </w:tc>
        <w:tc>
          <w:tcPr>
            <w:tcW w:w="1710"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套</w:t>
            </w:r>
          </w:p>
        </w:tc>
        <w:tc>
          <w:tcPr>
            <w:tcW w:w="172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2"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w:t>
            </w:r>
          </w:p>
        </w:tc>
        <w:tc>
          <w:tcPr>
            <w:tcW w:w="1750"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水准仪</w:t>
            </w:r>
          </w:p>
        </w:tc>
        <w:tc>
          <w:tcPr>
            <w:tcW w:w="1634"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DS3</w:t>
            </w:r>
          </w:p>
        </w:tc>
        <w:tc>
          <w:tcPr>
            <w:tcW w:w="1360"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合格</w:t>
            </w:r>
          </w:p>
        </w:tc>
        <w:tc>
          <w:tcPr>
            <w:tcW w:w="1710"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套</w:t>
            </w:r>
          </w:p>
        </w:tc>
        <w:tc>
          <w:tcPr>
            <w:tcW w:w="172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2"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c>
          <w:tcPr>
            <w:tcW w:w="1750"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钢尺</w:t>
            </w:r>
          </w:p>
        </w:tc>
        <w:tc>
          <w:tcPr>
            <w:tcW w:w="1634"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50m</w:t>
            </w:r>
          </w:p>
        </w:tc>
        <w:tc>
          <w:tcPr>
            <w:tcW w:w="1360"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合格</w:t>
            </w:r>
          </w:p>
        </w:tc>
        <w:tc>
          <w:tcPr>
            <w:tcW w:w="1710"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把</w:t>
            </w:r>
          </w:p>
        </w:tc>
        <w:tc>
          <w:tcPr>
            <w:tcW w:w="172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2"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5</w:t>
            </w:r>
          </w:p>
        </w:tc>
        <w:tc>
          <w:tcPr>
            <w:tcW w:w="1750"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塔尺</w:t>
            </w:r>
          </w:p>
        </w:tc>
        <w:tc>
          <w:tcPr>
            <w:tcW w:w="1634"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5m</w:t>
            </w:r>
          </w:p>
        </w:tc>
        <w:tc>
          <w:tcPr>
            <w:tcW w:w="1360"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合格</w:t>
            </w:r>
          </w:p>
        </w:tc>
        <w:tc>
          <w:tcPr>
            <w:tcW w:w="1710"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把</w:t>
            </w:r>
          </w:p>
        </w:tc>
        <w:tc>
          <w:tcPr>
            <w:tcW w:w="172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2"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6</w:t>
            </w:r>
          </w:p>
        </w:tc>
        <w:tc>
          <w:tcPr>
            <w:tcW w:w="1750"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盒尺</w:t>
            </w:r>
          </w:p>
        </w:tc>
        <w:tc>
          <w:tcPr>
            <w:tcW w:w="1634"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5m</w:t>
            </w:r>
          </w:p>
        </w:tc>
        <w:tc>
          <w:tcPr>
            <w:tcW w:w="1360"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合格</w:t>
            </w:r>
          </w:p>
        </w:tc>
        <w:tc>
          <w:tcPr>
            <w:tcW w:w="1710"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把</w:t>
            </w:r>
          </w:p>
        </w:tc>
        <w:tc>
          <w:tcPr>
            <w:tcW w:w="172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2" w:type="dxa"/>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7</w:t>
            </w:r>
          </w:p>
        </w:tc>
        <w:tc>
          <w:tcPr>
            <w:tcW w:w="1750" w:type="dxa"/>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线坠</w:t>
            </w:r>
          </w:p>
        </w:tc>
        <w:tc>
          <w:tcPr>
            <w:tcW w:w="1634"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0.5kg</w:t>
            </w:r>
          </w:p>
        </w:tc>
        <w:tc>
          <w:tcPr>
            <w:tcW w:w="1360"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合格</w:t>
            </w:r>
          </w:p>
        </w:tc>
        <w:tc>
          <w:tcPr>
            <w:tcW w:w="1710"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只</w:t>
            </w:r>
          </w:p>
        </w:tc>
        <w:tc>
          <w:tcPr>
            <w:tcW w:w="172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2" w:type="dxa"/>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8</w:t>
            </w:r>
          </w:p>
        </w:tc>
        <w:tc>
          <w:tcPr>
            <w:tcW w:w="1750" w:type="dxa"/>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RTK</w:t>
            </w:r>
          </w:p>
        </w:tc>
        <w:tc>
          <w:tcPr>
            <w:tcW w:w="1634"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中海达</w:t>
            </w:r>
          </w:p>
        </w:tc>
        <w:tc>
          <w:tcPr>
            <w:tcW w:w="1360"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合格</w:t>
            </w:r>
          </w:p>
        </w:tc>
        <w:tc>
          <w:tcPr>
            <w:tcW w:w="1710"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台</w:t>
            </w:r>
          </w:p>
        </w:tc>
        <w:tc>
          <w:tcPr>
            <w:tcW w:w="172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r>
    </w:tbl>
    <w:p>
      <w:pPr>
        <w:spacing w:line="480" w:lineRule="exact"/>
        <w:ind w:firstLine="482" w:firstLineChars="200"/>
        <w:jc w:val="both"/>
        <w:rPr>
          <w:rFonts w:hint="eastAsia" w:cs="Times New Roman"/>
          <w:b/>
          <w:bCs/>
          <w:color w:val="auto"/>
          <w:lang w:val="en-US" w:eastAsia="zh-CN"/>
        </w:rPr>
      </w:pPr>
      <w:r>
        <w:rPr>
          <w:rFonts w:hint="eastAsia" w:cs="Times New Roman"/>
          <w:b/>
          <w:bCs/>
          <w:color w:val="auto"/>
          <w:lang w:val="en-US" w:eastAsia="zh-CN"/>
        </w:rPr>
        <w:t>4、工程测量</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（1）首级导线点的复测</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先根据设计文件，按相同的导线形式和同等精度进行外业实地测量（如原有导线点被破坏，则相应增设），经微机计算后，提交相关资料报监理工程师审核，确定首级导线点的三维坐标数据，作为施工测量依据。</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（2）地形的复测</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使用精纬仪依据首级导线点和设计里程中桩坐标，用极坐标法恢复各里程桩位，用三角高程法实测地面高程，用水准仪测断面高程，提交纵横断面等相关资料报监理工程师审核，确定工程量。</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（3）建立施工测量控制网</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线路测量以首级导线点控制，遇特殊地段或施工要求，则布设次级导线加密，以满足放样区域50m内能有效控制。</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（4）测量标志保护及测量数据复验</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所有测量标志设置牢固可靠，且不受施工影响，在施工期间加强对测量控制点的保护，并定期复验各控制点，发现问题及时补测补设。</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（5）线路施工放样</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放样原则为根据施工顺序逐层控制；放样方法为主要里程桩位采用精纬仪坐标法放样与校核；高程用水准仪测设。</w:t>
      </w:r>
    </w:p>
    <w:p>
      <w:pPr>
        <w:spacing w:line="480" w:lineRule="exact"/>
        <w:ind w:firstLine="482" w:firstLineChars="200"/>
        <w:jc w:val="both"/>
        <w:rPr>
          <w:rFonts w:hint="eastAsia" w:cs="Times New Roman"/>
          <w:b/>
          <w:bCs/>
          <w:color w:val="auto"/>
          <w:lang w:val="en-US" w:eastAsia="zh-CN"/>
        </w:rPr>
      </w:pPr>
      <w:r>
        <w:rPr>
          <w:rFonts w:hint="eastAsia" w:cs="Times New Roman"/>
          <w:b/>
          <w:bCs/>
          <w:color w:val="auto"/>
          <w:lang w:val="en-US" w:eastAsia="zh-CN"/>
        </w:rPr>
        <w:t>5、施测安全及仪器管理</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（1）施测人员进入施工现场必须戴好安全帽。</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（2）在投放基础轴线时，确保架设的仪器稳定性。</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（3）施测人员在施测中应坚守岗位，雨天或强烈阳光下应打伞。仪器架设好，须有专人看护。</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（4）施测过程中，要避免仪器碰撞或倾倒。</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（5）所用线坠不能置于不稳定处，以防掉落伤人。</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（6）仪器使用完毕后需立即入箱上锁，由专人负责保管，存放在通风干燥的室内。</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（7）测量人员持证上岗，严格遵守仪器测量操作规程作业。</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（8）使用钢尺测距须使尺带平坦，不能扭转折压，测量后应即卷起。</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（9）钢尺使用后表面有污垢及时擦净，长期贮存时尺带涂防锈漆。</w:t>
      </w:r>
    </w:p>
    <w:p>
      <w:pPr>
        <w:spacing w:line="480" w:lineRule="exact"/>
        <w:ind w:firstLine="482" w:firstLineChars="200"/>
        <w:jc w:val="both"/>
        <w:rPr>
          <w:rFonts w:hint="eastAsia" w:cs="Times New Roman"/>
          <w:b/>
          <w:bCs/>
          <w:color w:val="auto"/>
          <w:lang w:val="en-US" w:eastAsia="zh-CN"/>
        </w:rPr>
      </w:pPr>
      <w:r>
        <w:rPr>
          <w:rFonts w:hint="eastAsia" w:cs="Times New Roman"/>
          <w:b/>
          <w:bCs/>
          <w:color w:val="auto"/>
          <w:lang w:val="en-US" w:eastAsia="zh-CN"/>
        </w:rPr>
        <w:t>6、测量注意事项</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（1）对发包人或监理人提供的基准点首先进行复核校验，发现问题及时以书面形式，控制网点要做醒目标志，并采取保护措施。</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（2）测量作业完成后方可进行平差计算及内业资料整理，并将成果报监理工程师验收，审批合格后方可作为各项工程定点放样的依据。</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（3）测量资料的计算必须由两人用不同的方法计算，其结果一致后方可进行实地测量放样。</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（4）所有观测记录簿必须保持完整，不得撕页，记录中间也不得无故留下空页。</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（5）施工测量成果资料（包括观测记录簿、放样单、放样记载簿），图表（包括地形图、竣工断面图、控制网计算资料）应予以统一编号，妥善保管，分类建档。</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（6）现场作业时，必须遵守有关安全、技术操作规程，注意人身和仪器的安全，禁止冒险作业。</w:t>
      </w:r>
    </w:p>
    <w:p>
      <w:pPr>
        <w:pStyle w:val="5"/>
        <w:jc w:val="both"/>
        <w:rPr>
          <w:rFonts w:hint="default" w:ascii="Times New Roman" w:hAnsi="Times New Roman" w:eastAsia="宋体" w:cs="Times New Roman"/>
          <w:color w:val="auto"/>
          <w:lang w:val="en-US" w:eastAsia="zh-CN"/>
        </w:rPr>
      </w:pPr>
      <w:bookmarkStart w:id="232" w:name="_Toc8016"/>
      <w:r>
        <w:rPr>
          <w:rFonts w:hint="eastAsia" w:ascii="Times New Roman" w:hAnsi="Times New Roman" w:eastAsia="宋体" w:cs="Times New Roman"/>
          <w:color w:val="auto"/>
          <w:lang w:val="en-US" w:eastAsia="zh-CN"/>
        </w:rPr>
        <w:t>3.</w:t>
      </w:r>
      <w:r>
        <w:rPr>
          <w:rFonts w:hint="eastAsia" w:cs="Times New Roman"/>
          <w:color w:val="auto"/>
          <w:lang w:val="en-US" w:eastAsia="zh-CN"/>
        </w:rPr>
        <w:t>6</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lang w:val="en-US" w:eastAsia="zh-CN"/>
        </w:rPr>
        <w:t>围隔及拦鱼网工程</w:t>
      </w:r>
      <w:bookmarkEnd w:id="232"/>
    </w:p>
    <w:p>
      <w:pPr>
        <w:spacing w:line="480" w:lineRule="exact"/>
        <w:ind w:firstLine="480" w:firstLineChars="200"/>
        <w:jc w:val="both"/>
        <w:rPr>
          <w:rFonts w:hint="default" w:cs="Times New Roman"/>
          <w:color w:val="auto"/>
          <w:lang w:val="en-US" w:eastAsia="zh-CN"/>
        </w:rPr>
      </w:pPr>
      <w:r>
        <w:rPr>
          <w:rFonts w:hint="default" w:cs="Times New Roman"/>
          <w:color w:val="auto"/>
          <w:lang w:val="en-US" w:eastAsia="zh-CN"/>
        </w:rPr>
        <w:t>本工程采用漂浮消浪蓝藻系统：由橡胶围隔、生态围隔、拦鱼网、生态拦网系统组成。其中橡胶围隔1765m，生态围隔944m，生态拦网2251m，导流围隔20m，拦鱼网1818m。</w:t>
      </w:r>
    </w:p>
    <w:p>
      <w:pPr>
        <w:spacing w:line="480" w:lineRule="exact"/>
        <w:ind w:firstLine="482" w:firstLineChars="200"/>
        <w:jc w:val="both"/>
        <w:rPr>
          <w:rFonts w:hint="default" w:cs="Times New Roman"/>
          <w:b/>
          <w:bCs/>
          <w:color w:val="auto"/>
          <w:lang w:val="en-US" w:eastAsia="zh-CN"/>
        </w:rPr>
      </w:pPr>
      <w:r>
        <w:rPr>
          <w:rFonts w:hint="eastAsia" w:cs="Times New Roman"/>
          <w:b/>
          <w:bCs/>
          <w:color w:val="auto"/>
          <w:lang w:val="en-US" w:eastAsia="zh-CN"/>
        </w:rPr>
        <w:t>1</w:t>
      </w:r>
      <w:r>
        <w:rPr>
          <w:rFonts w:hint="default" w:cs="Times New Roman"/>
          <w:b/>
          <w:bCs/>
          <w:color w:val="auto"/>
          <w:lang w:val="en-US" w:eastAsia="zh-CN"/>
        </w:rPr>
        <w:t>、橡胶围隔、生态围隔</w:t>
      </w:r>
    </w:p>
    <w:p>
      <w:pPr>
        <w:spacing w:line="480" w:lineRule="exact"/>
        <w:ind w:firstLine="480" w:firstLineChars="200"/>
        <w:jc w:val="both"/>
        <w:rPr>
          <w:rFonts w:hint="default" w:cs="Times New Roman"/>
          <w:color w:val="auto"/>
          <w:lang w:val="en-US" w:eastAsia="zh-CN"/>
        </w:rPr>
      </w:pPr>
      <w:r>
        <w:rPr>
          <w:rFonts w:hint="default" w:cs="Times New Roman"/>
          <w:color w:val="auto"/>
          <w:lang w:val="en-US" w:eastAsia="zh-CN"/>
        </w:rPr>
        <w:t>橡胶围隔、生态围隔采用柔性围隔布作为主要削浪拦藻主体结构，两者组成结构较为类似，由上部浮体、中部围隔布、下部配重石笼以及固定系统组成，其固定系统主要由锚固钢管桩及PVC锚绳组成，典型布置断面图见下图。</w:t>
      </w:r>
    </w:p>
    <w:p>
      <w:pPr>
        <w:spacing w:line="480" w:lineRule="exact"/>
        <w:ind w:firstLine="600" w:firstLineChars="200"/>
        <w:rPr>
          <w:rFonts w:hint="default" w:cs="Times New Roman"/>
          <w:color w:val="auto"/>
          <w:lang w:val="en-US" w:eastAsia="zh-CN"/>
        </w:rPr>
      </w:pPr>
      <w:r>
        <w:rPr>
          <w:rFonts w:hint="default" w:cs="Times New Roman"/>
          <w:bCs/>
          <w:color w:val="auto"/>
          <w:sz w:val="30"/>
          <w:szCs w:val="30"/>
          <w:lang w:val="en-US" w:eastAsia="zh-CN"/>
        </w:rPr>
        <w:drawing>
          <wp:anchor distT="0" distB="0" distL="114300" distR="114300" simplePos="0" relativeHeight="251695104" behindDoc="0" locked="0" layoutInCell="1" allowOverlap="1">
            <wp:simplePos x="0" y="0"/>
            <wp:positionH relativeFrom="column">
              <wp:posOffset>-337185</wp:posOffset>
            </wp:positionH>
            <wp:positionV relativeFrom="paragraph">
              <wp:posOffset>27305</wp:posOffset>
            </wp:positionV>
            <wp:extent cx="6652895" cy="2215515"/>
            <wp:effectExtent l="0" t="0" r="14605" b="13335"/>
            <wp:wrapNone/>
            <wp:docPr id="62" name="图片 62" descr="苏州市太湖渔洋山水源地近岸生态修复工程(EPC)施工组织设计 2021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苏州市太湖渔洋山水源地近岸生态修复工程(EPC)施工组织设计 20210916"/>
                    <pic:cNvPicPr>
                      <a:picLocks noChangeAspect="1"/>
                    </pic:cNvPicPr>
                  </pic:nvPicPr>
                  <pic:blipFill>
                    <a:blip r:embed="rId40"/>
                    <a:stretch>
                      <a:fillRect/>
                    </a:stretch>
                  </pic:blipFill>
                  <pic:spPr>
                    <a:xfrm>
                      <a:off x="0" y="0"/>
                      <a:ext cx="6652895" cy="2215515"/>
                    </a:xfrm>
                    <a:prstGeom prst="rect">
                      <a:avLst/>
                    </a:prstGeom>
                  </pic:spPr>
                </pic:pic>
              </a:graphicData>
            </a:graphic>
          </wp:anchor>
        </w:drawing>
      </w:r>
    </w:p>
    <w:p>
      <w:pPr>
        <w:rPr>
          <w:rFonts w:hint="default" w:cs="Times New Roman"/>
          <w:bCs/>
          <w:color w:val="auto"/>
          <w:sz w:val="30"/>
          <w:szCs w:val="30"/>
          <w:lang w:val="en-US" w:eastAsia="zh-CN"/>
        </w:rPr>
      </w:pPr>
    </w:p>
    <w:p>
      <w:pPr>
        <w:rPr>
          <w:rFonts w:hint="default" w:cs="Times New Roman"/>
          <w:bCs/>
          <w:color w:val="auto"/>
          <w:sz w:val="30"/>
          <w:szCs w:val="30"/>
          <w:lang w:val="en-US" w:eastAsia="zh-CN"/>
        </w:rPr>
      </w:pPr>
    </w:p>
    <w:p>
      <w:pPr>
        <w:rPr>
          <w:rFonts w:hint="default" w:cs="Times New Roman"/>
          <w:bCs/>
          <w:color w:val="auto"/>
          <w:sz w:val="30"/>
          <w:szCs w:val="30"/>
          <w:lang w:val="en-US" w:eastAsia="zh-CN"/>
        </w:rPr>
      </w:pPr>
    </w:p>
    <w:p>
      <w:pPr>
        <w:rPr>
          <w:rFonts w:hint="default" w:cs="Times New Roman"/>
          <w:bCs/>
          <w:color w:val="auto"/>
          <w:sz w:val="30"/>
          <w:szCs w:val="30"/>
          <w:lang w:val="en-US" w:eastAsia="zh-CN"/>
        </w:rPr>
      </w:pPr>
    </w:p>
    <w:p>
      <w:pPr>
        <w:rPr>
          <w:rFonts w:hint="default" w:cs="Times New Roman"/>
          <w:bCs/>
          <w:color w:val="auto"/>
          <w:sz w:val="30"/>
          <w:szCs w:val="30"/>
          <w:lang w:val="en-US" w:eastAsia="zh-CN"/>
        </w:rPr>
      </w:pPr>
    </w:p>
    <w:p>
      <w:pPr>
        <w:rPr>
          <w:rFonts w:hint="default" w:cs="Times New Roman"/>
          <w:bCs/>
          <w:color w:val="auto"/>
          <w:sz w:val="30"/>
          <w:szCs w:val="30"/>
          <w:lang w:val="en-US" w:eastAsia="zh-CN"/>
        </w:rPr>
      </w:pPr>
    </w:p>
    <w:p>
      <w:pPr>
        <w:rPr>
          <w:rFonts w:hint="default" w:cs="Times New Roman"/>
          <w:bCs/>
          <w:color w:val="auto"/>
          <w:sz w:val="30"/>
          <w:szCs w:val="30"/>
          <w:lang w:val="en-US" w:eastAsia="zh-CN"/>
        </w:rPr>
      </w:pPr>
    </w:p>
    <w:p>
      <w:pPr>
        <w:rPr>
          <w:rFonts w:hint="default" w:cs="Times New Roman"/>
          <w:bCs/>
          <w:color w:val="auto"/>
          <w:sz w:val="30"/>
          <w:szCs w:val="30"/>
          <w:lang w:val="en-US" w:eastAsia="zh-CN"/>
        </w:rPr>
      </w:pPr>
    </w:p>
    <w:p>
      <w:pPr>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图</w:t>
      </w:r>
      <w:r>
        <w:rPr>
          <w:rFonts w:hint="eastAsia" w:cs="Times New Roman"/>
          <w:b/>
          <w:bCs/>
          <w:color w:val="auto"/>
          <w:lang w:val="en-US" w:eastAsia="zh-CN"/>
        </w:rPr>
        <w:t>3.6-1</w:t>
      </w:r>
      <w:r>
        <w:rPr>
          <w:rFonts w:hint="default" w:ascii="Times New Roman" w:hAnsi="Times New Roman" w:eastAsia="宋体" w:cs="Times New Roman"/>
          <w:b/>
          <w:bCs/>
          <w:color w:val="auto"/>
          <w:lang w:val="en-US" w:eastAsia="zh-CN"/>
        </w:rPr>
        <w:t xml:space="preserve"> 橡胶围隔固定系统典型断面图</w:t>
      </w:r>
    </w:p>
    <w:p>
      <w:pPr>
        <w:rPr>
          <w:rFonts w:hint="default" w:cs="Times New Roman"/>
          <w:bCs/>
          <w:color w:val="auto"/>
          <w:sz w:val="30"/>
          <w:szCs w:val="30"/>
          <w:lang w:val="en-US" w:eastAsia="zh-CN"/>
        </w:rPr>
      </w:pPr>
      <w:r>
        <w:rPr>
          <w:rFonts w:hint="default" w:cs="Times New Roman"/>
          <w:bCs/>
          <w:color w:val="auto"/>
          <w:sz w:val="30"/>
          <w:szCs w:val="30"/>
          <w:lang w:val="en-US" w:eastAsia="zh-CN"/>
        </w:rPr>
        <w:drawing>
          <wp:anchor distT="0" distB="0" distL="114300" distR="114300" simplePos="0" relativeHeight="251696128" behindDoc="0" locked="0" layoutInCell="1" allowOverlap="1">
            <wp:simplePos x="0" y="0"/>
            <wp:positionH relativeFrom="column">
              <wp:posOffset>-281940</wp:posOffset>
            </wp:positionH>
            <wp:positionV relativeFrom="paragraph">
              <wp:posOffset>160655</wp:posOffset>
            </wp:positionV>
            <wp:extent cx="6493510" cy="2200275"/>
            <wp:effectExtent l="0" t="0" r="2540" b="9525"/>
            <wp:wrapNone/>
            <wp:docPr id="73" name="图片 73" descr="苏州市太湖渔洋山水源地近岸生态修复工程(EPC)施工组织设计 2021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苏州市太湖渔洋山水源地近岸生态修复工程(EPC)施工组织设计 20210916"/>
                    <pic:cNvPicPr>
                      <a:picLocks noChangeAspect="1"/>
                    </pic:cNvPicPr>
                  </pic:nvPicPr>
                  <pic:blipFill>
                    <a:blip r:embed="rId41"/>
                    <a:stretch>
                      <a:fillRect/>
                    </a:stretch>
                  </pic:blipFill>
                  <pic:spPr>
                    <a:xfrm>
                      <a:off x="0" y="0"/>
                      <a:ext cx="6493510" cy="2200275"/>
                    </a:xfrm>
                    <a:prstGeom prst="rect">
                      <a:avLst/>
                    </a:prstGeom>
                  </pic:spPr>
                </pic:pic>
              </a:graphicData>
            </a:graphic>
          </wp:anchor>
        </w:drawing>
      </w:r>
    </w:p>
    <w:p>
      <w:pPr>
        <w:rPr>
          <w:rFonts w:hint="default" w:cs="Times New Roman"/>
          <w:bCs/>
          <w:color w:val="auto"/>
          <w:sz w:val="30"/>
          <w:szCs w:val="30"/>
          <w:lang w:val="en-US" w:eastAsia="zh-CN"/>
        </w:rPr>
      </w:pPr>
    </w:p>
    <w:p>
      <w:pPr>
        <w:rPr>
          <w:rFonts w:hint="default" w:cs="Times New Roman"/>
          <w:bCs/>
          <w:color w:val="auto"/>
          <w:sz w:val="30"/>
          <w:szCs w:val="30"/>
          <w:lang w:val="en-US" w:eastAsia="zh-CN"/>
        </w:rPr>
      </w:pPr>
    </w:p>
    <w:p>
      <w:pPr>
        <w:rPr>
          <w:rFonts w:hint="default" w:cs="Times New Roman"/>
          <w:bCs/>
          <w:color w:val="auto"/>
          <w:sz w:val="30"/>
          <w:szCs w:val="30"/>
          <w:lang w:val="en-US" w:eastAsia="zh-CN"/>
        </w:rPr>
      </w:pPr>
    </w:p>
    <w:p>
      <w:pPr>
        <w:rPr>
          <w:rFonts w:hint="default" w:cs="Times New Roman"/>
          <w:bCs/>
          <w:color w:val="auto"/>
          <w:sz w:val="30"/>
          <w:szCs w:val="30"/>
          <w:lang w:val="en-US" w:eastAsia="zh-CN"/>
        </w:rPr>
      </w:pPr>
    </w:p>
    <w:p>
      <w:pPr>
        <w:rPr>
          <w:rFonts w:hint="default" w:cs="Times New Roman"/>
          <w:bCs/>
          <w:color w:val="auto"/>
          <w:sz w:val="30"/>
          <w:szCs w:val="30"/>
          <w:lang w:val="en-US" w:eastAsia="zh-CN"/>
        </w:rPr>
      </w:pPr>
    </w:p>
    <w:p>
      <w:pPr>
        <w:rPr>
          <w:rFonts w:hint="default" w:cs="Times New Roman"/>
          <w:bCs/>
          <w:color w:val="auto"/>
          <w:sz w:val="30"/>
          <w:szCs w:val="30"/>
          <w:lang w:val="en-US" w:eastAsia="zh-CN"/>
        </w:rPr>
      </w:pPr>
    </w:p>
    <w:p>
      <w:pPr>
        <w:jc w:val="center"/>
        <w:rPr>
          <w:rFonts w:hint="default" w:ascii="Times New Roman" w:hAnsi="Times New Roman" w:eastAsia="宋体" w:cs="Times New Roman"/>
          <w:b/>
          <w:bCs/>
          <w:color w:val="auto"/>
          <w:lang w:val="en-US" w:eastAsia="zh-CN"/>
        </w:rPr>
      </w:pPr>
    </w:p>
    <w:p>
      <w:pPr>
        <w:jc w:val="center"/>
        <w:rPr>
          <w:rFonts w:hint="default" w:ascii="Times New Roman" w:hAnsi="Times New Roman" w:eastAsia="宋体" w:cs="Times New Roman"/>
          <w:b/>
          <w:bCs/>
          <w:color w:val="auto"/>
          <w:lang w:val="en-US" w:eastAsia="zh-CN"/>
        </w:rPr>
      </w:pPr>
    </w:p>
    <w:p>
      <w:pPr>
        <w:jc w:val="center"/>
        <w:rPr>
          <w:rFonts w:hint="default" w:ascii="Times New Roman" w:hAnsi="Times New Roman" w:eastAsia="宋体" w:cs="Times New Roman"/>
          <w:b/>
          <w:bCs/>
          <w:color w:val="auto"/>
          <w:lang w:val="en-US" w:eastAsia="zh-CN"/>
        </w:rPr>
      </w:pPr>
    </w:p>
    <w:p>
      <w:pPr>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图</w:t>
      </w:r>
      <w:r>
        <w:rPr>
          <w:rFonts w:hint="eastAsia" w:cs="Times New Roman"/>
          <w:b/>
          <w:bCs/>
          <w:color w:val="auto"/>
          <w:lang w:val="en-US" w:eastAsia="zh-CN"/>
        </w:rPr>
        <w:t>3.6-2</w:t>
      </w:r>
      <w:r>
        <w:rPr>
          <w:rFonts w:hint="default" w:ascii="Times New Roman" w:hAnsi="Times New Roman" w:eastAsia="宋体" w:cs="Times New Roman"/>
          <w:b/>
          <w:bCs/>
          <w:color w:val="auto"/>
          <w:lang w:val="en-US" w:eastAsia="zh-CN"/>
        </w:rPr>
        <w:t xml:space="preserve"> </w:t>
      </w:r>
      <w:r>
        <w:rPr>
          <w:rFonts w:hint="eastAsia" w:cs="Times New Roman"/>
          <w:b/>
          <w:bCs/>
          <w:color w:val="auto"/>
          <w:lang w:val="en-US" w:eastAsia="zh-CN"/>
        </w:rPr>
        <w:t>生态</w:t>
      </w:r>
      <w:r>
        <w:rPr>
          <w:rFonts w:hint="default" w:ascii="Times New Roman" w:hAnsi="Times New Roman" w:eastAsia="宋体" w:cs="Times New Roman"/>
          <w:b/>
          <w:bCs/>
          <w:color w:val="auto"/>
          <w:lang w:val="en-US" w:eastAsia="zh-CN"/>
        </w:rPr>
        <w:t>围隔固定系统典型断面图</w:t>
      </w:r>
    </w:p>
    <w:p>
      <w:pPr>
        <w:rPr>
          <w:rFonts w:hint="default" w:cs="Times New Roman"/>
          <w:bCs/>
          <w:color w:val="auto"/>
          <w:sz w:val="30"/>
          <w:szCs w:val="30"/>
          <w:lang w:val="en-US" w:eastAsia="zh-CN"/>
        </w:rPr>
      </w:pPr>
    </w:p>
    <w:p>
      <w:pPr>
        <w:rPr>
          <w:rFonts w:hint="default" w:cs="Times New Roman"/>
          <w:bCs/>
          <w:color w:val="auto"/>
          <w:sz w:val="30"/>
          <w:szCs w:val="30"/>
          <w:lang w:val="en-US" w:eastAsia="zh-CN"/>
        </w:rPr>
      </w:pPr>
    </w:p>
    <w:p>
      <w:pPr>
        <w:pStyle w:val="2"/>
        <w:rPr>
          <w:rFonts w:hint="default" w:cs="Times New Roman"/>
          <w:bCs/>
          <w:color w:val="auto"/>
          <w:sz w:val="30"/>
          <w:szCs w:val="30"/>
          <w:lang w:val="en-US" w:eastAsia="zh-CN"/>
        </w:rPr>
      </w:pPr>
    </w:p>
    <w:p>
      <w:pPr>
        <w:pStyle w:val="2"/>
        <w:rPr>
          <w:rFonts w:hint="default" w:cs="Times New Roman"/>
          <w:bCs/>
          <w:color w:val="auto"/>
          <w:sz w:val="30"/>
          <w:szCs w:val="30"/>
          <w:lang w:val="en-US" w:eastAsia="zh-CN"/>
        </w:rPr>
      </w:pPr>
      <w:r>
        <w:rPr>
          <w:rFonts w:hint="default" w:cs="Times New Roman"/>
          <w:bCs/>
          <w:color w:val="auto"/>
          <w:sz w:val="30"/>
          <w:szCs w:val="30"/>
          <w:lang w:val="en-US" w:eastAsia="zh-CN"/>
        </w:rPr>
        <w:drawing>
          <wp:anchor distT="0" distB="0" distL="114300" distR="114300" simplePos="0" relativeHeight="251697152" behindDoc="0" locked="0" layoutInCell="1" allowOverlap="1">
            <wp:simplePos x="0" y="0"/>
            <wp:positionH relativeFrom="column">
              <wp:posOffset>440055</wp:posOffset>
            </wp:positionH>
            <wp:positionV relativeFrom="paragraph">
              <wp:posOffset>-48260</wp:posOffset>
            </wp:positionV>
            <wp:extent cx="4541520" cy="2476500"/>
            <wp:effectExtent l="0" t="0" r="11430" b="0"/>
            <wp:wrapNone/>
            <wp:docPr id="91" name="图片 91" descr="苏州市太湖渔洋山水源地近岸生态修复工程(EPC)施工组织设计 2021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苏州市太湖渔洋山水源地近岸生态修复工程(EPC)施工组织设计 20210916"/>
                    <pic:cNvPicPr>
                      <a:picLocks noChangeAspect="1"/>
                    </pic:cNvPicPr>
                  </pic:nvPicPr>
                  <pic:blipFill>
                    <a:blip r:embed="rId42"/>
                    <a:stretch>
                      <a:fillRect/>
                    </a:stretch>
                  </pic:blipFill>
                  <pic:spPr>
                    <a:xfrm>
                      <a:off x="0" y="0"/>
                      <a:ext cx="4541520" cy="2476500"/>
                    </a:xfrm>
                    <a:prstGeom prst="rect">
                      <a:avLst/>
                    </a:prstGeom>
                  </pic:spPr>
                </pic:pic>
              </a:graphicData>
            </a:graphic>
          </wp:anchor>
        </w:drawing>
      </w:r>
    </w:p>
    <w:p>
      <w:pPr>
        <w:pStyle w:val="2"/>
        <w:rPr>
          <w:rFonts w:hint="default" w:cs="Times New Roman"/>
          <w:bCs/>
          <w:color w:val="auto"/>
          <w:sz w:val="30"/>
          <w:szCs w:val="30"/>
          <w:lang w:val="en-US" w:eastAsia="zh-CN"/>
        </w:rPr>
      </w:pPr>
    </w:p>
    <w:p>
      <w:pPr>
        <w:pStyle w:val="2"/>
        <w:rPr>
          <w:rFonts w:hint="default" w:cs="Times New Roman"/>
          <w:bCs/>
          <w:color w:val="auto"/>
          <w:sz w:val="30"/>
          <w:szCs w:val="30"/>
          <w:lang w:val="en-US" w:eastAsia="zh-CN"/>
        </w:rPr>
      </w:pPr>
    </w:p>
    <w:p>
      <w:pPr>
        <w:pStyle w:val="2"/>
        <w:rPr>
          <w:rFonts w:hint="default" w:cs="Times New Roman"/>
          <w:bCs/>
          <w:color w:val="auto"/>
          <w:sz w:val="30"/>
          <w:szCs w:val="30"/>
          <w:lang w:val="en-US" w:eastAsia="zh-CN"/>
        </w:rPr>
      </w:pPr>
    </w:p>
    <w:p>
      <w:pPr>
        <w:pStyle w:val="2"/>
        <w:rPr>
          <w:rFonts w:hint="default" w:cs="Times New Roman"/>
          <w:bCs/>
          <w:color w:val="auto"/>
          <w:sz w:val="30"/>
          <w:szCs w:val="30"/>
          <w:lang w:val="en-US" w:eastAsia="zh-CN"/>
        </w:rPr>
      </w:pPr>
    </w:p>
    <w:p>
      <w:pPr>
        <w:pStyle w:val="2"/>
        <w:rPr>
          <w:rFonts w:hint="default" w:cs="Times New Roman"/>
          <w:bCs/>
          <w:color w:val="auto"/>
          <w:sz w:val="30"/>
          <w:szCs w:val="30"/>
          <w:lang w:val="en-US" w:eastAsia="zh-CN"/>
        </w:rPr>
      </w:pPr>
    </w:p>
    <w:p>
      <w:pPr>
        <w:pStyle w:val="2"/>
        <w:rPr>
          <w:rFonts w:hint="default" w:cs="Times New Roman"/>
          <w:bCs/>
          <w:color w:val="auto"/>
          <w:sz w:val="30"/>
          <w:szCs w:val="30"/>
          <w:lang w:val="en-US" w:eastAsia="zh-CN"/>
        </w:rPr>
      </w:pPr>
    </w:p>
    <w:p>
      <w:pPr>
        <w:pStyle w:val="2"/>
        <w:rPr>
          <w:rFonts w:hint="default" w:cs="Times New Roman"/>
          <w:bCs/>
          <w:color w:val="auto"/>
          <w:sz w:val="30"/>
          <w:szCs w:val="30"/>
          <w:lang w:val="en-US" w:eastAsia="zh-CN"/>
        </w:rPr>
      </w:pPr>
    </w:p>
    <w:p>
      <w:pPr>
        <w:pStyle w:val="2"/>
        <w:rPr>
          <w:rFonts w:hint="default" w:cs="Times New Roman"/>
          <w:bCs/>
          <w:color w:val="auto"/>
          <w:sz w:val="30"/>
          <w:szCs w:val="30"/>
          <w:lang w:val="en-US" w:eastAsia="zh-CN"/>
        </w:rPr>
      </w:pPr>
    </w:p>
    <w:p>
      <w:pPr>
        <w:pStyle w:val="2"/>
        <w:rPr>
          <w:rFonts w:hint="default" w:cs="Times New Roman"/>
          <w:bCs/>
          <w:color w:val="auto"/>
          <w:sz w:val="30"/>
          <w:szCs w:val="30"/>
          <w:lang w:val="en-US" w:eastAsia="zh-CN"/>
        </w:rPr>
      </w:pPr>
    </w:p>
    <w:p>
      <w:pPr>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图</w:t>
      </w:r>
      <w:r>
        <w:rPr>
          <w:rFonts w:hint="eastAsia" w:cs="Times New Roman"/>
          <w:b/>
          <w:bCs/>
          <w:color w:val="auto"/>
          <w:lang w:val="en-US" w:eastAsia="zh-CN"/>
        </w:rPr>
        <w:t>3.6-3</w:t>
      </w:r>
      <w:r>
        <w:rPr>
          <w:rFonts w:hint="default" w:ascii="Times New Roman" w:hAnsi="Times New Roman" w:eastAsia="宋体" w:cs="Times New Roman"/>
          <w:b/>
          <w:bCs/>
          <w:color w:val="auto"/>
          <w:lang w:val="en-US" w:eastAsia="zh-CN"/>
        </w:rPr>
        <w:t xml:space="preserve"> 围隔固定系统桩位布置示意图</w:t>
      </w:r>
    </w:p>
    <w:p>
      <w:pPr>
        <w:numPr>
          <w:ilvl w:val="0"/>
          <w:numId w:val="0"/>
        </w:numPr>
        <w:spacing w:line="480" w:lineRule="exact"/>
        <w:ind w:firstLine="480" w:firstLineChars="200"/>
        <w:rPr>
          <w:rFonts w:hint="default" w:cs="Times New Roman"/>
          <w:color w:val="auto"/>
          <w:lang w:val="en-US" w:eastAsia="zh-CN"/>
        </w:rPr>
      </w:pPr>
      <w:r>
        <w:rPr>
          <w:rFonts w:hint="eastAsia" w:cs="Times New Roman"/>
          <w:color w:val="auto"/>
          <w:lang w:val="en-US" w:eastAsia="zh-CN"/>
        </w:rPr>
        <w:t>本工程橡胶围隔、生态围隔施工</w:t>
      </w:r>
      <w:r>
        <w:rPr>
          <w:rFonts w:hint="default" w:cs="Times New Roman"/>
          <w:color w:val="auto"/>
          <w:lang w:val="en-US" w:eastAsia="zh-CN"/>
        </w:rPr>
        <w:t>工艺流程图</w:t>
      </w:r>
      <w:r>
        <w:rPr>
          <w:rFonts w:hint="eastAsia" w:cs="Times New Roman"/>
          <w:color w:val="auto"/>
          <w:lang w:val="en-US" w:eastAsia="zh-CN"/>
        </w:rPr>
        <w:t>如下：</w:t>
      </w:r>
    </w:p>
    <w:p>
      <w:pPr>
        <w:numPr>
          <w:ilvl w:val="0"/>
          <w:numId w:val="0"/>
        </w:numPr>
        <w:spacing w:line="480" w:lineRule="exact"/>
        <w:rPr>
          <w:rFonts w:hint="default" w:cs="Times New Roman"/>
          <w:color w:val="auto"/>
          <w:lang w:val="en-US" w:eastAsia="zh-CN"/>
        </w:rPr>
      </w:pPr>
      <w:r>
        <w:drawing>
          <wp:anchor distT="0" distB="0" distL="114300" distR="114300" simplePos="0" relativeHeight="251698176" behindDoc="0" locked="0" layoutInCell="1" allowOverlap="1">
            <wp:simplePos x="0" y="0"/>
            <wp:positionH relativeFrom="column">
              <wp:posOffset>-233045</wp:posOffset>
            </wp:positionH>
            <wp:positionV relativeFrom="paragraph">
              <wp:posOffset>72390</wp:posOffset>
            </wp:positionV>
            <wp:extent cx="6382385" cy="721995"/>
            <wp:effectExtent l="0" t="0" r="18415" b="1905"/>
            <wp:wrapNone/>
            <wp:docPr id="9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0"/>
                    <pic:cNvPicPr>
                      <a:picLocks noChangeAspect="1"/>
                    </pic:cNvPicPr>
                  </pic:nvPicPr>
                  <pic:blipFill>
                    <a:blip r:embed="rId43"/>
                    <a:stretch>
                      <a:fillRect/>
                    </a:stretch>
                  </pic:blipFill>
                  <pic:spPr>
                    <a:xfrm>
                      <a:off x="0" y="0"/>
                      <a:ext cx="6382385" cy="721995"/>
                    </a:xfrm>
                    <a:prstGeom prst="rect">
                      <a:avLst/>
                    </a:prstGeom>
                    <a:noFill/>
                    <a:ln>
                      <a:noFill/>
                    </a:ln>
                  </pic:spPr>
                </pic:pic>
              </a:graphicData>
            </a:graphic>
          </wp:anchor>
        </w:drawing>
      </w:r>
    </w:p>
    <w:p>
      <w:pPr>
        <w:numPr>
          <w:ilvl w:val="0"/>
          <w:numId w:val="0"/>
        </w:numPr>
        <w:spacing w:line="480" w:lineRule="exact"/>
        <w:rPr>
          <w:rFonts w:hint="default" w:cs="Times New Roman"/>
          <w:color w:val="auto"/>
          <w:lang w:val="en-US" w:eastAsia="zh-CN"/>
        </w:rPr>
      </w:pPr>
    </w:p>
    <w:p>
      <w:pPr>
        <w:jc w:val="center"/>
        <w:rPr>
          <w:rFonts w:hint="default" w:ascii="Times New Roman" w:hAnsi="Times New Roman" w:eastAsia="宋体" w:cs="Times New Roman"/>
          <w:b/>
          <w:bCs/>
          <w:color w:val="auto"/>
          <w:lang w:val="en-US" w:eastAsia="zh-CN"/>
        </w:rPr>
      </w:pPr>
    </w:p>
    <w:p>
      <w:pPr>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图</w:t>
      </w:r>
      <w:r>
        <w:rPr>
          <w:rFonts w:hint="eastAsia" w:cs="Times New Roman"/>
          <w:b/>
          <w:bCs/>
          <w:color w:val="auto"/>
          <w:lang w:val="en-US" w:eastAsia="zh-CN"/>
        </w:rPr>
        <w:t>3.6-4</w:t>
      </w:r>
      <w:r>
        <w:rPr>
          <w:rFonts w:hint="default" w:ascii="Times New Roman" w:hAnsi="Times New Roman" w:eastAsia="宋体" w:cs="Times New Roman"/>
          <w:b/>
          <w:bCs/>
          <w:color w:val="auto"/>
          <w:lang w:val="en-US" w:eastAsia="zh-CN"/>
        </w:rPr>
        <w:t xml:space="preserve"> 橡胶围隔、生态围隔</w:t>
      </w:r>
      <w:r>
        <w:rPr>
          <w:rFonts w:hint="eastAsia" w:cs="Times New Roman"/>
          <w:b/>
          <w:bCs/>
          <w:color w:val="auto"/>
          <w:lang w:val="en-US" w:eastAsia="zh-CN"/>
        </w:rPr>
        <w:t>施工工艺流程</w:t>
      </w:r>
      <w:r>
        <w:rPr>
          <w:rFonts w:hint="default" w:ascii="Times New Roman" w:hAnsi="Times New Roman" w:eastAsia="宋体" w:cs="Times New Roman"/>
          <w:b/>
          <w:bCs/>
          <w:color w:val="auto"/>
          <w:lang w:val="en-US" w:eastAsia="zh-CN"/>
        </w:rPr>
        <w:t>图</w:t>
      </w:r>
    </w:p>
    <w:p>
      <w:pPr>
        <w:spacing w:line="480" w:lineRule="exact"/>
        <w:ind w:firstLine="480" w:firstLineChars="200"/>
        <w:jc w:val="both"/>
        <w:rPr>
          <w:rFonts w:hint="default" w:cs="Times New Roman"/>
          <w:color w:val="auto"/>
          <w:lang w:val="en-US" w:eastAsia="zh-CN"/>
        </w:rPr>
      </w:pPr>
      <w:r>
        <w:rPr>
          <w:rFonts w:hint="default" w:cs="Times New Roman"/>
          <w:color w:val="auto"/>
          <w:lang w:val="en-US" w:eastAsia="zh-CN"/>
        </w:rPr>
        <w:t>施工工艺</w:t>
      </w:r>
      <w:r>
        <w:rPr>
          <w:rFonts w:hint="eastAsia" w:cs="Times New Roman"/>
          <w:color w:val="auto"/>
          <w:lang w:val="en-US" w:eastAsia="zh-CN"/>
        </w:rPr>
        <w:t>说明：</w:t>
      </w:r>
    </w:p>
    <w:p>
      <w:pPr>
        <w:spacing w:line="480" w:lineRule="exact"/>
        <w:ind w:firstLine="480" w:firstLineChars="200"/>
        <w:jc w:val="both"/>
        <w:rPr>
          <w:rFonts w:hint="default" w:cs="Times New Roman"/>
          <w:color w:val="auto"/>
          <w:lang w:val="en-US" w:eastAsia="zh-CN"/>
        </w:rPr>
      </w:pPr>
      <w:r>
        <w:rPr>
          <w:rFonts w:hint="eastAsia" w:cs="Times New Roman"/>
          <w:color w:val="auto"/>
          <w:lang w:val="en-US" w:eastAsia="zh-CN"/>
        </w:rPr>
        <w:t>（1）采购</w:t>
      </w:r>
    </w:p>
    <w:p>
      <w:pPr>
        <w:spacing w:line="480" w:lineRule="exact"/>
        <w:ind w:firstLine="480" w:firstLineChars="200"/>
        <w:jc w:val="both"/>
        <w:rPr>
          <w:rFonts w:hint="default" w:cs="Times New Roman"/>
          <w:color w:val="auto"/>
          <w:lang w:val="en-US" w:eastAsia="zh-CN"/>
        </w:rPr>
      </w:pPr>
      <w:r>
        <w:rPr>
          <w:rFonts w:hint="default" w:cs="Times New Roman"/>
          <w:color w:val="auto"/>
          <w:lang w:val="en-US" w:eastAsia="zh-CN"/>
        </w:rPr>
        <w:t>采购以本地及周边市场为主，调查苏州市材料市场，如满足我方采购标准，则就近购买，方便运输，保证质量的同时又节约工程成本。</w:t>
      </w:r>
    </w:p>
    <w:p>
      <w:pPr>
        <w:spacing w:line="480" w:lineRule="exact"/>
        <w:ind w:firstLine="480" w:firstLineChars="200"/>
        <w:jc w:val="both"/>
        <w:rPr>
          <w:rFonts w:hint="default" w:cs="Times New Roman"/>
          <w:color w:val="auto"/>
          <w:lang w:val="en-US" w:eastAsia="zh-CN"/>
        </w:rPr>
      </w:pPr>
      <w:r>
        <w:rPr>
          <w:rFonts w:hint="eastAsia" w:cs="Times New Roman"/>
          <w:color w:val="auto"/>
          <w:lang w:val="en-US" w:eastAsia="zh-CN"/>
        </w:rPr>
        <w:t>（2）</w:t>
      </w:r>
      <w:r>
        <w:rPr>
          <w:rFonts w:hint="default" w:cs="Times New Roman"/>
          <w:color w:val="auto"/>
          <w:lang w:val="en-US" w:eastAsia="zh-CN"/>
        </w:rPr>
        <w:t>定位放线确定位置</w:t>
      </w:r>
    </w:p>
    <w:p>
      <w:pPr>
        <w:spacing w:line="480" w:lineRule="exact"/>
        <w:ind w:firstLine="480" w:firstLineChars="200"/>
        <w:jc w:val="both"/>
        <w:rPr>
          <w:rFonts w:hint="default" w:cs="Times New Roman"/>
          <w:color w:val="auto"/>
          <w:lang w:val="en-US" w:eastAsia="zh-CN"/>
        </w:rPr>
      </w:pPr>
      <w:r>
        <w:rPr>
          <w:rFonts w:hint="default" w:cs="Times New Roman"/>
          <w:color w:val="auto"/>
          <w:lang w:val="en-US" w:eastAsia="zh-CN"/>
        </w:rPr>
        <w:t>根据设计，在工程区域内，设置围隔，实现水体分隔。测量人员根据交桩点用RTK测放围隔桩位，辅助测量人员乘船在工程区域内，用插杆测量水深、泥深。所有桩位均采用竹竿作明显标记。</w:t>
      </w:r>
    </w:p>
    <w:p>
      <w:pPr>
        <w:spacing w:line="480" w:lineRule="exact"/>
        <w:ind w:firstLine="480" w:firstLineChars="200"/>
        <w:jc w:val="both"/>
        <w:rPr>
          <w:rFonts w:hint="default" w:cs="Times New Roman"/>
          <w:color w:val="auto"/>
          <w:lang w:val="en-US" w:eastAsia="zh-CN"/>
        </w:rPr>
      </w:pPr>
      <w:r>
        <w:rPr>
          <w:rFonts w:hint="eastAsia" w:cs="Times New Roman"/>
          <w:color w:val="auto"/>
          <w:lang w:val="en-US" w:eastAsia="zh-CN"/>
        </w:rPr>
        <w:t>（3）</w:t>
      </w:r>
      <w:r>
        <w:rPr>
          <w:rFonts w:hint="default" w:cs="Times New Roman"/>
          <w:color w:val="auto"/>
          <w:lang w:val="en-US" w:eastAsia="zh-CN"/>
        </w:rPr>
        <w:t>围隔设置</w:t>
      </w:r>
    </w:p>
    <w:p>
      <w:pPr>
        <w:spacing w:line="480" w:lineRule="exact"/>
        <w:ind w:firstLine="480" w:firstLineChars="200"/>
        <w:jc w:val="both"/>
        <w:rPr>
          <w:rFonts w:hint="default" w:cs="Times New Roman"/>
          <w:color w:val="auto"/>
          <w:lang w:val="en-US" w:eastAsia="zh-CN"/>
        </w:rPr>
      </w:pPr>
      <w:r>
        <w:rPr>
          <w:rFonts w:hint="default" w:cs="Times New Roman"/>
          <w:color w:val="auto"/>
          <w:lang w:val="en-US" w:eastAsia="zh-CN"/>
        </w:rPr>
        <w:t>橡胶围隔上部采用Ø420mm发泡浮体，每节长20m，生态围隔上部采用Ø100mm浮球密排；中部采用生态围隔布高度约3m，具体根据现场实际水深调整；围隔底部采用Ø12cm石笼压底；围隔两侧3m处采用钢管桩结合Ø16PVC拉绳对拉。钢管桩外径100mm，钢管桩桩长1.5m，由打桩机打至硬土。钢管桩纵向间距5m。</w:t>
      </w:r>
    </w:p>
    <w:p>
      <w:pPr>
        <w:spacing w:line="480" w:lineRule="exact"/>
        <w:ind w:firstLine="480" w:firstLineChars="200"/>
        <w:jc w:val="both"/>
        <w:rPr>
          <w:rFonts w:hint="default" w:cs="Times New Roman"/>
          <w:color w:val="auto"/>
          <w:lang w:val="en-US" w:eastAsia="zh-CN"/>
        </w:rPr>
      </w:pPr>
      <w:r>
        <w:rPr>
          <w:rFonts w:hint="eastAsia" w:cs="Times New Roman"/>
          <w:color w:val="auto"/>
          <w:lang w:val="en-US" w:eastAsia="zh-CN"/>
        </w:rPr>
        <w:t>①</w:t>
      </w:r>
      <w:r>
        <w:rPr>
          <w:rFonts w:hint="default" w:cs="Times New Roman"/>
          <w:color w:val="auto"/>
          <w:lang w:val="en-US" w:eastAsia="zh-CN"/>
        </w:rPr>
        <w:t>材料准备</w:t>
      </w:r>
    </w:p>
    <w:p>
      <w:pPr>
        <w:spacing w:line="480" w:lineRule="exact"/>
        <w:ind w:firstLine="480" w:firstLineChars="200"/>
        <w:jc w:val="both"/>
        <w:rPr>
          <w:rFonts w:hint="default" w:cs="Times New Roman"/>
          <w:color w:val="auto"/>
          <w:lang w:val="en-US" w:eastAsia="zh-CN"/>
        </w:rPr>
      </w:pPr>
      <w:r>
        <w:rPr>
          <w:rFonts w:hint="default" w:cs="Times New Roman"/>
          <w:color w:val="auto"/>
          <w:lang w:val="en-US" w:eastAsia="zh-CN"/>
        </w:rPr>
        <w:t>首先根据每个施工段的长度，计算出每个围隔施工段所需的各类材料数量，并计量重量，安排合适的船只运输至施工区域。</w:t>
      </w:r>
    </w:p>
    <w:p>
      <w:pPr>
        <w:spacing w:line="480" w:lineRule="exact"/>
        <w:ind w:firstLine="480" w:firstLineChars="200"/>
        <w:jc w:val="both"/>
        <w:rPr>
          <w:rFonts w:hint="default" w:cs="Times New Roman"/>
          <w:color w:val="auto"/>
          <w:lang w:val="en-US" w:eastAsia="zh-CN"/>
        </w:rPr>
      </w:pPr>
      <w:r>
        <w:rPr>
          <w:rFonts w:hint="eastAsia" w:cs="Times New Roman"/>
          <w:color w:val="auto"/>
          <w:lang w:val="en-US" w:eastAsia="zh-CN"/>
        </w:rPr>
        <w:t>②</w:t>
      </w:r>
      <w:r>
        <w:rPr>
          <w:rFonts w:hint="default" w:cs="Times New Roman"/>
          <w:color w:val="auto"/>
          <w:lang w:val="en-US" w:eastAsia="zh-CN"/>
        </w:rPr>
        <w:t>打钢管桩</w:t>
      </w:r>
    </w:p>
    <w:p>
      <w:pPr>
        <w:spacing w:line="480" w:lineRule="exact"/>
        <w:ind w:firstLine="480" w:firstLineChars="200"/>
        <w:jc w:val="both"/>
        <w:rPr>
          <w:rFonts w:hint="default" w:cs="Times New Roman"/>
          <w:color w:val="auto"/>
          <w:lang w:val="en-US" w:eastAsia="zh-CN"/>
        </w:rPr>
      </w:pPr>
      <w:r>
        <w:rPr>
          <w:rFonts w:hint="default" w:cs="Times New Roman"/>
          <w:color w:val="auto"/>
          <w:lang w:val="en-US" w:eastAsia="zh-CN"/>
        </w:rPr>
        <w:t>根据定位防线的桩位，用船载打桩机进行钢管桩施打。打桩深度以设计深度为主，贯入度为辅，并确保将钢管桩打入持力层。</w:t>
      </w:r>
    </w:p>
    <w:p>
      <w:pPr>
        <w:spacing w:line="480" w:lineRule="exact"/>
        <w:ind w:firstLine="480" w:firstLineChars="200"/>
        <w:jc w:val="both"/>
        <w:rPr>
          <w:rFonts w:hint="default" w:cs="Times New Roman"/>
          <w:color w:val="auto"/>
          <w:lang w:val="en-US" w:eastAsia="zh-CN"/>
        </w:rPr>
      </w:pPr>
      <w:r>
        <w:rPr>
          <w:rFonts w:hint="eastAsia" w:cs="Times New Roman"/>
          <w:color w:val="auto"/>
          <w:lang w:val="en-US" w:eastAsia="zh-CN"/>
        </w:rPr>
        <w:t>③</w:t>
      </w:r>
      <w:r>
        <w:rPr>
          <w:rFonts w:hint="default" w:cs="Times New Roman"/>
          <w:color w:val="auto"/>
          <w:lang w:val="en-US" w:eastAsia="zh-CN"/>
        </w:rPr>
        <w:t>围隔安装</w:t>
      </w:r>
    </w:p>
    <w:p>
      <w:pPr>
        <w:spacing w:line="480" w:lineRule="exact"/>
        <w:ind w:firstLine="480" w:firstLineChars="200"/>
        <w:jc w:val="both"/>
        <w:rPr>
          <w:rFonts w:hint="default" w:cs="Times New Roman"/>
          <w:color w:val="auto"/>
          <w:lang w:val="en-US" w:eastAsia="zh-CN"/>
        </w:rPr>
      </w:pPr>
      <w:r>
        <w:rPr>
          <w:rFonts w:hint="default" w:cs="Times New Roman"/>
          <w:color w:val="auto"/>
          <w:lang w:val="en-US" w:eastAsia="zh-CN"/>
        </w:rPr>
        <w:t>按照由下到上的顺序安装围隔，必须确保围隔的安装位置，底部与河床贴合，上部高度满足设计要求。在核对围隔的位置、尺寸无误后，按设计要求，将围隔与钢管桩固定牢固。</w:t>
      </w:r>
    </w:p>
    <w:p>
      <w:pPr>
        <w:spacing w:line="480" w:lineRule="exact"/>
        <w:ind w:firstLine="482" w:firstLineChars="200"/>
        <w:jc w:val="both"/>
        <w:rPr>
          <w:rFonts w:hint="default" w:cs="Times New Roman"/>
          <w:b/>
          <w:bCs/>
          <w:color w:val="auto"/>
          <w:lang w:val="en-US" w:eastAsia="zh-CN"/>
        </w:rPr>
      </w:pPr>
      <w:r>
        <w:rPr>
          <w:rFonts w:hint="eastAsia" w:cs="Times New Roman"/>
          <w:b/>
          <w:bCs/>
          <w:color w:val="auto"/>
          <w:lang w:val="en-US" w:eastAsia="zh-CN"/>
        </w:rPr>
        <w:t>2</w:t>
      </w:r>
      <w:r>
        <w:rPr>
          <w:rFonts w:hint="default" w:cs="Times New Roman"/>
          <w:b/>
          <w:bCs/>
          <w:color w:val="auto"/>
          <w:lang w:val="en-US" w:eastAsia="zh-CN"/>
        </w:rPr>
        <w:t>、拦鱼网、导流围隔</w:t>
      </w:r>
    </w:p>
    <w:p>
      <w:pPr>
        <w:spacing w:line="480" w:lineRule="exact"/>
        <w:ind w:firstLine="480" w:firstLineChars="200"/>
        <w:jc w:val="both"/>
        <w:rPr>
          <w:rFonts w:hint="default" w:cs="Times New Roman"/>
          <w:color w:val="auto"/>
          <w:lang w:val="en-US" w:eastAsia="zh-CN"/>
        </w:rPr>
      </w:pPr>
      <w:r>
        <w:rPr>
          <w:rFonts w:hint="default" w:cs="Times New Roman"/>
          <w:color w:val="auto"/>
          <w:lang w:val="en-US" w:eastAsia="zh-CN"/>
        </w:rPr>
        <w:t>拦鱼网及导流围隔均采用φ100mm钢管桩作为固定桩，将围隔或渔网安装与固定桩上，底部布设配重石笼，典型布置断面图见下图。</w:t>
      </w:r>
    </w:p>
    <w:p>
      <w:pPr>
        <w:spacing w:line="480" w:lineRule="exact"/>
        <w:ind w:firstLine="480" w:firstLineChars="200"/>
        <w:jc w:val="both"/>
        <w:rPr>
          <w:rFonts w:hint="default" w:cs="Times New Roman"/>
          <w:color w:val="auto"/>
          <w:lang w:val="en-US" w:eastAsia="zh-CN"/>
        </w:rPr>
      </w:pPr>
      <w:r>
        <w:rPr>
          <w:rFonts w:hint="default" w:cs="Times New Roman"/>
          <w:color w:val="auto"/>
          <w:lang w:val="en-US" w:eastAsia="zh-CN"/>
        </w:rPr>
        <w:drawing>
          <wp:anchor distT="0" distB="0" distL="114300" distR="114300" simplePos="0" relativeHeight="251699200" behindDoc="0" locked="0" layoutInCell="1" allowOverlap="1">
            <wp:simplePos x="0" y="0"/>
            <wp:positionH relativeFrom="column">
              <wp:posOffset>-12700</wp:posOffset>
            </wp:positionH>
            <wp:positionV relativeFrom="paragraph">
              <wp:posOffset>98425</wp:posOffset>
            </wp:positionV>
            <wp:extent cx="5793105" cy="2995295"/>
            <wp:effectExtent l="0" t="0" r="17145" b="14605"/>
            <wp:wrapNone/>
            <wp:docPr id="93" name="图片 93" descr="苏州市太湖渔洋山水源地近岸生态修复工程(EPC)施工组织设计 2021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苏州市太湖渔洋山水源地近岸生态修复工程(EPC)施工组织设计 20210916"/>
                    <pic:cNvPicPr>
                      <a:picLocks noChangeAspect="1"/>
                    </pic:cNvPicPr>
                  </pic:nvPicPr>
                  <pic:blipFill>
                    <a:blip r:embed="rId44"/>
                    <a:stretch>
                      <a:fillRect/>
                    </a:stretch>
                  </pic:blipFill>
                  <pic:spPr>
                    <a:xfrm>
                      <a:off x="0" y="0"/>
                      <a:ext cx="5793105" cy="2995295"/>
                    </a:xfrm>
                    <a:prstGeom prst="rect">
                      <a:avLst/>
                    </a:prstGeom>
                  </pic:spPr>
                </pic:pic>
              </a:graphicData>
            </a:graphic>
          </wp:anchor>
        </w:drawing>
      </w:r>
    </w:p>
    <w:p>
      <w:pPr>
        <w:spacing w:line="480" w:lineRule="exact"/>
        <w:ind w:firstLine="480" w:firstLineChars="200"/>
        <w:rPr>
          <w:rFonts w:hint="default" w:cs="Times New Roman"/>
          <w:color w:val="auto"/>
          <w:lang w:val="en-US" w:eastAsia="zh-CN"/>
        </w:rPr>
      </w:pPr>
    </w:p>
    <w:p>
      <w:pPr>
        <w:spacing w:line="480" w:lineRule="exact"/>
        <w:ind w:firstLine="480" w:firstLineChars="200"/>
        <w:rPr>
          <w:rFonts w:hint="default" w:cs="Times New Roman"/>
          <w:color w:val="auto"/>
          <w:lang w:val="en-US" w:eastAsia="zh-CN"/>
        </w:rPr>
      </w:pPr>
    </w:p>
    <w:p>
      <w:pPr>
        <w:spacing w:line="480" w:lineRule="exact"/>
        <w:ind w:firstLine="480" w:firstLineChars="200"/>
        <w:rPr>
          <w:rFonts w:hint="default" w:cs="Times New Roman"/>
          <w:color w:val="auto"/>
          <w:lang w:val="en-US" w:eastAsia="zh-CN"/>
        </w:rPr>
      </w:pPr>
    </w:p>
    <w:p>
      <w:pPr>
        <w:spacing w:line="480" w:lineRule="exact"/>
        <w:ind w:firstLine="480" w:firstLineChars="200"/>
        <w:rPr>
          <w:rFonts w:hint="default" w:cs="Times New Roman"/>
          <w:color w:val="auto"/>
          <w:lang w:val="en-US" w:eastAsia="zh-CN"/>
        </w:rPr>
      </w:pPr>
    </w:p>
    <w:p>
      <w:pPr>
        <w:spacing w:line="480" w:lineRule="exact"/>
        <w:ind w:firstLine="480" w:firstLineChars="200"/>
        <w:rPr>
          <w:rFonts w:hint="default" w:cs="Times New Roman"/>
          <w:color w:val="auto"/>
          <w:lang w:val="en-US" w:eastAsia="zh-CN"/>
        </w:rPr>
      </w:pPr>
    </w:p>
    <w:p>
      <w:pPr>
        <w:spacing w:line="480" w:lineRule="exact"/>
        <w:ind w:firstLine="480" w:firstLineChars="200"/>
        <w:rPr>
          <w:rFonts w:hint="default" w:cs="Times New Roman"/>
          <w:color w:val="auto"/>
          <w:lang w:val="en-US" w:eastAsia="zh-CN"/>
        </w:rPr>
      </w:pPr>
    </w:p>
    <w:p>
      <w:pPr>
        <w:spacing w:line="480" w:lineRule="exact"/>
        <w:ind w:firstLine="480" w:firstLineChars="200"/>
        <w:rPr>
          <w:rFonts w:hint="default" w:cs="Times New Roman"/>
          <w:color w:val="auto"/>
          <w:lang w:val="en-US" w:eastAsia="zh-CN"/>
        </w:rPr>
      </w:pPr>
    </w:p>
    <w:p>
      <w:pPr>
        <w:spacing w:line="480" w:lineRule="exact"/>
        <w:ind w:firstLine="480" w:firstLineChars="200"/>
        <w:rPr>
          <w:rFonts w:hint="default" w:cs="Times New Roman"/>
          <w:color w:val="auto"/>
          <w:lang w:val="en-US" w:eastAsia="zh-CN"/>
        </w:rPr>
      </w:pPr>
    </w:p>
    <w:p>
      <w:pPr>
        <w:spacing w:line="480" w:lineRule="exact"/>
        <w:ind w:firstLine="480" w:firstLineChars="200"/>
        <w:rPr>
          <w:rFonts w:hint="default" w:cs="Times New Roman"/>
          <w:color w:val="auto"/>
          <w:lang w:val="en-US" w:eastAsia="zh-CN"/>
        </w:rPr>
      </w:pPr>
    </w:p>
    <w:p>
      <w:pPr>
        <w:jc w:val="center"/>
        <w:rPr>
          <w:rFonts w:hint="default" w:ascii="Times New Roman" w:hAnsi="Times New Roman" w:eastAsia="宋体" w:cs="Times New Roman"/>
          <w:b/>
          <w:bCs/>
          <w:color w:val="auto"/>
          <w:lang w:val="en-US" w:eastAsia="zh-CN"/>
        </w:rPr>
      </w:pPr>
    </w:p>
    <w:p>
      <w:pPr>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图</w:t>
      </w:r>
      <w:r>
        <w:rPr>
          <w:rFonts w:hint="eastAsia" w:cs="Times New Roman"/>
          <w:b/>
          <w:bCs/>
          <w:color w:val="auto"/>
          <w:lang w:val="en-US" w:eastAsia="zh-CN"/>
        </w:rPr>
        <w:t>3.6-5</w:t>
      </w:r>
      <w:r>
        <w:rPr>
          <w:rFonts w:hint="default" w:ascii="Times New Roman" w:hAnsi="Times New Roman" w:eastAsia="宋体" w:cs="Times New Roman"/>
          <w:b/>
          <w:bCs/>
          <w:color w:val="auto"/>
          <w:lang w:val="en-US" w:eastAsia="zh-CN"/>
        </w:rPr>
        <w:t xml:space="preserve"> 导流围隔固定方式典型断面图</w:t>
      </w:r>
    </w:p>
    <w:p>
      <w:pPr>
        <w:spacing w:line="480" w:lineRule="exact"/>
        <w:ind w:firstLine="480" w:firstLineChars="200"/>
        <w:rPr>
          <w:rFonts w:hint="default" w:cs="Times New Roman"/>
          <w:color w:val="auto"/>
          <w:lang w:val="en-US" w:eastAsia="zh-CN"/>
        </w:rPr>
      </w:pPr>
    </w:p>
    <w:p>
      <w:pPr>
        <w:spacing w:line="480" w:lineRule="exact"/>
        <w:ind w:firstLine="480" w:firstLineChars="200"/>
        <w:rPr>
          <w:rFonts w:hint="default" w:cs="Times New Roman"/>
          <w:color w:val="auto"/>
          <w:lang w:val="en-US" w:eastAsia="zh-CN"/>
        </w:rPr>
      </w:pPr>
    </w:p>
    <w:p>
      <w:pPr>
        <w:spacing w:line="480" w:lineRule="exact"/>
        <w:ind w:firstLine="480" w:firstLineChars="200"/>
        <w:rPr>
          <w:rFonts w:hint="default" w:cs="Times New Roman"/>
          <w:color w:val="auto"/>
          <w:lang w:val="en-US" w:eastAsia="zh-CN"/>
        </w:rPr>
      </w:pPr>
      <w:r>
        <w:rPr>
          <w:rFonts w:hint="default" w:cs="Times New Roman"/>
          <w:color w:val="auto"/>
          <w:lang w:val="en-US" w:eastAsia="zh-CN"/>
        </w:rPr>
        <w:drawing>
          <wp:anchor distT="0" distB="0" distL="114300" distR="114300" simplePos="0" relativeHeight="251700224" behindDoc="0" locked="0" layoutInCell="1" allowOverlap="1">
            <wp:simplePos x="0" y="0"/>
            <wp:positionH relativeFrom="column">
              <wp:posOffset>41910</wp:posOffset>
            </wp:positionH>
            <wp:positionV relativeFrom="paragraph">
              <wp:posOffset>33020</wp:posOffset>
            </wp:positionV>
            <wp:extent cx="5749925" cy="3636010"/>
            <wp:effectExtent l="0" t="0" r="3175" b="2540"/>
            <wp:wrapNone/>
            <wp:docPr id="94" name="图片 94" descr="苏州市太湖渔洋山水源地近岸生态修复工程(EPC)施工组织设计 2021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苏州市太湖渔洋山水源地近岸生态修复工程(EPC)施工组织设计 20210916"/>
                    <pic:cNvPicPr>
                      <a:picLocks noChangeAspect="1"/>
                    </pic:cNvPicPr>
                  </pic:nvPicPr>
                  <pic:blipFill>
                    <a:blip r:embed="rId45"/>
                    <a:stretch>
                      <a:fillRect/>
                    </a:stretch>
                  </pic:blipFill>
                  <pic:spPr>
                    <a:xfrm>
                      <a:off x="0" y="0"/>
                      <a:ext cx="5749925" cy="3636010"/>
                    </a:xfrm>
                    <a:prstGeom prst="rect">
                      <a:avLst/>
                    </a:prstGeom>
                  </pic:spPr>
                </pic:pic>
              </a:graphicData>
            </a:graphic>
          </wp:anchor>
        </w:drawing>
      </w:r>
    </w:p>
    <w:p>
      <w:pPr>
        <w:spacing w:line="480" w:lineRule="exact"/>
        <w:ind w:firstLine="480" w:firstLineChars="200"/>
        <w:rPr>
          <w:rFonts w:hint="default" w:cs="Times New Roman"/>
          <w:color w:val="auto"/>
          <w:lang w:val="en-US" w:eastAsia="zh-CN"/>
        </w:rPr>
      </w:pPr>
    </w:p>
    <w:p>
      <w:pPr>
        <w:spacing w:line="480" w:lineRule="exact"/>
        <w:ind w:firstLine="480" w:firstLineChars="200"/>
        <w:rPr>
          <w:rFonts w:hint="default" w:cs="Times New Roman"/>
          <w:color w:val="auto"/>
          <w:lang w:val="en-US" w:eastAsia="zh-CN"/>
        </w:rPr>
      </w:pPr>
    </w:p>
    <w:p>
      <w:pPr>
        <w:spacing w:line="480" w:lineRule="exact"/>
        <w:ind w:firstLine="480" w:firstLineChars="200"/>
        <w:rPr>
          <w:rFonts w:hint="default" w:cs="Times New Roman"/>
          <w:color w:val="auto"/>
          <w:lang w:val="en-US" w:eastAsia="zh-CN"/>
        </w:rPr>
      </w:pPr>
    </w:p>
    <w:p>
      <w:pPr>
        <w:spacing w:line="480" w:lineRule="exact"/>
        <w:ind w:firstLine="480" w:firstLineChars="200"/>
        <w:rPr>
          <w:rFonts w:hint="default" w:cs="Times New Roman"/>
          <w:color w:val="auto"/>
          <w:lang w:val="en-US" w:eastAsia="zh-CN"/>
        </w:rPr>
      </w:pPr>
    </w:p>
    <w:p>
      <w:pPr>
        <w:spacing w:line="480" w:lineRule="exact"/>
        <w:ind w:firstLine="480" w:firstLineChars="200"/>
        <w:rPr>
          <w:rFonts w:hint="default" w:cs="Times New Roman"/>
          <w:color w:val="auto"/>
          <w:lang w:val="en-US" w:eastAsia="zh-CN"/>
        </w:rPr>
      </w:pPr>
    </w:p>
    <w:p>
      <w:pPr>
        <w:spacing w:line="480" w:lineRule="exact"/>
        <w:ind w:firstLine="480" w:firstLineChars="200"/>
        <w:rPr>
          <w:rFonts w:hint="default" w:cs="Times New Roman"/>
          <w:color w:val="auto"/>
          <w:lang w:val="en-US" w:eastAsia="zh-CN"/>
        </w:rPr>
      </w:pPr>
    </w:p>
    <w:p>
      <w:pPr>
        <w:spacing w:line="480" w:lineRule="exact"/>
        <w:ind w:firstLine="480" w:firstLineChars="200"/>
        <w:rPr>
          <w:rFonts w:hint="default" w:cs="Times New Roman"/>
          <w:color w:val="auto"/>
          <w:lang w:val="en-US" w:eastAsia="zh-CN"/>
        </w:rPr>
      </w:pPr>
    </w:p>
    <w:p>
      <w:pPr>
        <w:spacing w:line="480" w:lineRule="exact"/>
        <w:ind w:firstLine="480" w:firstLineChars="200"/>
        <w:rPr>
          <w:rFonts w:hint="default" w:cs="Times New Roman"/>
          <w:color w:val="auto"/>
          <w:lang w:val="en-US" w:eastAsia="zh-CN"/>
        </w:rPr>
      </w:pPr>
    </w:p>
    <w:p>
      <w:pPr>
        <w:spacing w:line="480" w:lineRule="exact"/>
        <w:ind w:firstLine="480" w:firstLineChars="200"/>
        <w:rPr>
          <w:rFonts w:hint="default" w:cs="Times New Roman"/>
          <w:color w:val="auto"/>
          <w:lang w:val="en-US" w:eastAsia="zh-CN"/>
        </w:rPr>
      </w:pPr>
    </w:p>
    <w:p>
      <w:pPr>
        <w:jc w:val="center"/>
        <w:rPr>
          <w:rFonts w:hint="default" w:ascii="Times New Roman" w:hAnsi="Times New Roman" w:eastAsia="宋体" w:cs="Times New Roman"/>
          <w:b/>
          <w:bCs/>
          <w:color w:val="auto"/>
          <w:lang w:val="en-US" w:eastAsia="zh-CN"/>
        </w:rPr>
      </w:pPr>
    </w:p>
    <w:p>
      <w:pPr>
        <w:jc w:val="center"/>
        <w:rPr>
          <w:rFonts w:hint="default" w:ascii="Times New Roman" w:hAnsi="Times New Roman" w:eastAsia="宋体" w:cs="Times New Roman"/>
          <w:b/>
          <w:bCs/>
          <w:color w:val="auto"/>
          <w:lang w:val="en-US" w:eastAsia="zh-CN"/>
        </w:rPr>
      </w:pPr>
    </w:p>
    <w:p>
      <w:pPr>
        <w:jc w:val="center"/>
        <w:rPr>
          <w:rFonts w:hint="default" w:ascii="Times New Roman" w:hAnsi="Times New Roman" w:eastAsia="宋体" w:cs="Times New Roman"/>
          <w:b/>
          <w:bCs/>
          <w:color w:val="auto"/>
          <w:lang w:val="en-US" w:eastAsia="zh-CN"/>
        </w:rPr>
      </w:pPr>
    </w:p>
    <w:p>
      <w:pPr>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图</w:t>
      </w:r>
      <w:r>
        <w:rPr>
          <w:rFonts w:hint="eastAsia" w:cs="Times New Roman"/>
          <w:b/>
          <w:bCs/>
          <w:color w:val="auto"/>
          <w:lang w:val="en-US" w:eastAsia="zh-CN"/>
        </w:rPr>
        <w:t>3.6-6</w:t>
      </w:r>
      <w:r>
        <w:rPr>
          <w:rFonts w:hint="default" w:ascii="Times New Roman" w:hAnsi="Times New Roman" w:eastAsia="宋体" w:cs="Times New Roman"/>
          <w:b/>
          <w:bCs/>
          <w:color w:val="auto"/>
          <w:lang w:val="en-US" w:eastAsia="zh-CN"/>
        </w:rPr>
        <w:t xml:space="preserve"> 拦鱼网固定方式典型断面图</w:t>
      </w:r>
    </w:p>
    <w:p>
      <w:pPr>
        <w:spacing w:line="480" w:lineRule="exact"/>
        <w:ind w:firstLine="480" w:firstLineChars="200"/>
        <w:jc w:val="both"/>
        <w:rPr>
          <w:rFonts w:hint="default" w:cs="Times New Roman"/>
          <w:color w:val="auto"/>
          <w:lang w:val="en-US" w:eastAsia="zh-CN"/>
        </w:rPr>
      </w:pPr>
      <w:r>
        <w:rPr>
          <w:rFonts w:hint="default" w:cs="Times New Roman"/>
          <w:color w:val="auto"/>
          <w:lang w:val="en-US" w:eastAsia="zh-CN"/>
        </w:rPr>
        <w:t>拦鱼网上口采用12mm尼龙绳拉紧；中部渔网，高度3500mm；底部采用Ø12cm石笼压底；拦鱼网采用Ø50mm钢管桩固定，钢管桩间距3m，打至老土层，具体根据现场实际调整。</w:t>
      </w:r>
    </w:p>
    <w:p>
      <w:pPr>
        <w:spacing w:line="480" w:lineRule="exact"/>
        <w:ind w:firstLine="480" w:firstLineChars="200"/>
        <w:jc w:val="both"/>
        <w:rPr>
          <w:rFonts w:hint="default" w:cs="Times New Roman"/>
          <w:color w:val="auto"/>
          <w:lang w:val="en-US" w:eastAsia="zh-CN"/>
        </w:rPr>
      </w:pPr>
      <w:r>
        <w:rPr>
          <w:rFonts w:hint="default" w:cs="Times New Roman"/>
          <w:color w:val="auto"/>
          <w:lang w:val="en-US" w:eastAsia="zh-CN"/>
        </w:rPr>
        <w:t>导流围隔紧靠橡胶围隔设置，以防鱼类游出。导流围隔上部采用Ø5mm钢丝绳及3.5mm粗不锈钢链平拉；中部采用生态围隔布，布置与水面平齐，底部采用Ø12cm石笼压底。围隔两端采用Ø100mm钢管桩固定，中部不打桩，打至老土层，具体根据现场实际调整。导流围隔安装固定分上下两个区域，下部81~121cm范围为固定区域，安装时与两侧的钢管桩及橡胶围隔固定并封闭，上部169cm为活动区域，可在上下两个挂钩处安装固定。处于非导流状态时，围隔固定在上侧挂钩处，导流状态时，围隔固定于下侧挂钩处。</w:t>
      </w:r>
    </w:p>
    <w:p>
      <w:pPr>
        <w:spacing w:line="480" w:lineRule="exact"/>
        <w:ind w:firstLine="480" w:firstLineChars="200"/>
        <w:jc w:val="both"/>
        <w:rPr>
          <w:rFonts w:hint="default" w:cs="Times New Roman"/>
          <w:color w:val="auto"/>
          <w:lang w:val="en-US" w:eastAsia="zh-CN"/>
        </w:rPr>
      </w:pPr>
      <w:r>
        <w:rPr>
          <w:rFonts w:hint="default" w:cs="Times New Roman"/>
          <w:color w:val="auto"/>
          <w:lang w:val="en-US" w:eastAsia="zh-CN"/>
        </w:rPr>
        <w:t>拦鱼网及导流围隔与橡胶围隔施工顺序基本一致。</w:t>
      </w:r>
    </w:p>
    <w:p>
      <w:pPr>
        <w:pStyle w:val="5"/>
        <w:jc w:val="both"/>
        <w:rPr>
          <w:rFonts w:hint="default" w:ascii="Times New Roman" w:hAnsi="Times New Roman" w:eastAsia="宋体" w:cs="Times New Roman"/>
          <w:color w:val="auto"/>
          <w:lang w:val="en-US" w:eastAsia="zh-CN"/>
        </w:rPr>
      </w:pPr>
      <w:bookmarkStart w:id="233" w:name="_Toc13847"/>
      <w:r>
        <w:rPr>
          <w:rFonts w:hint="eastAsia" w:ascii="Times New Roman" w:hAnsi="Times New Roman" w:eastAsia="宋体" w:cs="Times New Roman"/>
          <w:color w:val="auto"/>
          <w:lang w:val="en-US" w:eastAsia="zh-CN"/>
        </w:rPr>
        <w:t>3.</w:t>
      </w:r>
      <w:r>
        <w:rPr>
          <w:rFonts w:hint="eastAsia" w:cs="Times New Roman"/>
          <w:color w:val="auto"/>
          <w:lang w:val="en-US" w:eastAsia="zh-CN"/>
        </w:rPr>
        <w:t>6</w:t>
      </w: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lang w:val="en-US" w:eastAsia="zh-CN"/>
        </w:rPr>
        <w:t>水生植物种植与养护</w:t>
      </w:r>
      <w:bookmarkEnd w:id="233"/>
    </w:p>
    <w:p>
      <w:pPr>
        <w:spacing w:line="480" w:lineRule="exact"/>
        <w:ind w:firstLine="482" w:firstLineChars="200"/>
        <w:jc w:val="both"/>
        <w:rPr>
          <w:rFonts w:hint="default" w:cs="Times New Roman"/>
          <w:b/>
          <w:bCs/>
          <w:color w:val="auto"/>
          <w:lang w:val="en-US" w:eastAsia="zh-CN"/>
        </w:rPr>
      </w:pPr>
      <w:r>
        <w:rPr>
          <w:rFonts w:hint="eastAsia" w:cs="Times New Roman"/>
          <w:b/>
          <w:bCs/>
          <w:color w:val="auto"/>
          <w:lang w:val="en-US" w:eastAsia="zh-CN"/>
        </w:rPr>
        <w:t>1</w:t>
      </w:r>
      <w:r>
        <w:rPr>
          <w:rFonts w:hint="default" w:cs="Times New Roman"/>
          <w:b/>
          <w:bCs/>
          <w:color w:val="auto"/>
          <w:lang w:val="en-US" w:eastAsia="zh-CN"/>
        </w:rPr>
        <w:t>、水生植物的种植</w:t>
      </w:r>
    </w:p>
    <w:p>
      <w:pPr>
        <w:spacing w:line="480" w:lineRule="exact"/>
        <w:ind w:firstLine="480" w:firstLineChars="200"/>
        <w:jc w:val="both"/>
        <w:rPr>
          <w:rFonts w:hint="default" w:cs="Times New Roman"/>
          <w:color w:val="auto"/>
          <w:lang w:val="en-US" w:eastAsia="zh-CN"/>
        </w:rPr>
      </w:pPr>
      <w:r>
        <w:rPr>
          <w:rFonts w:hint="default" w:cs="Times New Roman"/>
          <w:color w:val="auto"/>
          <w:lang w:val="en-US" w:eastAsia="zh-CN"/>
        </w:rPr>
        <w:t>本工程水生植物主要包括沉水植物、浮叶植物、挺水植物。沉水植物主要包括苦草、微齿眼子菜、黑藻、伊乐藻、马来眼子菜、穗花狐尾藻等6类，约11</w:t>
      </w:r>
      <w:r>
        <w:rPr>
          <w:rFonts w:hint="eastAsia" w:cs="Times New Roman"/>
          <w:color w:val="auto"/>
          <w:lang w:val="en-US" w:eastAsia="zh-CN"/>
        </w:rPr>
        <w:t>.79万</w:t>
      </w:r>
      <w:r>
        <w:rPr>
          <w:rFonts w:hint="default" w:cs="Times New Roman"/>
          <w:color w:val="auto"/>
          <w:lang w:val="en-US" w:eastAsia="zh-CN"/>
        </w:rPr>
        <w:t>m</w:t>
      </w:r>
      <w:r>
        <w:rPr>
          <w:rFonts w:hint="default" w:cs="Times New Roman"/>
          <w:color w:val="auto"/>
          <w:vertAlign w:val="superscript"/>
          <w:lang w:val="en-US" w:eastAsia="zh-CN"/>
        </w:rPr>
        <w:t>2</w:t>
      </w:r>
      <w:r>
        <w:rPr>
          <w:rFonts w:hint="default" w:cs="Times New Roman"/>
          <w:color w:val="auto"/>
          <w:lang w:val="en-US" w:eastAsia="zh-CN"/>
        </w:rPr>
        <w:t>；浮叶植物选用睡莲25m</w:t>
      </w:r>
      <w:r>
        <w:rPr>
          <w:rFonts w:hint="default" w:cs="Times New Roman"/>
          <w:color w:val="auto"/>
          <w:vertAlign w:val="superscript"/>
          <w:lang w:val="en-US" w:eastAsia="zh-CN"/>
        </w:rPr>
        <w:t>2</w:t>
      </w:r>
      <w:r>
        <w:rPr>
          <w:rFonts w:hint="default" w:cs="Times New Roman"/>
          <w:color w:val="auto"/>
          <w:lang w:val="en-US" w:eastAsia="zh-CN"/>
        </w:rPr>
        <w:t>；挺水植物包括芦苇、香蒲、再力花、美人蕉4类，111</w:t>
      </w:r>
      <w:r>
        <w:rPr>
          <w:rFonts w:hint="eastAsia" w:cs="Times New Roman"/>
          <w:color w:val="auto"/>
          <w:lang w:val="en-US" w:eastAsia="zh-CN"/>
        </w:rPr>
        <w:t>4</w:t>
      </w:r>
      <w:r>
        <w:rPr>
          <w:rFonts w:hint="default" w:cs="Times New Roman"/>
          <w:color w:val="auto"/>
          <w:lang w:val="en-US" w:eastAsia="zh-CN"/>
        </w:rPr>
        <w:t>m</w:t>
      </w:r>
      <w:r>
        <w:rPr>
          <w:rFonts w:hint="default" w:cs="Times New Roman"/>
          <w:color w:val="auto"/>
          <w:vertAlign w:val="superscript"/>
          <w:lang w:val="en-US" w:eastAsia="zh-CN"/>
        </w:rPr>
        <w:t>2</w:t>
      </w:r>
      <w:r>
        <w:rPr>
          <w:rFonts w:hint="eastAsia" w:cs="Times New Roman"/>
          <w:color w:val="auto"/>
          <w:lang w:val="en-US" w:eastAsia="zh-CN"/>
        </w:rPr>
        <w:t>。水生植物种植施工</w:t>
      </w:r>
      <w:r>
        <w:rPr>
          <w:rFonts w:hint="default" w:cs="Times New Roman"/>
          <w:color w:val="auto"/>
          <w:lang w:val="en-US" w:eastAsia="zh-CN"/>
        </w:rPr>
        <w:t>工艺流程图</w:t>
      </w:r>
      <w:r>
        <w:rPr>
          <w:rFonts w:hint="eastAsia" w:cs="Times New Roman"/>
          <w:color w:val="auto"/>
          <w:lang w:val="en-US" w:eastAsia="zh-CN"/>
        </w:rPr>
        <w:t>如下：</w:t>
      </w:r>
    </w:p>
    <w:p>
      <w:pPr>
        <w:spacing w:line="480" w:lineRule="exact"/>
        <w:ind w:firstLine="480" w:firstLineChars="200"/>
        <w:rPr>
          <w:rFonts w:hint="default" w:ascii="Times New Roman" w:hAnsi="Times New Roman" w:eastAsia="宋体" w:cs="Times New Roman"/>
          <w:color w:val="auto"/>
          <w:lang w:val="en-US" w:eastAsia="zh-CN"/>
        </w:rPr>
      </w:pPr>
      <w:r>
        <w:drawing>
          <wp:anchor distT="0" distB="0" distL="114300" distR="114300" simplePos="0" relativeHeight="251701248" behindDoc="0" locked="0" layoutInCell="1" allowOverlap="1">
            <wp:simplePos x="0" y="0"/>
            <wp:positionH relativeFrom="column">
              <wp:posOffset>972820</wp:posOffset>
            </wp:positionH>
            <wp:positionV relativeFrom="paragraph">
              <wp:posOffset>78105</wp:posOffset>
            </wp:positionV>
            <wp:extent cx="3699510" cy="1900555"/>
            <wp:effectExtent l="0" t="0" r="15240" b="4445"/>
            <wp:wrapNone/>
            <wp:docPr id="9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1"/>
                    <pic:cNvPicPr>
                      <a:picLocks noChangeAspect="1"/>
                    </pic:cNvPicPr>
                  </pic:nvPicPr>
                  <pic:blipFill>
                    <a:blip r:embed="rId46"/>
                    <a:srcRect t="42772"/>
                    <a:stretch>
                      <a:fillRect/>
                    </a:stretch>
                  </pic:blipFill>
                  <pic:spPr>
                    <a:xfrm>
                      <a:off x="0" y="0"/>
                      <a:ext cx="3699510" cy="1900555"/>
                    </a:xfrm>
                    <a:prstGeom prst="rect">
                      <a:avLst/>
                    </a:prstGeom>
                    <a:noFill/>
                    <a:ln>
                      <a:noFill/>
                    </a:ln>
                  </pic:spPr>
                </pic:pic>
              </a:graphicData>
            </a:graphic>
          </wp:anchor>
        </w:drawing>
      </w: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图</w:t>
      </w:r>
      <w:r>
        <w:rPr>
          <w:rFonts w:hint="eastAsia" w:cs="Times New Roman"/>
          <w:b/>
          <w:bCs/>
          <w:color w:val="auto"/>
          <w:lang w:val="en-US" w:eastAsia="zh-CN"/>
        </w:rPr>
        <w:t>3.6-7</w:t>
      </w:r>
      <w:r>
        <w:rPr>
          <w:rFonts w:hint="default" w:ascii="Times New Roman" w:hAnsi="Times New Roman" w:eastAsia="宋体" w:cs="Times New Roman"/>
          <w:b/>
          <w:bCs/>
          <w:color w:val="auto"/>
          <w:lang w:val="en-US" w:eastAsia="zh-CN"/>
        </w:rPr>
        <w:t xml:space="preserve"> </w:t>
      </w:r>
      <w:r>
        <w:rPr>
          <w:rFonts w:hint="eastAsia" w:cs="Times New Roman"/>
          <w:b/>
          <w:bCs/>
          <w:color w:val="auto"/>
          <w:lang w:val="en-US" w:eastAsia="zh-CN"/>
        </w:rPr>
        <w:t>水生植物种植施工工艺流程</w:t>
      </w:r>
      <w:r>
        <w:rPr>
          <w:rFonts w:hint="default" w:ascii="Times New Roman" w:hAnsi="Times New Roman" w:eastAsia="宋体" w:cs="Times New Roman"/>
          <w:b/>
          <w:bCs/>
          <w:color w:val="auto"/>
          <w:lang w:val="en-US" w:eastAsia="zh-CN"/>
        </w:rPr>
        <w:t>图</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（1）挺水植物</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本项目设计的挺水植物有芦苇、美人蕉、再力花、香蒲等。种植水生小于60cm，种植时对种植区域进行适当造型，覆土，保证适宜植物生长需求，同时确保不对水体造成污染。</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①</w:t>
      </w:r>
      <w:r>
        <w:rPr>
          <w:rFonts w:hint="default" w:ascii="Times New Roman" w:hAnsi="Times New Roman" w:eastAsia="宋体" w:cs="Times New Roman"/>
          <w:color w:val="auto"/>
          <w:lang w:val="en-US" w:eastAsia="zh-CN"/>
        </w:rPr>
        <w:t>水生美人蕉：种植密度：3-5芽/株， 25株/㎡。3-4月份进行栽植取出土中块茎，清除杂物，进行分割，每个块茎3-5个健壮的芽子，作繁殖材料。</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②</w:t>
      </w:r>
      <w:r>
        <w:rPr>
          <w:rFonts w:hint="default" w:ascii="Times New Roman" w:hAnsi="Times New Roman" w:eastAsia="宋体" w:cs="Times New Roman"/>
          <w:color w:val="auto"/>
          <w:lang w:val="en-US" w:eastAsia="zh-CN"/>
        </w:rPr>
        <w:t>再力花：种植密度25株/㎡</w:t>
      </w:r>
      <w:r>
        <w:rPr>
          <w:rFonts w:hint="eastAsia" w:cs="Times New Roman"/>
          <w:color w:val="auto"/>
          <w:lang w:val="en-US" w:eastAsia="zh-CN"/>
        </w:rPr>
        <w:t>，</w:t>
      </w:r>
      <w:r>
        <w:rPr>
          <w:rFonts w:hint="default" w:ascii="Times New Roman" w:hAnsi="Times New Roman" w:eastAsia="宋体" w:cs="Times New Roman"/>
          <w:color w:val="auto"/>
          <w:lang w:val="en-US" w:eastAsia="zh-CN"/>
        </w:rPr>
        <w:t>栽植深度10-50cm。种植方法：以根茎分株繁殖。</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③</w:t>
      </w:r>
      <w:r>
        <w:rPr>
          <w:rFonts w:hint="default" w:ascii="Times New Roman" w:hAnsi="Times New Roman" w:eastAsia="宋体" w:cs="Times New Roman"/>
          <w:color w:val="auto"/>
          <w:lang w:val="en-US" w:eastAsia="zh-CN"/>
        </w:rPr>
        <w:t>香蒲：多年生落叶、宿根性挺水型的单子叶植物，种植密度25株/㎡，选浅水处栽植一般为20-50cm。</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④</w:t>
      </w:r>
      <w:r>
        <w:rPr>
          <w:rFonts w:hint="default" w:ascii="Times New Roman" w:hAnsi="Times New Roman" w:eastAsia="宋体" w:cs="Times New Roman"/>
          <w:color w:val="auto"/>
          <w:lang w:val="en-US" w:eastAsia="zh-CN"/>
        </w:rPr>
        <w:t>芦苇：多年生水生或湿生的高大禾草，种植密度：9株/㎡</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（2）浮叶植物</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本项目设计的浮叶植物为睡莲，设计面积为25平方米。设计密度为5株/盆，1盆/㎡，栽植深度一般为30-150cm。</w:t>
      </w:r>
    </w:p>
    <w:p>
      <w:pPr>
        <w:numPr>
          <w:ilvl w:val="0"/>
          <w:numId w:val="0"/>
        </w:numPr>
        <w:spacing w:line="480" w:lineRule="exact"/>
        <w:ind w:left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（3）</w:t>
      </w:r>
      <w:r>
        <w:rPr>
          <w:rFonts w:hint="default" w:ascii="Times New Roman" w:hAnsi="Times New Roman" w:eastAsia="宋体" w:cs="Times New Roman"/>
          <w:color w:val="auto"/>
          <w:lang w:val="en-US" w:eastAsia="zh-CN"/>
        </w:rPr>
        <w:t>沉水植物</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本次设计的沉水植物包括穗花狐尾藻、轮叶黑藻、伊乐藻、密刺苦草、马来眼子菜、微刺眼子菜。沉水植物种植方法</w:t>
      </w:r>
      <w:r>
        <w:rPr>
          <w:rFonts w:hint="eastAsia" w:cs="Times New Roman"/>
          <w:color w:val="auto"/>
          <w:lang w:val="en-US" w:eastAsia="zh-CN"/>
        </w:rPr>
        <w:t>如下：</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①</w:t>
      </w:r>
      <w:r>
        <w:rPr>
          <w:rFonts w:hint="default" w:ascii="Times New Roman" w:hAnsi="Times New Roman" w:eastAsia="宋体" w:cs="Times New Roman"/>
          <w:color w:val="auto"/>
          <w:lang w:val="en-US" w:eastAsia="zh-CN"/>
        </w:rPr>
        <w:t>叉子种植法</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沉水植物一般采用叉子种植法，用一头带叉的竹竿或木杆作工具，作业时，作业人员乘船用叉叉住植株的茎部，叉入水中。此法适宜于丛生的沉水植物，如黑藻，穗花狐尾藻，蓖刺眼子菜，水盾草等，或单生的多株种植，如将苦草，竹叶眼子菜等5至6株后种植。适用范围：软底泥在10厘米以上，水深0.5至10米甚至更深的水系（水深0.5米以内，施工人员可直接种植。超过0.5米，手已不够长，才需要借助工具）。</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②</w:t>
      </w:r>
      <w:r>
        <w:rPr>
          <w:rFonts w:hint="default" w:ascii="Times New Roman" w:hAnsi="Times New Roman" w:eastAsia="宋体" w:cs="Times New Roman"/>
          <w:color w:val="auto"/>
          <w:lang w:val="en-US" w:eastAsia="zh-CN"/>
        </w:rPr>
        <w:t>和泥巴播撒</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将芽孢和稀泥均匀搅拌，等泥巴稍干，均匀撒如种植区。苦草不能和轮叶黑藻，伊乐藻混种，应该划出固定的种植面积。</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③</w:t>
      </w:r>
      <w:r>
        <w:rPr>
          <w:rFonts w:hint="default" w:ascii="Times New Roman" w:hAnsi="Times New Roman" w:eastAsia="宋体" w:cs="Times New Roman"/>
          <w:color w:val="auto"/>
          <w:lang w:val="en-US" w:eastAsia="zh-CN"/>
        </w:rPr>
        <w:t>自然状况下眼子菜主要依赖营养繁殖来实现种群的更新与扩展，地下根茎及其上形成的块茎状芽体(具鳞根出条)是主要的营养繁殖体。眼子菜虽然也能产生大量的成熟种子，但是至今尚未在野外采到种子苗。种子库可能是在环境剧烈变化后对种群的恢复和发展的重要源泉，它也是种群扩展的一个重要途径。水深对马来眼子菜的营养繁殖和有性繁殖有较大影响，一般马来眼子菜的抽条数和花序数随着水深梯度的增加而减少。这主要是由于随着水深的增加，眼子菜为了获得更多的光辐射和有性生殖的需要，必须使茎伸长至水面附近，增加了生物量分配到茎叶部分，减少了分配到开花和营养繁殖上的生物量。体现了马来眼子菜地上与地下部分、营养繁殖体与有性繁殖体间生物量分配存在一种权衡关系。微齿眼甘蓝种子大，每亩需500-800克。播种前需在池水或河水中浸泡5-7天，以加速发芽。一般播种10-12天后即可发芽。播前控制水位，保持最大透明度在35-40cm以上。</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④</w:t>
      </w:r>
      <w:r>
        <w:rPr>
          <w:rFonts w:hint="default" w:ascii="Times New Roman" w:hAnsi="Times New Roman" w:eastAsia="宋体" w:cs="Times New Roman"/>
          <w:color w:val="auto"/>
          <w:lang w:val="en-US" w:eastAsia="zh-CN"/>
        </w:rPr>
        <w:t>种植密度25丛/㎡，保证施工密度和设计密度相一致。</w:t>
      </w:r>
    </w:p>
    <w:p>
      <w:pPr>
        <w:spacing w:line="480" w:lineRule="exact"/>
        <w:ind w:firstLine="482" w:firstLineChars="200"/>
        <w:jc w:val="both"/>
        <w:rPr>
          <w:rFonts w:hint="default" w:cs="Times New Roman"/>
          <w:b/>
          <w:bCs/>
          <w:color w:val="auto"/>
          <w:lang w:val="en-US" w:eastAsia="zh-CN"/>
        </w:rPr>
      </w:pPr>
      <w:r>
        <w:rPr>
          <w:rFonts w:hint="eastAsia" w:cs="Times New Roman"/>
          <w:b/>
          <w:bCs/>
          <w:color w:val="auto"/>
          <w:lang w:val="en-US" w:eastAsia="zh-CN"/>
        </w:rPr>
        <w:t>2</w:t>
      </w:r>
      <w:r>
        <w:rPr>
          <w:rFonts w:hint="default" w:cs="Times New Roman"/>
          <w:b/>
          <w:bCs/>
          <w:color w:val="auto"/>
          <w:lang w:val="en-US" w:eastAsia="zh-CN"/>
        </w:rPr>
        <w:t>、水生植物的养护</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（1）</w:t>
      </w:r>
      <w:r>
        <w:rPr>
          <w:rFonts w:hint="default" w:ascii="Times New Roman" w:hAnsi="Times New Roman" w:eastAsia="宋体" w:cs="Times New Roman"/>
          <w:color w:val="auto"/>
          <w:lang w:val="en-US" w:eastAsia="zh-CN"/>
        </w:rPr>
        <w:t>水生植物的特性</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在种植水生植物前，应掌握水生植物的特性，包括其对水温、水深及土壤等方面的要求。</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影响水生植物生长发育的环境因子主要有温度、光照、水质、土壤、肥料等。正确地认识和满足水生植物对环境的要求，是水生植物栽植的关键所在。</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温度：每种水生植物的生长发育，由于其原产地的气候条件的不同，随之也要求不同的温度环境。从生长温度来看，本工程所种的水生植物基本上属于中低温水生植物，也包括虽产于热带而对温度要求不高的水生植物温度保持在5-20℃左右，都可栽植。</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①</w:t>
      </w:r>
      <w:r>
        <w:rPr>
          <w:rFonts w:hint="default" w:ascii="Times New Roman" w:hAnsi="Times New Roman" w:eastAsia="宋体" w:cs="Times New Roman"/>
          <w:color w:val="auto"/>
          <w:lang w:val="en-US" w:eastAsia="zh-CN"/>
        </w:rPr>
        <w:t>光：花色的不同吸收和反射的光能也有所不同，温度也不同，大多沉水植物为短日照水生植物，挺水植物为长日照水生植物。</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②</w:t>
      </w:r>
      <w:r>
        <w:rPr>
          <w:rFonts w:hint="default" w:ascii="Times New Roman" w:hAnsi="Times New Roman" w:eastAsia="宋体" w:cs="Times New Roman"/>
          <w:color w:val="auto"/>
          <w:lang w:val="en-US" w:eastAsia="zh-CN"/>
        </w:rPr>
        <w:t>水：水生植物在不同的生长发育阶段对水位要求也不同幼苗阶段，因根系小，在土壤中分布较浅，水深5-10cm，有利于幼苗生根展叶，苗株长大，需要的水较多，同时还要根据不同的水生植物种类随时加深水</w:t>
      </w:r>
      <w:r>
        <w:rPr>
          <w:rFonts w:hint="eastAsia" w:cs="Times New Roman"/>
          <w:color w:val="auto"/>
          <w:lang w:val="en-US" w:eastAsia="zh-CN"/>
        </w:rPr>
        <w:t>。</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③</w:t>
      </w:r>
      <w:r>
        <w:rPr>
          <w:rFonts w:hint="default" w:ascii="Times New Roman" w:hAnsi="Times New Roman" w:eastAsia="宋体" w:cs="Times New Roman"/>
          <w:color w:val="auto"/>
          <w:lang w:val="en-US" w:eastAsia="zh-CN"/>
        </w:rPr>
        <w:t>种植器</w:t>
      </w:r>
      <w:r>
        <w:rPr>
          <w:rFonts w:hint="eastAsia" w:cs="Times New Roman"/>
          <w:color w:val="auto"/>
          <w:lang w:val="en-US" w:eastAsia="zh-CN"/>
        </w:rPr>
        <w:t>：</w:t>
      </w:r>
      <w:r>
        <w:rPr>
          <w:rFonts w:hint="default" w:ascii="Times New Roman" w:hAnsi="Times New Roman" w:eastAsia="宋体" w:cs="Times New Roman"/>
          <w:color w:val="auto"/>
          <w:lang w:val="en-US" w:eastAsia="zh-CN"/>
        </w:rPr>
        <w:t>种植器一般选用木箱、竹篮、柳条筐等，一年之内不致腐烂。选用时应注意装土栽种以后，在水中不致倾倒或被风浪吹翻。</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④</w:t>
      </w:r>
      <w:r>
        <w:rPr>
          <w:rFonts w:hint="default" w:ascii="Times New Roman" w:hAnsi="Times New Roman" w:eastAsia="宋体" w:cs="Times New Roman"/>
          <w:color w:val="auto"/>
          <w:lang w:val="en-US" w:eastAsia="zh-CN"/>
        </w:rPr>
        <w:t>水位</w:t>
      </w:r>
      <w:r>
        <w:rPr>
          <w:rFonts w:hint="eastAsia" w:cs="Times New Roman"/>
          <w:color w:val="auto"/>
          <w:lang w:val="en-US" w:eastAsia="zh-CN"/>
        </w:rPr>
        <w:t>：</w:t>
      </w:r>
      <w:r>
        <w:rPr>
          <w:rFonts w:hint="default" w:ascii="Times New Roman" w:hAnsi="Times New Roman" w:eastAsia="宋体" w:cs="Times New Roman"/>
          <w:color w:val="auto"/>
          <w:lang w:val="en-US" w:eastAsia="zh-CN"/>
        </w:rPr>
        <w:t>如果种得太深，挺水植物会被“淹死”，浮叶植物叶子浮不出水面被“闷死”，沉水植物因水深光照过弱而“饿死”；或由于种得离常水位线高出过多，挺水植物被“旱死”。可见常水位线是水生植物的生命线，在实际施工作业时对常水位线要给予足够的重视。在种植施工放样前先用水准仪在现场确定出常水位线，在植物配置时把各种植物的水深适应性作为种植深浅的依据。</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（2）</w:t>
      </w:r>
      <w:r>
        <w:rPr>
          <w:rFonts w:hint="default" w:ascii="Times New Roman" w:hAnsi="Times New Roman" w:eastAsia="宋体" w:cs="Times New Roman"/>
          <w:color w:val="auto"/>
          <w:lang w:val="en-US" w:eastAsia="zh-CN"/>
        </w:rPr>
        <w:t>水生植物的管理</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①</w:t>
      </w:r>
      <w:r>
        <w:rPr>
          <w:rFonts w:hint="default" w:ascii="Times New Roman" w:hAnsi="Times New Roman" w:eastAsia="宋体" w:cs="Times New Roman"/>
          <w:color w:val="auto"/>
          <w:lang w:val="en-US" w:eastAsia="zh-CN"/>
        </w:rPr>
        <w:t>水生植物的运行管理主要包括设施管理、植株管理2个方面。其中设施管理主要预防人为损毁，以及生活杂物倾入到人工水生植物的管理。植株管理主要是对人工水生植物植物的维护。</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②</w:t>
      </w:r>
      <w:r>
        <w:rPr>
          <w:rFonts w:hint="default" w:ascii="Times New Roman" w:hAnsi="Times New Roman" w:eastAsia="宋体" w:cs="Times New Roman"/>
          <w:color w:val="auto"/>
          <w:lang w:val="en-US" w:eastAsia="zh-CN"/>
        </w:rPr>
        <w:t>设施管理：人工水生植物投入使用时，需要预防人为损毁，以及生活垃圾杂物倾倒，影响人工水生植物植物生长且有碍感观；</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③</w:t>
      </w:r>
      <w:r>
        <w:rPr>
          <w:rFonts w:hint="default" w:ascii="Times New Roman" w:hAnsi="Times New Roman" w:eastAsia="宋体" w:cs="Times New Roman"/>
          <w:color w:val="auto"/>
          <w:lang w:val="en-US" w:eastAsia="zh-CN"/>
        </w:rPr>
        <w:t>植物管理：种植和生长管理。种植后保持湿度，待发芽长高后不断提高水深，以不淹没芽顶为限。为促使根系发育和主根扎深，应周期性作业。水生植物要经历出芽、生长、孕穗、开花和茎的成熟等阶段。</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A.</w:t>
      </w:r>
      <w:r>
        <w:rPr>
          <w:rFonts w:hint="default" w:ascii="Times New Roman" w:hAnsi="Times New Roman" w:eastAsia="宋体" w:cs="Times New Roman"/>
          <w:color w:val="auto"/>
          <w:lang w:val="en-US" w:eastAsia="zh-CN"/>
        </w:rPr>
        <w:t>出芽管理：出芽后应严防植物病虫害，清理水面垃圾，减少水生害虫的生存空间，出芽过程中如发生病虫害会危害植株嫩芽，从而影响整个叶片的生长，破坏景观效果。</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B.</w:t>
      </w:r>
      <w:r>
        <w:rPr>
          <w:rFonts w:hint="default" w:ascii="Times New Roman" w:hAnsi="Times New Roman" w:eastAsia="宋体" w:cs="Times New Roman"/>
          <w:color w:val="auto"/>
          <w:lang w:val="en-US" w:eastAsia="zh-CN"/>
        </w:rPr>
        <w:t>修枝剪叶：修剪换季节植物茎叶，尽快完成换叶过程。避免植株间叶片相互遮掩影响形态；修剪相互遮掩的叶片，为植株创造空间，完成其自然生长。</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修剪可以促使水生植物生根和维持下年度生长和吸收，可以均衡植株养分状况，使植株在整年中保持良好地形态。修剪掉的茎叶连同吸收的营养物和其它成分从水生植物中移出，以防止落叶腐烂腐烂产生病毒，影响大面积植株。</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C.</w:t>
      </w:r>
      <w:r>
        <w:rPr>
          <w:rFonts w:hint="default" w:ascii="Times New Roman" w:hAnsi="Times New Roman" w:eastAsia="宋体" w:cs="Times New Roman"/>
          <w:color w:val="auto"/>
          <w:lang w:val="en-US" w:eastAsia="zh-CN"/>
        </w:rPr>
        <w:t>施肥：以油粕、骨粉的混合肥作为基肥，约放四、五个混合肥于容器中角落即可，水边植物不须基肥。生长旺盛期要追肥，追肥则以化学肥料代替有机肥，以避免污染水质，用量较一般植物稀薄十倍。</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D.</w:t>
      </w:r>
      <w:r>
        <w:rPr>
          <w:rFonts w:hint="default" w:ascii="Times New Roman" w:hAnsi="Times New Roman" w:eastAsia="宋体" w:cs="Times New Roman"/>
          <w:color w:val="auto"/>
          <w:lang w:val="en-US" w:eastAsia="zh-CN"/>
        </w:rPr>
        <w:t>疏除：湖中生长繁殖较快的品种，必须定时剪除，或分苗取出以免覆满水面，影响景观效果和苗木生长空间。另一方面浮水植株过密影响睡莲或其它沉水植物的生长；浮水植物过大时，叶面互相遮盖时，也必须进行分株。</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E.</w:t>
      </w:r>
      <w:r>
        <w:rPr>
          <w:rFonts w:hint="default" w:ascii="Times New Roman" w:hAnsi="Times New Roman" w:eastAsia="宋体" w:cs="Times New Roman"/>
          <w:color w:val="auto"/>
          <w:lang w:val="en-US" w:eastAsia="zh-CN"/>
        </w:rPr>
        <w:t>水草管理应当注意以下四点： 防腐烂、防浮头、防封面、防下沉</w:t>
      </w:r>
      <w:r>
        <w:rPr>
          <w:rFonts w:hint="eastAsia" w:cs="Times New Roman"/>
          <w:color w:val="auto"/>
          <w:lang w:val="en-US" w:eastAsia="zh-CN"/>
        </w:rPr>
        <w:t>。</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就防腐烂和防浮头而言，伊乐藻很易因疯长而引起腐烂和浮头，轮叶黑藻次之，应当经常梳理伊乐藻，将过密的伊乐藻去掉，把浮出水面的伊乐藻及轮叶黑藻和苦草距水面30cm处割取，可起到防缺氧，防浮头的作用，同时使水藻重新萌发嫩枝叶；</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水藻下沉的原因是水体密度过高，直接原因可能是调水不当，比如下有机肥或无机肥过量，真正的原因是水体的溶液浓度超过藻类细胞的溶液浓度时，藻类就下沉衰落。</w:t>
      </w:r>
    </w:p>
    <w:p>
      <w:pPr>
        <w:spacing w:line="480" w:lineRule="exact"/>
        <w:ind w:firstLine="480" w:firstLineChars="200"/>
        <w:jc w:val="both"/>
        <w:rPr>
          <w:rFonts w:hint="default" w:ascii="Times New Roman" w:hAnsi="Times New Roman" w:eastAsia="宋体" w:cs="Times New Roman"/>
          <w:b w:val="0"/>
          <w:bCs w:val="0"/>
          <w:color w:val="auto"/>
          <w:lang w:val="en-US" w:eastAsia="zh-CN"/>
        </w:rPr>
      </w:pPr>
      <w:r>
        <w:rPr>
          <w:rFonts w:hint="eastAsia" w:cs="Times New Roman"/>
          <w:b w:val="0"/>
          <w:bCs w:val="0"/>
          <w:color w:val="auto"/>
          <w:lang w:val="en-US" w:eastAsia="zh-CN"/>
        </w:rPr>
        <w:t>④</w:t>
      </w:r>
      <w:r>
        <w:rPr>
          <w:rFonts w:hint="default" w:ascii="Times New Roman" w:hAnsi="Times New Roman" w:eastAsia="宋体" w:cs="Times New Roman"/>
          <w:b w:val="0"/>
          <w:bCs w:val="0"/>
          <w:color w:val="auto"/>
          <w:lang w:val="en-US" w:eastAsia="zh-CN"/>
        </w:rPr>
        <w:t>综合管理</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水生植物的养护主要是水分管理，沉水、浮水、浮叶植物从起苗到种植过程都不能长时间离开水，尤其是炎热的夏天施工，苗木在运输过程中要做好降温保湿工作，确保植物体表湿润，做到先灌水，后种植。如不能及时灌水，则只能延期种植。挺水植物和湿生植物种植后要及时灌水，如水系不能及时灌水的，要经常浇水，使土壤水分保持过饱和状态。</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水生植物的管理一般比较简单，栽植后，除日常管理工作之外，还要注意以下几点：</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A.</w:t>
      </w:r>
      <w:r>
        <w:rPr>
          <w:rFonts w:hint="default" w:ascii="Times New Roman" w:hAnsi="Times New Roman" w:eastAsia="宋体" w:cs="Times New Roman"/>
          <w:color w:val="auto"/>
          <w:lang w:val="en-US" w:eastAsia="zh-CN"/>
        </w:rPr>
        <w:t>检查有无病虫害；</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B.</w:t>
      </w:r>
      <w:r>
        <w:rPr>
          <w:rFonts w:hint="default" w:ascii="Times New Roman" w:hAnsi="Times New Roman" w:eastAsia="宋体" w:cs="Times New Roman"/>
          <w:color w:val="auto"/>
          <w:lang w:val="en-US" w:eastAsia="zh-CN"/>
        </w:rPr>
        <w:t>检查植株是否拥挤，一般过3至4年时间分一次株；</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C.</w:t>
      </w:r>
      <w:r>
        <w:rPr>
          <w:rFonts w:hint="default" w:ascii="Times New Roman" w:hAnsi="Times New Roman" w:eastAsia="宋体" w:cs="Times New Roman"/>
          <w:color w:val="auto"/>
          <w:lang w:val="en-US" w:eastAsia="zh-CN"/>
        </w:rPr>
        <w:t>定期施加追肥；</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D.</w:t>
      </w:r>
      <w:r>
        <w:rPr>
          <w:rFonts w:hint="default" w:ascii="Times New Roman" w:hAnsi="Times New Roman" w:eastAsia="宋体" w:cs="Times New Roman"/>
          <w:color w:val="auto"/>
          <w:lang w:val="en-US" w:eastAsia="zh-CN"/>
        </w:rPr>
        <w:t>清除水中的杂草，池底或池水过于污浊时要换水或彻底清理。</w:t>
      </w:r>
    </w:p>
    <w:p>
      <w:pPr>
        <w:pStyle w:val="5"/>
        <w:jc w:val="both"/>
        <w:rPr>
          <w:rFonts w:hint="default" w:ascii="Times New Roman" w:hAnsi="Times New Roman" w:eastAsia="宋体" w:cs="Times New Roman"/>
          <w:color w:val="auto"/>
          <w:lang w:val="en-US" w:eastAsia="zh-CN"/>
        </w:rPr>
      </w:pPr>
      <w:bookmarkStart w:id="234" w:name="_Toc25293"/>
      <w:r>
        <w:rPr>
          <w:rFonts w:hint="eastAsia" w:ascii="Times New Roman" w:hAnsi="Times New Roman" w:eastAsia="宋体" w:cs="Times New Roman"/>
          <w:color w:val="auto"/>
          <w:lang w:val="en-US" w:eastAsia="zh-CN"/>
        </w:rPr>
        <w:t>3.</w:t>
      </w:r>
      <w:r>
        <w:rPr>
          <w:rFonts w:hint="eastAsia" w:cs="Times New Roman"/>
          <w:color w:val="auto"/>
          <w:lang w:val="en-US" w:eastAsia="zh-CN"/>
        </w:rPr>
        <w:t>6</w:t>
      </w:r>
      <w:r>
        <w:rPr>
          <w:rFonts w:hint="eastAsia" w:ascii="Times New Roman" w:hAnsi="Times New Roman" w:eastAsia="宋体" w:cs="Times New Roman"/>
          <w:color w:val="auto"/>
          <w:lang w:val="en-US" w:eastAsia="zh-CN"/>
        </w:rPr>
        <w:t>.4</w:t>
      </w:r>
      <w:r>
        <w:rPr>
          <w:rFonts w:hint="default" w:ascii="Times New Roman" w:hAnsi="Times New Roman" w:eastAsia="宋体" w:cs="Times New Roman"/>
          <w:color w:val="auto"/>
          <w:lang w:val="en-US" w:eastAsia="zh-CN"/>
        </w:rPr>
        <w:t>水生动物投放</w:t>
      </w:r>
      <w:bookmarkEnd w:id="234"/>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工程水生动物包括鱼类（构建食物网）、底栖动物、虾类及滤食性浮游动物。通过滤食浮游藻类，有效控制蓝藻水华；氮磷通过藻类营养级转化，进而达到净化水质的目的。本工程包括白鲢投放223kg，环棱螺投放36372kg，三角蚌投放29098kg。</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水生动物施工技术要求：</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1、水生动物挑选：挑选时严格把关，挑选活泼健康个体，不带入有病及伤残个体；</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2、水生动物运输：选择睛好天气运输，运输过程中应不间隔充氧；</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3、水生动物消毒处理：在充气运输车箱内或池塘集鱼网箱内，用0.5%的食盐水对即将投放的水生动物进行消毒处理30分钟。</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4、水生动物投放：投放前进行小规模试养，以确定该种类能否在本水体成活。投放时做到轻拿轻放，不要损伤个体。</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5、水生动物放养时间：根据施工计划时间进行投放。</w:t>
      </w:r>
    </w:p>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水生动物投放工艺流程如下：</w:t>
      </w:r>
    </w:p>
    <w:p>
      <w:pPr>
        <w:spacing w:line="480" w:lineRule="exact"/>
        <w:ind w:firstLine="480" w:firstLineChars="200"/>
        <w:rPr>
          <w:rFonts w:hint="default" w:cs="Times New Roman"/>
          <w:color w:val="auto"/>
          <w:lang w:val="en-US" w:eastAsia="zh-CN"/>
        </w:rPr>
      </w:pPr>
      <w:r>
        <w:rPr>
          <w:rFonts w:hint="default" w:ascii="Times New Roman" w:hAnsi="Times New Roman" w:eastAsia="宋体" w:cs="Times New Roman"/>
          <w:color w:val="auto"/>
          <w:lang w:val="en-US" w:eastAsia="zh-CN"/>
        </w:rPr>
        <w:drawing>
          <wp:anchor distT="0" distB="0" distL="114300" distR="114300" simplePos="0" relativeHeight="251702272" behindDoc="0" locked="0" layoutInCell="1" allowOverlap="1">
            <wp:simplePos x="0" y="0"/>
            <wp:positionH relativeFrom="column">
              <wp:posOffset>-416560</wp:posOffset>
            </wp:positionH>
            <wp:positionV relativeFrom="paragraph">
              <wp:posOffset>1905</wp:posOffset>
            </wp:positionV>
            <wp:extent cx="6407785" cy="1089025"/>
            <wp:effectExtent l="0" t="0" r="12065" b="15875"/>
            <wp:wrapNone/>
            <wp:docPr id="97" name="图片 97" descr="苏州市太湖渔洋山水源地近岸生态修复工程(EPC)施工组织设计 2021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苏州市太湖渔洋山水源地近岸生态修复工程(EPC)施工组织设计 20210916"/>
                    <pic:cNvPicPr>
                      <a:picLocks noChangeAspect="1"/>
                    </pic:cNvPicPr>
                  </pic:nvPicPr>
                  <pic:blipFill>
                    <a:blip r:embed="rId47"/>
                    <a:stretch>
                      <a:fillRect/>
                    </a:stretch>
                  </pic:blipFill>
                  <pic:spPr>
                    <a:xfrm>
                      <a:off x="0" y="0"/>
                      <a:ext cx="6407785" cy="1089025"/>
                    </a:xfrm>
                    <a:prstGeom prst="rect">
                      <a:avLst/>
                    </a:prstGeom>
                  </pic:spPr>
                </pic:pic>
              </a:graphicData>
            </a:graphic>
          </wp:anchor>
        </w:drawing>
      </w: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jc w:val="center"/>
        <w:rPr>
          <w:rFonts w:hint="default" w:ascii="Times New Roman" w:hAnsi="Times New Roman" w:eastAsia="宋体" w:cs="Times New Roman"/>
          <w:b/>
          <w:bCs/>
          <w:color w:val="auto"/>
          <w:lang w:val="en-US" w:eastAsia="zh-CN"/>
        </w:rPr>
      </w:pPr>
    </w:p>
    <w:p>
      <w:pPr>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图</w:t>
      </w:r>
      <w:r>
        <w:rPr>
          <w:rFonts w:hint="eastAsia" w:cs="Times New Roman"/>
          <w:b/>
          <w:bCs/>
          <w:color w:val="auto"/>
          <w:lang w:val="en-US" w:eastAsia="zh-CN"/>
        </w:rPr>
        <w:t>3.6-7</w:t>
      </w:r>
      <w:r>
        <w:rPr>
          <w:rFonts w:hint="default" w:ascii="Times New Roman" w:hAnsi="Times New Roman" w:eastAsia="宋体" w:cs="Times New Roman"/>
          <w:b/>
          <w:bCs/>
          <w:color w:val="auto"/>
          <w:lang w:val="en-US" w:eastAsia="zh-CN"/>
        </w:rPr>
        <w:t xml:space="preserve"> </w:t>
      </w:r>
      <w:r>
        <w:rPr>
          <w:rFonts w:hint="eastAsia" w:cs="Times New Roman"/>
          <w:b/>
          <w:bCs/>
          <w:color w:val="auto"/>
          <w:lang w:val="en-US" w:eastAsia="zh-CN"/>
        </w:rPr>
        <w:t>水生动物投放工艺流程</w:t>
      </w:r>
      <w:r>
        <w:rPr>
          <w:rFonts w:hint="default" w:ascii="Times New Roman" w:hAnsi="Times New Roman" w:eastAsia="宋体" w:cs="Times New Roman"/>
          <w:b/>
          <w:bCs/>
          <w:color w:val="auto"/>
          <w:lang w:val="en-US" w:eastAsia="zh-CN"/>
        </w:rPr>
        <w:t>图</w:t>
      </w:r>
    </w:p>
    <w:p>
      <w:pPr>
        <w:pStyle w:val="4"/>
        <w:tabs>
          <w:tab w:val="left" w:pos="2160"/>
        </w:tabs>
        <w:adjustRightInd/>
        <w:spacing w:before="196" w:beforeLines="50" w:after="196" w:afterLines="50" w:line="480" w:lineRule="exact"/>
        <w:jc w:val="both"/>
        <w:rPr>
          <w:rFonts w:hint="default" w:ascii="Times New Roman" w:hAnsi="Times New Roman" w:eastAsia="宋体" w:cs="Times New Roman"/>
          <w:bCs/>
          <w:color w:val="auto"/>
          <w:sz w:val="30"/>
          <w:szCs w:val="30"/>
          <w:lang w:val="en-US" w:eastAsia="zh-CN"/>
        </w:rPr>
      </w:pPr>
      <w:bookmarkStart w:id="235" w:name="_Toc27446"/>
      <w:r>
        <w:rPr>
          <w:rFonts w:hint="eastAsia" w:ascii="Times New Roman" w:hAnsi="Times New Roman" w:eastAsia="宋体" w:cs="Times New Roman"/>
          <w:bCs/>
          <w:color w:val="auto"/>
          <w:sz w:val="30"/>
          <w:szCs w:val="30"/>
          <w:lang w:val="en-US" w:eastAsia="zh-CN"/>
        </w:rPr>
        <w:t>3.</w:t>
      </w:r>
      <w:r>
        <w:rPr>
          <w:rFonts w:hint="eastAsia" w:cs="Times New Roman"/>
          <w:bCs/>
          <w:color w:val="auto"/>
          <w:sz w:val="30"/>
          <w:szCs w:val="30"/>
          <w:lang w:val="en-US" w:eastAsia="zh-CN"/>
        </w:rPr>
        <w:t>7</w:t>
      </w:r>
      <w:r>
        <w:rPr>
          <w:rFonts w:hint="eastAsia" w:ascii="Times New Roman" w:hAnsi="Times New Roman" w:eastAsia="宋体" w:cs="Times New Roman"/>
          <w:bCs/>
          <w:color w:val="auto"/>
          <w:sz w:val="30"/>
          <w:szCs w:val="30"/>
          <w:lang w:val="en-US" w:eastAsia="zh-CN"/>
        </w:rPr>
        <w:t xml:space="preserve"> </w:t>
      </w:r>
      <w:r>
        <w:rPr>
          <w:rFonts w:hint="eastAsia" w:cs="Times New Roman"/>
          <w:bCs/>
          <w:color w:val="auto"/>
          <w:sz w:val="30"/>
          <w:szCs w:val="30"/>
          <w:lang w:val="en-US" w:eastAsia="zh-CN"/>
        </w:rPr>
        <w:t>工程占地</w:t>
      </w:r>
      <w:bookmarkEnd w:id="235"/>
      <w:r>
        <w:rPr>
          <w:rFonts w:hint="eastAsia" w:ascii="Times New Roman" w:hAnsi="Times New Roman" w:eastAsia="宋体" w:cs="Times New Roman"/>
          <w:bCs/>
          <w:color w:val="auto"/>
          <w:sz w:val="30"/>
          <w:szCs w:val="30"/>
          <w:lang w:val="en-US" w:eastAsia="zh-CN"/>
        </w:rPr>
        <w:t xml:space="preserve"> </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本项目工程</w:t>
      </w:r>
      <w:r>
        <w:rPr>
          <w:rFonts w:hint="eastAsia" w:cs="Times New Roman"/>
          <w:color w:val="auto"/>
          <w:lang w:val="en-US" w:eastAsia="zh-CN"/>
        </w:rPr>
        <w:t>租用附近民房作为项目部，临时征用网球场作为材料堆场，</w:t>
      </w:r>
      <w:r>
        <w:rPr>
          <w:rFonts w:hint="default" w:ascii="Times New Roman" w:hAnsi="Times New Roman" w:eastAsia="宋体" w:cs="Times New Roman"/>
          <w:color w:val="auto"/>
          <w:lang w:val="en-US" w:eastAsia="zh-CN"/>
        </w:rPr>
        <w:t>不涉及永久</w:t>
      </w:r>
      <w:r>
        <w:rPr>
          <w:rFonts w:hint="eastAsia" w:cs="Times New Roman"/>
          <w:color w:val="auto"/>
          <w:lang w:val="en-US" w:eastAsia="zh-CN"/>
        </w:rPr>
        <w:t>占地</w:t>
      </w:r>
      <w:r>
        <w:rPr>
          <w:rFonts w:hint="default" w:ascii="Times New Roman" w:hAnsi="Times New Roman" w:eastAsia="宋体" w:cs="Times New Roman"/>
          <w:color w:val="auto"/>
          <w:lang w:val="en-US" w:eastAsia="zh-CN"/>
        </w:rPr>
        <w:t>。</w:t>
      </w:r>
    </w:p>
    <w:p>
      <w:pPr>
        <w:pStyle w:val="4"/>
        <w:tabs>
          <w:tab w:val="left" w:pos="2160"/>
        </w:tabs>
        <w:adjustRightInd/>
        <w:spacing w:before="196" w:beforeLines="50" w:after="196" w:afterLines="50" w:line="480" w:lineRule="exact"/>
        <w:jc w:val="both"/>
        <w:rPr>
          <w:rFonts w:hint="default" w:ascii="Times New Roman" w:hAnsi="Times New Roman" w:eastAsia="宋体" w:cs="Times New Roman"/>
          <w:bCs/>
          <w:color w:val="auto"/>
          <w:sz w:val="30"/>
          <w:szCs w:val="30"/>
          <w:lang w:val="en-US" w:eastAsia="zh-CN"/>
        </w:rPr>
      </w:pPr>
      <w:bookmarkStart w:id="236" w:name="_Toc16718"/>
      <w:r>
        <w:rPr>
          <w:rFonts w:hint="eastAsia" w:ascii="Times New Roman" w:hAnsi="Times New Roman" w:eastAsia="宋体" w:cs="Times New Roman"/>
          <w:bCs/>
          <w:color w:val="auto"/>
          <w:sz w:val="30"/>
          <w:szCs w:val="30"/>
          <w:lang w:val="en-US" w:eastAsia="zh-CN"/>
        </w:rPr>
        <w:t>3.</w:t>
      </w:r>
      <w:r>
        <w:rPr>
          <w:rFonts w:hint="eastAsia" w:cs="Times New Roman"/>
          <w:bCs/>
          <w:color w:val="auto"/>
          <w:sz w:val="30"/>
          <w:szCs w:val="30"/>
          <w:lang w:val="en-US" w:eastAsia="zh-CN"/>
        </w:rPr>
        <w:t>8</w:t>
      </w:r>
      <w:r>
        <w:rPr>
          <w:rFonts w:hint="eastAsia" w:ascii="Times New Roman" w:hAnsi="Times New Roman" w:eastAsia="宋体" w:cs="Times New Roman"/>
          <w:bCs/>
          <w:color w:val="auto"/>
          <w:sz w:val="30"/>
          <w:szCs w:val="30"/>
          <w:lang w:val="en-US" w:eastAsia="zh-CN"/>
        </w:rPr>
        <w:t xml:space="preserve"> 施工布置环境可行性分析</w:t>
      </w:r>
      <w:bookmarkEnd w:id="236"/>
      <w:r>
        <w:rPr>
          <w:rFonts w:hint="eastAsia" w:ascii="Times New Roman" w:hAnsi="Times New Roman" w:eastAsia="宋体" w:cs="Times New Roman"/>
          <w:bCs/>
          <w:color w:val="auto"/>
          <w:sz w:val="30"/>
          <w:szCs w:val="30"/>
          <w:lang w:val="en-US" w:eastAsia="zh-CN"/>
        </w:rPr>
        <w:t xml:space="preserve"> </w:t>
      </w:r>
    </w:p>
    <w:p>
      <w:pPr>
        <w:spacing w:line="480" w:lineRule="exact"/>
        <w:ind w:firstLine="482" w:firstLineChars="200"/>
        <w:jc w:val="both"/>
        <w:rPr>
          <w:rFonts w:hint="default" w:ascii="Times New Roman" w:hAnsi="Times New Roman" w:eastAsia="宋体" w:cs="Times New Roman"/>
          <w:b/>
          <w:bCs/>
          <w:color w:val="auto"/>
          <w:lang w:val="en-US" w:eastAsia="zh-CN"/>
        </w:rPr>
      </w:pPr>
      <w:r>
        <w:rPr>
          <w:rFonts w:hint="eastAsia" w:cs="Times New Roman"/>
          <w:b/>
          <w:bCs/>
          <w:color w:val="auto"/>
          <w:lang w:val="en-US" w:eastAsia="zh-CN"/>
        </w:rPr>
        <w:t>1、施工道路布置环境合理性分析</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本工程位于苏州</w:t>
      </w:r>
      <w:r>
        <w:rPr>
          <w:rFonts w:hint="eastAsia" w:cs="Times New Roman"/>
          <w:color w:val="auto"/>
          <w:lang w:val="en-US" w:eastAsia="zh-CN"/>
        </w:rPr>
        <w:t>太湖旅游度假区内</w:t>
      </w:r>
      <w:r>
        <w:rPr>
          <w:rFonts w:hint="default" w:ascii="Times New Roman" w:hAnsi="Times New Roman" w:eastAsia="宋体" w:cs="Times New Roman"/>
          <w:color w:val="auto"/>
          <w:lang w:val="en-US" w:eastAsia="zh-CN"/>
        </w:rPr>
        <w:t>，市政道路网络发展成熟，有多级道路可通往项目工程区，且现有道路均能满足施工机械进出场、建筑材料运输等要求，工程外来物资运输条件良好，对外交通较为便利。</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进出场及施工区内的所有道路、停车场做好路面的泛水，经常性洒水除尘，所有道路两侧挖排水沟采用自排积水，并配备必要的排水设施，施工道路派专人进行维护，确保路面平整。</w:t>
      </w:r>
    </w:p>
    <w:p>
      <w:pPr>
        <w:spacing w:line="480" w:lineRule="exact"/>
        <w:ind w:firstLine="482" w:firstLineChars="200"/>
        <w:jc w:val="both"/>
        <w:rPr>
          <w:rFonts w:hint="default" w:cs="Times New Roman"/>
          <w:b/>
          <w:bCs/>
          <w:color w:val="auto"/>
          <w:lang w:val="en-US" w:eastAsia="zh-CN"/>
        </w:rPr>
      </w:pPr>
      <w:r>
        <w:rPr>
          <w:rFonts w:hint="eastAsia" w:cs="Times New Roman"/>
          <w:b/>
          <w:bCs/>
          <w:color w:val="auto"/>
          <w:lang w:val="en-US" w:eastAsia="zh-CN"/>
        </w:rPr>
        <w:t>2、</w:t>
      </w:r>
      <w:r>
        <w:rPr>
          <w:rFonts w:hint="default" w:cs="Times New Roman"/>
          <w:b/>
          <w:bCs/>
          <w:color w:val="auto"/>
          <w:lang w:val="en-US" w:eastAsia="zh-CN"/>
        </w:rPr>
        <w:t>施工临建设施布置合理性分析</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本项目临时工程包括项目部</w:t>
      </w:r>
      <w:r>
        <w:rPr>
          <w:rFonts w:hint="eastAsia" w:cs="Times New Roman"/>
          <w:color w:val="auto"/>
          <w:lang w:val="en-US" w:eastAsia="zh-CN"/>
        </w:rPr>
        <w:t>和材料堆放区</w:t>
      </w:r>
      <w:r>
        <w:rPr>
          <w:rFonts w:hint="default" w:ascii="Times New Roman" w:hAnsi="Times New Roman" w:eastAsia="宋体" w:cs="Times New Roman"/>
          <w:color w:val="auto"/>
          <w:lang w:val="en-US" w:eastAsia="zh-CN"/>
        </w:rPr>
        <w:t>。根据工程特点及施工条件，施工布置采取集中与分散相结合的布置原则，并遵循因地制宜，有利生产、方便生活、安全可靠、易于管理，注重环境保护、减少水土流失，充分体现人与自然和谐相处、经济合理的原则。项目部租用附近民房</w:t>
      </w:r>
      <w:r>
        <w:rPr>
          <w:rFonts w:hint="eastAsia" w:cs="Times New Roman"/>
          <w:color w:val="auto"/>
          <w:lang w:val="en-US" w:eastAsia="zh-CN"/>
        </w:rPr>
        <w:t>，材料堆放区征用附近网球场</w:t>
      </w:r>
      <w:r>
        <w:rPr>
          <w:rFonts w:hint="default" w:ascii="Times New Roman" w:hAnsi="Times New Roman" w:eastAsia="宋体" w:cs="Times New Roman"/>
          <w:color w:val="auto"/>
          <w:lang w:val="en-US" w:eastAsia="zh-CN"/>
        </w:rPr>
        <w:t>。</w:t>
      </w:r>
    </w:p>
    <w:p>
      <w:pPr>
        <w:pStyle w:val="4"/>
        <w:tabs>
          <w:tab w:val="left" w:pos="2160"/>
        </w:tabs>
        <w:adjustRightInd/>
        <w:spacing w:before="196" w:beforeLines="50" w:after="196" w:afterLines="50" w:line="480" w:lineRule="exact"/>
        <w:jc w:val="both"/>
        <w:rPr>
          <w:rFonts w:hint="eastAsia" w:ascii="Times New Roman" w:hAnsi="Times New Roman" w:eastAsia="宋体" w:cs="Times New Roman"/>
          <w:bCs/>
          <w:color w:val="auto"/>
          <w:sz w:val="30"/>
          <w:szCs w:val="30"/>
          <w:lang w:val="en-US" w:eastAsia="zh-CN"/>
        </w:rPr>
      </w:pPr>
      <w:bookmarkStart w:id="237" w:name="_Toc24640"/>
      <w:r>
        <w:rPr>
          <w:rFonts w:hint="eastAsia" w:ascii="Times New Roman" w:hAnsi="Times New Roman" w:eastAsia="宋体" w:cs="Times New Roman"/>
          <w:bCs/>
          <w:color w:val="auto"/>
          <w:sz w:val="30"/>
          <w:szCs w:val="30"/>
          <w:lang w:val="en-US" w:eastAsia="zh-CN"/>
        </w:rPr>
        <w:t>3.</w:t>
      </w:r>
      <w:r>
        <w:rPr>
          <w:rFonts w:hint="eastAsia" w:cs="Times New Roman"/>
          <w:bCs/>
          <w:color w:val="auto"/>
          <w:sz w:val="30"/>
          <w:szCs w:val="30"/>
          <w:lang w:val="en-US" w:eastAsia="zh-CN"/>
        </w:rPr>
        <w:t>9</w:t>
      </w:r>
      <w:r>
        <w:rPr>
          <w:rFonts w:hint="eastAsia" w:ascii="Times New Roman" w:hAnsi="Times New Roman" w:eastAsia="宋体" w:cs="Times New Roman"/>
          <w:bCs/>
          <w:color w:val="auto"/>
          <w:sz w:val="30"/>
          <w:szCs w:val="30"/>
          <w:lang w:val="en-US" w:eastAsia="zh-CN"/>
        </w:rPr>
        <w:t xml:space="preserve"> 工程施工方式及时序环境合理性分析</w:t>
      </w:r>
      <w:bookmarkEnd w:id="237"/>
      <w:r>
        <w:rPr>
          <w:rFonts w:hint="eastAsia" w:ascii="Times New Roman" w:hAnsi="Times New Roman" w:eastAsia="宋体" w:cs="Times New Roman"/>
          <w:bCs/>
          <w:color w:val="auto"/>
          <w:sz w:val="30"/>
          <w:szCs w:val="30"/>
          <w:lang w:val="en-US" w:eastAsia="zh-CN"/>
        </w:rPr>
        <w:t xml:space="preserve"> </w:t>
      </w:r>
    </w:p>
    <w:p>
      <w:pPr>
        <w:spacing w:line="480" w:lineRule="exact"/>
        <w:ind w:firstLine="480" w:firstLineChars="200"/>
        <w:jc w:val="both"/>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根据工程的规模、建设内容，本工程施工总工期安排</w:t>
      </w:r>
      <w:r>
        <w:rPr>
          <w:rFonts w:hint="eastAsia" w:cs="Times New Roman"/>
          <w:color w:val="auto"/>
          <w:lang w:val="en-US" w:eastAsia="zh-CN"/>
        </w:rPr>
        <w:t>460天</w:t>
      </w:r>
      <w:r>
        <w:rPr>
          <w:rFonts w:hint="eastAsia" w:ascii="Times New Roman" w:hAnsi="Times New Roman" w:eastAsia="宋体" w:cs="Times New Roman"/>
          <w:color w:val="auto"/>
          <w:lang w:val="en-US" w:eastAsia="zh-CN"/>
        </w:rPr>
        <w:t>，即从202</w:t>
      </w:r>
      <w:r>
        <w:rPr>
          <w:rFonts w:hint="eastAsia" w:cs="Times New Roman"/>
          <w:color w:val="auto"/>
          <w:lang w:val="en-US" w:eastAsia="zh-CN"/>
        </w:rPr>
        <w:t>1</w:t>
      </w:r>
      <w:r>
        <w:rPr>
          <w:rFonts w:hint="eastAsia" w:ascii="Times New Roman" w:hAnsi="Times New Roman" w:eastAsia="宋体" w:cs="Times New Roman"/>
          <w:color w:val="auto"/>
          <w:lang w:val="en-US" w:eastAsia="zh-CN"/>
        </w:rPr>
        <w:t>年10月</w:t>
      </w:r>
      <w:r>
        <w:rPr>
          <w:rFonts w:hint="eastAsia" w:cs="Times New Roman"/>
          <w:color w:val="auto"/>
          <w:lang w:val="en-US" w:eastAsia="zh-CN"/>
        </w:rPr>
        <w:t>中旬</w:t>
      </w:r>
      <w:r>
        <w:rPr>
          <w:rFonts w:hint="eastAsia" w:ascii="Times New Roman" w:hAnsi="Times New Roman" w:eastAsia="宋体" w:cs="Times New Roman"/>
          <w:color w:val="auto"/>
          <w:lang w:val="en-US" w:eastAsia="zh-CN"/>
        </w:rPr>
        <w:t>开始施工准备，至202</w:t>
      </w:r>
      <w:r>
        <w:rPr>
          <w:rFonts w:hint="eastAsia" w:cs="Times New Roman"/>
          <w:color w:val="auto"/>
          <w:lang w:val="en-US" w:eastAsia="zh-CN"/>
        </w:rPr>
        <w:t>3</w:t>
      </w:r>
      <w:r>
        <w:rPr>
          <w:rFonts w:hint="eastAsia" w:ascii="Times New Roman" w:hAnsi="Times New Roman" w:eastAsia="宋体" w:cs="Times New Roman"/>
          <w:color w:val="auto"/>
          <w:lang w:val="en-US" w:eastAsia="zh-CN"/>
        </w:rPr>
        <w:t>年</w:t>
      </w:r>
      <w:r>
        <w:rPr>
          <w:rFonts w:hint="eastAsia" w:cs="Times New Roman"/>
          <w:color w:val="auto"/>
          <w:lang w:val="en-US" w:eastAsia="zh-CN"/>
        </w:rPr>
        <w:t>1</w:t>
      </w:r>
      <w:r>
        <w:rPr>
          <w:rFonts w:hint="eastAsia" w:ascii="Times New Roman" w:hAnsi="Times New Roman" w:eastAsia="宋体" w:cs="Times New Roman"/>
          <w:color w:val="auto"/>
          <w:lang w:val="en-US" w:eastAsia="zh-CN"/>
        </w:rPr>
        <w:t xml:space="preserve">月底全面完成。根据工程的建设内容、特性及施工条件，施工进度安排按以下原则进行： </w:t>
      </w:r>
    </w:p>
    <w:p>
      <w:pPr>
        <w:spacing w:line="480" w:lineRule="exact"/>
        <w:ind w:firstLine="480" w:firstLineChars="200"/>
        <w:jc w:val="both"/>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根据施工内容分部实施。尽量缩短搭接时间，合理确定技术间隙时间和组织间隙时间。安排施工顺序时，力求人力和各种资源需求量的均衡，在照顾重点的同时，避免资源需求量的不合理峰值，保证各分项工程施工进度。</w:t>
      </w:r>
    </w:p>
    <w:p>
      <w:pPr>
        <w:spacing w:line="480" w:lineRule="exact"/>
        <w:ind w:firstLine="480" w:firstLineChars="200"/>
        <w:jc w:val="both"/>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科学地安排冬季和雨季施工项目，通过资源调配，保持全工期施工均衡性和连续性。</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提高项目机械化施工程度，充分利用投入到本工程项目中的各类施工设备，扩大机械化施工范围；不断改善劳动条件，努力提高劳动生产率。</w:t>
      </w:r>
    </w:p>
    <w:p>
      <w:pPr>
        <w:pStyle w:val="4"/>
        <w:tabs>
          <w:tab w:val="left" w:pos="2160"/>
        </w:tabs>
        <w:adjustRightInd/>
        <w:spacing w:before="196" w:beforeLines="50" w:after="196" w:afterLines="50" w:line="480" w:lineRule="exact"/>
        <w:jc w:val="both"/>
        <w:rPr>
          <w:rFonts w:hint="default" w:ascii="Times New Roman" w:hAnsi="Times New Roman" w:eastAsia="宋体" w:cs="Times New Roman"/>
          <w:bCs/>
          <w:color w:val="auto"/>
          <w:sz w:val="30"/>
          <w:szCs w:val="30"/>
          <w:lang w:val="en-US" w:eastAsia="zh-CN"/>
        </w:rPr>
      </w:pPr>
      <w:bookmarkStart w:id="238" w:name="_Toc4652"/>
      <w:r>
        <w:rPr>
          <w:rFonts w:hint="default" w:ascii="Times New Roman" w:hAnsi="Times New Roman" w:eastAsia="宋体" w:cs="Times New Roman"/>
          <w:bCs/>
          <w:color w:val="auto"/>
          <w:sz w:val="30"/>
          <w:szCs w:val="30"/>
          <w:lang w:val="en-US" w:eastAsia="zh-CN"/>
        </w:rPr>
        <w:t>3.1</w:t>
      </w:r>
      <w:r>
        <w:rPr>
          <w:rFonts w:hint="eastAsia" w:cs="Times New Roman"/>
          <w:bCs/>
          <w:color w:val="auto"/>
          <w:sz w:val="30"/>
          <w:szCs w:val="30"/>
          <w:lang w:val="en-US" w:eastAsia="zh-CN"/>
        </w:rPr>
        <w:t>0</w:t>
      </w:r>
      <w:r>
        <w:rPr>
          <w:rFonts w:hint="default" w:ascii="Times New Roman" w:hAnsi="Times New Roman" w:eastAsia="宋体" w:cs="Times New Roman"/>
          <w:bCs/>
          <w:color w:val="auto"/>
          <w:sz w:val="30"/>
          <w:szCs w:val="30"/>
          <w:lang w:val="en-US" w:eastAsia="zh-CN"/>
        </w:rPr>
        <w:t xml:space="preserve"> 施工期影响源强分析</w:t>
      </w:r>
      <w:bookmarkEnd w:id="238"/>
    </w:p>
    <w:p>
      <w:pPr>
        <w:pStyle w:val="5"/>
        <w:jc w:val="both"/>
        <w:rPr>
          <w:rFonts w:hint="default" w:ascii="Times New Roman" w:hAnsi="Times New Roman" w:eastAsia="宋体" w:cs="Times New Roman"/>
          <w:color w:val="auto"/>
          <w:lang w:val="en-US" w:eastAsia="zh-CN"/>
        </w:rPr>
      </w:pPr>
      <w:bookmarkStart w:id="239" w:name="_Toc14544"/>
      <w:r>
        <w:rPr>
          <w:rFonts w:hint="default" w:ascii="Times New Roman" w:hAnsi="Times New Roman" w:eastAsia="宋体" w:cs="Times New Roman"/>
          <w:color w:val="auto"/>
          <w:lang w:val="en-US" w:eastAsia="zh-CN"/>
        </w:rPr>
        <w:t>3.1</w:t>
      </w:r>
      <w:r>
        <w:rPr>
          <w:rFonts w:hint="eastAsia" w:cs="Times New Roman"/>
          <w:color w:val="auto"/>
          <w:lang w:val="en-US" w:eastAsia="zh-CN"/>
        </w:rPr>
        <w:t>0</w:t>
      </w:r>
      <w:r>
        <w:rPr>
          <w:rFonts w:hint="default" w:ascii="Times New Roman" w:hAnsi="Times New Roman" w:eastAsia="宋体" w:cs="Times New Roman"/>
          <w:color w:val="auto"/>
          <w:lang w:val="en-US" w:eastAsia="zh-CN"/>
        </w:rPr>
        <w:t>.1 水环境</w:t>
      </w:r>
      <w:bookmarkEnd w:id="239"/>
    </w:p>
    <w:p>
      <w:pPr>
        <w:spacing w:line="480" w:lineRule="exact"/>
        <w:ind w:firstLine="482" w:firstLineChars="200"/>
        <w:jc w:val="both"/>
        <w:rPr>
          <w:rFonts w:hint="default" w:cs="Times New Roman"/>
          <w:b/>
          <w:bCs/>
          <w:color w:val="auto"/>
          <w:lang w:val="en-US" w:eastAsia="zh-CN"/>
        </w:rPr>
      </w:pPr>
      <w:r>
        <w:rPr>
          <w:rFonts w:hint="eastAsia" w:cs="Times New Roman"/>
          <w:b/>
          <w:bCs/>
          <w:color w:val="auto"/>
          <w:lang w:val="en-US" w:eastAsia="zh-CN"/>
        </w:rPr>
        <w:t>1、施工生活污水</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本项目施工期废水主要来自施工人员的生活污水，据国内多个水利水电工程施工区生活污水有关监测资料，生活污水中不含重金属和有毒物质，主要污染物为COD、SS、</w:t>
      </w:r>
      <w:r>
        <w:rPr>
          <w:rFonts w:hint="eastAsia" w:cs="Times New Roman"/>
          <w:color w:val="auto"/>
          <w:sz w:val="21"/>
          <w:szCs w:val="21"/>
          <w:vertAlign w:val="baseline"/>
          <w:lang w:val="en-US" w:eastAsia="zh-CN"/>
        </w:rPr>
        <w:t>NH</w:t>
      </w:r>
      <w:r>
        <w:rPr>
          <w:rFonts w:hint="eastAsia" w:cs="Times New Roman"/>
          <w:color w:val="auto"/>
          <w:sz w:val="21"/>
          <w:szCs w:val="21"/>
          <w:vertAlign w:val="subscript"/>
          <w:lang w:val="en-US" w:eastAsia="zh-CN"/>
        </w:rPr>
        <w:t>3</w:t>
      </w:r>
      <w:r>
        <w:rPr>
          <w:rFonts w:hint="eastAsia" w:cs="Times New Roman"/>
          <w:color w:val="auto"/>
          <w:sz w:val="21"/>
          <w:szCs w:val="21"/>
          <w:vertAlign w:val="baseline"/>
          <w:lang w:val="en-US" w:eastAsia="zh-CN"/>
        </w:rPr>
        <w:t>-N、</w:t>
      </w:r>
      <w:r>
        <w:rPr>
          <w:rFonts w:hint="eastAsia" w:cs="Times New Roman"/>
          <w:color w:val="auto"/>
          <w:lang w:val="en-US" w:eastAsia="zh-CN"/>
        </w:rPr>
        <w:t>TP、TN等。此外还含有致病病菌、病毒和寄生虫卵等。生活污水为间歇式排放，若不处理随意排放，将对周围环境产生影响，污染附近水体。</w:t>
      </w:r>
    </w:p>
    <w:p>
      <w:pPr>
        <w:spacing w:line="480" w:lineRule="exact"/>
        <w:ind w:firstLine="480" w:firstLineChars="200"/>
        <w:jc w:val="both"/>
        <w:rPr>
          <w:rFonts w:hint="default" w:cs="Times New Roman"/>
          <w:color w:val="auto"/>
          <w:lang w:val="en-US" w:eastAsia="zh-CN"/>
        </w:rPr>
      </w:pPr>
      <w:r>
        <w:rPr>
          <w:rFonts w:hint="default" w:cs="Times New Roman"/>
          <w:color w:val="auto"/>
          <w:lang w:val="en-US" w:eastAsia="zh-CN"/>
        </w:rPr>
        <w:t>根据施工规划，施工期平均施工人数约</w:t>
      </w:r>
      <w:r>
        <w:rPr>
          <w:rFonts w:hint="eastAsia" w:cs="Times New Roman"/>
          <w:color w:val="auto"/>
          <w:lang w:val="en-US" w:eastAsia="zh-CN"/>
        </w:rPr>
        <w:t>15</w:t>
      </w:r>
      <w:r>
        <w:rPr>
          <w:rFonts w:hint="default" w:cs="Times New Roman"/>
          <w:color w:val="auto"/>
          <w:lang w:val="en-US" w:eastAsia="zh-CN"/>
        </w:rPr>
        <w:t>人，施工高峰人数约</w:t>
      </w:r>
      <w:r>
        <w:rPr>
          <w:rFonts w:hint="eastAsia" w:cs="Times New Roman"/>
          <w:color w:val="auto"/>
          <w:lang w:val="en-US" w:eastAsia="zh-CN"/>
        </w:rPr>
        <w:t>20</w:t>
      </w:r>
      <w:r>
        <w:rPr>
          <w:rFonts w:hint="default" w:cs="Times New Roman"/>
          <w:color w:val="auto"/>
          <w:lang w:val="en-US" w:eastAsia="zh-CN"/>
        </w:rPr>
        <w:t>人。本工程项目部租用</w:t>
      </w:r>
      <w:r>
        <w:rPr>
          <w:rFonts w:hint="eastAsia" w:cs="Times New Roman"/>
          <w:color w:val="auto"/>
          <w:lang w:val="en-US" w:eastAsia="zh-CN"/>
        </w:rPr>
        <w:t>西山岛上</w:t>
      </w:r>
      <w:r>
        <w:rPr>
          <w:rFonts w:hint="default" w:cs="Times New Roman"/>
          <w:color w:val="auto"/>
          <w:lang w:val="en-US" w:eastAsia="zh-CN"/>
        </w:rPr>
        <w:t>民房</w:t>
      </w:r>
      <w:r>
        <w:rPr>
          <w:rFonts w:hint="eastAsia" w:cs="Times New Roman"/>
          <w:color w:val="auto"/>
          <w:lang w:val="en-US" w:eastAsia="zh-CN"/>
        </w:rPr>
        <w:t>，</w:t>
      </w:r>
      <w:r>
        <w:rPr>
          <w:rFonts w:hint="default" w:cs="Times New Roman"/>
          <w:color w:val="auto"/>
          <w:lang w:val="en-US" w:eastAsia="zh-CN"/>
        </w:rPr>
        <w:t>生活污水经市政管网接管至</w:t>
      </w:r>
      <w:r>
        <w:rPr>
          <w:rFonts w:hint="eastAsia" w:cs="Times New Roman"/>
          <w:color w:val="auto"/>
          <w:lang w:val="en-US" w:eastAsia="zh-CN"/>
        </w:rPr>
        <w:t>金庭污水处理厂处理达标后排放</w:t>
      </w:r>
      <w:r>
        <w:rPr>
          <w:rFonts w:hint="default" w:cs="Times New Roman"/>
          <w:color w:val="auto"/>
          <w:lang w:val="en-US" w:eastAsia="zh-CN"/>
        </w:rPr>
        <w:t>。</w:t>
      </w:r>
    </w:p>
    <w:p>
      <w:pPr>
        <w:spacing w:line="480" w:lineRule="exact"/>
        <w:ind w:firstLine="480" w:firstLineChars="200"/>
        <w:jc w:val="both"/>
        <w:rPr>
          <w:rFonts w:hint="default" w:cs="Times New Roman"/>
          <w:color w:val="auto"/>
          <w:lang w:val="en-US" w:eastAsia="zh-CN"/>
        </w:rPr>
      </w:pPr>
      <w:r>
        <w:rPr>
          <w:rFonts w:hint="default" w:cs="Times New Roman"/>
          <w:color w:val="auto"/>
          <w:lang w:val="en-US" w:eastAsia="zh-CN"/>
        </w:rPr>
        <w:t>施工人员日均生活用水量按150L/人计，生活污水产生量按用水量的80%计，则施工期高峰生活污水产生量为</w:t>
      </w:r>
      <w:r>
        <w:rPr>
          <w:rFonts w:hint="eastAsia" w:cs="Times New Roman"/>
          <w:color w:val="auto"/>
          <w:lang w:val="en-US" w:eastAsia="zh-CN"/>
        </w:rPr>
        <w:t>3</w:t>
      </w:r>
      <w:r>
        <w:rPr>
          <w:rFonts w:hint="default" w:cs="Times New Roman"/>
          <w:color w:val="auto"/>
          <w:lang w:val="en-US" w:eastAsia="zh-CN"/>
        </w:rPr>
        <w:t>m</w:t>
      </w:r>
      <w:r>
        <w:rPr>
          <w:rFonts w:hint="default" w:cs="Times New Roman"/>
          <w:color w:val="auto"/>
          <w:vertAlign w:val="superscript"/>
          <w:lang w:val="en-US" w:eastAsia="zh-CN"/>
        </w:rPr>
        <w:t>3</w:t>
      </w:r>
      <w:r>
        <w:rPr>
          <w:rFonts w:hint="default" w:cs="Times New Roman"/>
          <w:color w:val="auto"/>
          <w:lang w:val="en-US" w:eastAsia="zh-CN"/>
        </w:rPr>
        <w:t>/d。生活污水产生量较小，污染物浓度较高，计算得工程生活污染源强见表3.1</w:t>
      </w:r>
      <w:r>
        <w:rPr>
          <w:rFonts w:hint="eastAsia" w:cs="Times New Roman"/>
          <w:color w:val="auto"/>
          <w:lang w:val="en-US" w:eastAsia="zh-CN"/>
        </w:rPr>
        <w:t>0</w:t>
      </w:r>
      <w:r>
        <w:rPr>
          <w:rFonts w:hint="default" w:cs="Times New Roman"/>
          <w:color w:val="auto"/>
          <w:lang w:val="en-US" w:eastAsia="zh-CN"/>
        </w:rPr>
        <w:t>-1。</w:t>
      </w:r>
    </w:p>
    <w:p>
      <w:pPr>
        <w:spacing w:line="480" w:lineRule="exact"/>
        <w:ind w:firstLine="482" w:firstLineChars="200"/>
        <w:jc w:val="center"/>
        <w:rPr>
          <w:rFonts w:hint="default" w:cs="Times New Roman"/>
          <w:b/>
          <w:bCs/>
          <w:color w:val="auto"/>
          <w:lang w:val="en-US" w:eastAsia="zh-CN"/>
        </w:rPr>
      </w:pPr>
      <w:r>
        <w:rPr>
          <w:rFonts w:hint="default" w:cs="Times New Roman"/>
          <w:b/>
          <w:bCs/>
          <w:color w:val="auto"/>
          <w:lang w:val="en-US" w:eastAsia="zh-CN"/>
        </w:rPr>
        <w:t>表3.1</w:t>
      </w:r>
      <w:r>
        <w:rPr>
          <w:rFonts w:hint="eastAsia" w:cs="Times New Roman"/>
          <w:b/>
          <w:bCs/>
          <w:color w:val="auto"/>
          <w:lang w:val="en-US" w:eastAsia="zh-CN"/>
        </w:rPr>
        <w:t>0</w:t>
      </w:r>
      <w:r>
        <w:rPr>
          <w:rFonts w:hint="default" w:cs="Times New Roman"/>
          <w:b/>
          <w:bCs/>
          <w:color w:val="auto"/>
          <w:lang w:val="en-US" w:eastAsia="zh-CN"/>
        </w:rPr>
        <w:t>-1 工程区施工人员高峰期生活污染物排放量统计表</w:t>
      </w:r>
    </w:p>
    <w:tbl>
      <w:tblPr>
        <w:tblStyle w:val="56"/>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8"/>
        <w:gridCol w:w="2101"/>
        <w:gridCol w:w="2836"/>
        <w:gridCol w:w="31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6" w:type="pct"/>
            <w:tcBorders>
              <w:tl2br w:val="nil"/>
              <w:tr2bl w:val="nil"/>
            </w:tcBorders>
            <w:vAlign w:val="center"/>
          </w:tcPr>
          <w:p>
            <w:pPr>
              <w:widowControl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序号</w:t>
            </w:r>
          </w:p>
        </w:tc>
        <w:tc>
          <w:tcPr>
            <w:tcW w:w="1137" w:type="pct"/>
            <w:tcBorders>
              <w:tl2br w:val="nil"/>
              <w:tr2bl w:val="nil"/>
            </w:tcBorders>
            <w:vAlign w:val="center"/>
          </w:tcPr>
          <w:p>
            <w:pPr>
              <w:widowControl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项目</w:t>
            </w:r>
          </w:p>
        </w:tc>
        <w:tc>
          <w:tcPr>
            <w:tcW w:w="1535" w:type="pct"/>
            <w:tcBorders>
              <w:tl2br w:val="nil"/>
              <w:tr2bl w:val="nil"/>
            </w:tcBorders>
            <w:vAlign w:val="center"/>
          </w:tcPr>
          <w:p>
            <w:pPr>
              <w:widowControl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污染物浓度（mg/L）</w:t>
            </w:r>
          </w:p>
        </w:tc>
        <w:tc>
          <w:tcPr>
            <w:tcW w:w="1709" w:type="pct"/>
            <w:tcBorders>
              <w:tl2br w:val="nil"/>
              <w:tr2bl w:val="nil"/>
            </w:tcBorders>
            <w:vAlign w:val="center"/>
          </w:tcPr>
          <w:p>
            <w:pPr>
              <w:widowControl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污染物源强（kg/d）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6"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c>
          <w:tcPr>
            <w:tcW w:w="1137"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COD</w:t>
            </w:r>
          </w:p>
        </w:tc>
        <w:tc>
          <w:tcPr>
            <w:tcW w:w="1535"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400</w:t>
            </w:r>
          </w:p>
        </w:tc>
        <w:tc>
          <w:tcPr>
            <w:tcW w:w="1709"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6"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w:t>
            </w:r>
          </w:p>
        </w:tc>
        <w:tc>
          <w:tcPr>
            <w:tcW w:w="1137"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SS</w:t>
            </w:r>
          </w:p>
        </w:tc>
        <w:tc>
          <w:tcPr>
            <w:tcW w:w="1535"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150</w:t>
            </w:r>
          </w:p>
        </w:tc>
        <w:tc>
          <w:tcPr>
            <w:tcW w:w="1709"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6"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w:t>
            </w:r>
          </w:p>
        </w:tc>
        <w:tc>
          <w:tcPr>
            <w:tcW w:w="1137"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NH</w:t>
            </w:r>
            <w:r>
              <w:rPr>
                <w:rFonts w:hint="eastAsia" w:cs="Times New Roman"/>
                <w:color w:val="auto"/>
                <w:sz w:val="21"/>
                <w:szCs w:val="21"/>
                <w:vertAlign w:val="subscript"/>
                <w:lang w:val="en-US" w:eastAsia="zh-CN"/>
              </w:rPr>
              <w:t>3</w:t>
            </w:r>
            <w:r>
              <w:rPr>
                <w:rFonts w:hint="eastAsia" w:cs="Times New Roman"/>
                <w:color w:val="auto"/>
                <w:sz w:val="21"/>
                <w:szCs w:val="21"/>
                <w:vertAlign w:val="baseline"/>
                <w:lang w:val="en-US" w:eastAsia="zh-CN"/>
              </w:rPr>
              <w:t>-N</w:t>
            </w:r>
          </w:p>
        </w:tc>
        <w:tc>
          <w:tcPr>
            <w:tcW w:w="1535"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35</w:t>
            </w:r>
          </w:p>
        </w:tc>
        <w:tc>
          <w:tcPr>
            <w:tcW w:w="1709"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0.105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6"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c>
          <w:tcPr>
            <w:tcW w:w="1137" w:type="pct"/>
            <w:tcBorders>
              <w:tl2br w:val="nil"/>
              <w:tr2bl w:val="nil"/>
            </w:tcBorders>
            <w:vAlign w:val="center"/>
          </w:tcPr>
          <w:p>
            <w:pPr>
              <w:widowControl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TP</w:t>
            </w:r>
          </w:p>
        </w:tc>
        <w:tc>
          <w:tcPr>
            <w:tcW w:w="1535"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4.5</w:t>
            </w:r>
          </w:p>
        </w:tc>
        <w:tc>
          <w:tcPr>
            <w:tcW w:w="1709"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6"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5</w:t>
            </w:r>
          </w:p>
        </w:tc>
        <w:tc>
          <w:tcPr>
            <w:tcW w:w="1137" w:type="pct"/>
            <w:tcBorders>
              <w:tl2br w:val="nil"/>
              <w:tr2bl w:val="nil"/>
            </w:tcBorders>
            <w:vAlign w:val="center"/>
          </w:tcPr>
          <w:p>
            <w:pPr>
              <w:widowControl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TN</w:t>
            </w:r>
          </w:p>
        </w:tc>
        <w:tc>
          <w:tcPr>
            <w:tcW w:w="1535"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45</w:t>
            </w:r>
          </w:p>
        </w:tc>
        <w:tc>
          <w:tcPr>
            <w:tcW w:w="1709"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0.135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6"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6</w:t>
            </w:r>
          </w:p>
        </w:tc>
        <w:tc>
          <w:tcPr>
            <w:tcW w:w="1137"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污水量</w:t>
            </w:r>
          </w:p>
        </w:tc>
        <w:tc>
          <w:tcPr>
            <w:tcW w:w="3245" w:type="pct"/>
            <w:gridSpan w:val="2"/>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高峰期3m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6"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7</w:t>
            </w:r>
          </w:p>
        </w:tc>
        <w:tc>
          <w:tcPr>
            <w:tcW w:w="1137"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排放去向</w:t>
            </w:r>
          </w:p>
        </w:tc>
        <w:tc>
          <w:tcPr>
            <w:tcW w:w="3245" w:type="pct"/>
            <w:gridSpan w:val="2"/>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金庭</w:t>
            </w:r>
            <w:r>
              <w:rPr>
                <w:rFonts w:hint="default" w:ascii="Times New Roman" w:hAnsi="Times New Roman" w:eastAsia="宋体" w:cs="Times New Roman"/>
                <w:color w:val="auto"/>
                <w:sz w:val="21"/>
                <w:szCs w:val="21"/>
                <w:vertAlign w:val="baseline"/>
                <w:lang w:val="en-US" w:eastAsia="zh-CN"/>
              </w:rPr>
              <w:t>污水处理厂</w:t>
            </w:r>
          </w:p>
        </w:tc>
      </w:tr>
    </w:tbl>
    <w:p>
      <w:pPr>
        <w:spacing w:line="480" w:lineRule="exact"/>
        <w:ind w:firstLine="482" w:firstLineChars="200"/>
        <w:jc w:val="both"/>
        <w:rPr>
          <w:rFonts w:hint="default" w:cs="Times New Roman"/>
          <w:b/>
          <w:bCs/>
          <w:color w:val="auto"/>
          <w:lang w:val="en-US" w:eastAsia="zh-CN"/>
        </w:rPr>
      </w:pPr>
      <w:r>
        <w:rPr>
          <w:rFonts w:hint="eastAsia" w:cs="Times New Roman"/>
          <w:b/>
          <w:bCs/>
          <w:color w:val="auto"/>
          <w:lang w:val="en-US" w:eastAsia="zh-CN"/>
        </w:rPr>
        <w:t>2、</w:t>
      </w:r>
      <w:r>
        <w:rPr>
          <w:rFonts w:hint="default" w:cs="Times New Roman"/>
          <w:b/>
          <w:bCs/>
          <w:color w:val="auto"/>
          <w:lang w:val="en-US" w:eastAsia="zh-CN"/>
        </w:rPr>
        <w:t>施工扰动引起的悬浮物污染源</w:t>
      </w:r>
    </w:p>
    <w:p>
      <w:pPr>
        <w:spacing w:line="480" w:lineRule="exact"/>
        <w:ind w:firstLine="480" w:firstLineChars="200"/>
        <w:jc w:val="both"/>
        <w:rPr>
          <w:rFonts w:hint="default" w:cs="Times New Roman"/>
          <w:color w:val="auto"/>
          <w:lang w:val="en-US" w:eastAsia="zh-CN"/>
        </w:rPr>
      </w:pPr>
      <w:r>
        <w:rPr>
          <w:rFonts w:hint="eastAsia" w:cs="Times New Roman"/>
          <w:color w:val="auto"/>
          <w:lang w:val="en-US" w:eastAsia="zh-CN"/>
        </w:rPr>
        <w:t>本项目工程施工均</w:t>
      </w:r>
      <w:r>
        <w:rPr>
          <w:rFonts w:hint="default" w:cs="Times New Roman"/>
          <w:color w:val="auto"/>
          <w:lang w:val="en-US" w:eastAsia="zh-CN"/>
        </w:rPr>
        <w:t>在水中施工</w:t>
      </w:r>
      <w:r>
        <w:rPr>
          <w:rFonts w:hint="eastAsia" w:cs="Times New Roman"/>
          <w:color w:val="auto"/>
          <w:lang w:val="en-US" w:eastAsia="zh-CN"/>
        </w:rPr>
        <w:t>，施工过程</w:t>
      </w:r>
      <w:r>
        <w:rPr>
          <w:rFonts w:hint="default" w:cs="Times New Roman"/>
          <w:color w:val="auto"/>
          <w:lang w:val="en-US" w:eastAsia="zh-CN"/>
        </w:rPr>
        <w:t>因</w:t>
      </w:r>
      <w:r>
        <w:rPr>
          <w:rFonts w:hint="eastAsia" w:cs="Times New Roman"/>
          <w:color w:val="auto"/>
          <w:lang w:val="en-US" w:eastAsia="zh-CN"/>
        </w:rPr>
        <w:t>打桩</w:t>
      </w:r>
      <w:r>
        <w:rPr>
          <w:rFonts w:hint="default" w:cs="Times New Roman"/>
          <w:color w:val="auto"/>
          <w:lang w:val="en-US" w:eastAsia="zh-CN"/>
        </w:rPr>
        <w:t>对泥土、水体的搅动与混合，会造成水体浑浊，使得水体中悬浮物浓度增加。</w:t>
      </w:r>
      <w:r>
        <w:rPr>
          <w:rFonts w:hint="eastAsia" w:cs="Times New Roman"/>
          <w:color w:val="auto"/>
          <w:lang w:val="en-US" w:eastAsia="zh-CN"/>
        </w:rPr>
        <w:t>本项目橡胶围隔、生态围隔打桩数量约为540个左右，打桩深度1.5m，桩孔直径为0.1m；生态拦网、拦渔网、导流围隔打桩数量约为130个左右，打桩深度1.0m，桩孔直径为0.05m。打桩时间按48h计，则工作效率为0.14</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/h，则每个</w:t>
      </w:r>
      <w:r>
        <w:rPr>
          <w:rFonts w:hint="eastAsia" w:cs="Times New Roman"/>
          <w:color w:val="auto"/>
          <w:lang w:val="en-US" w:eastAsia="zh-CN"/>
        </w:rPr>
        <w:t>打桩点</w:t>
      </w:r>
      <w:r>
        <w:rPr>
          <w:rFonts w:hint="default" w:ascii="Times New Roman" w:hAnsi="Times New Roman" w:eastAsia="宋体" w:cs="Times New Roman"/>
          <w:color w:val="auto"/>
        </w:rPr>
        <w:t>的悬浮物排放源强约</w:t>
      </w:r>
      <w:r>
        <w:rPr>
          <w:rFonts w:hint="eastAsia" w:cs="Times New Roman"/>
          <w:color w:val="auto"/>
          <w:lang w:val="en-US" w:eastAsia="zh-CN"/>
        </w:rPr>
        <w:t>0.002k</w:t>
      </w:r>
      <w:r>
        <w:rPr>
          <w:rFonts w:hint="default" w:ascii="Times New Roman" w:hAnsi="Times New Roman" w:eastAsia="宋体" w:cs="Times New Roman"/>
          <w:color w:val="auto"/>
        </w:rPr>
        <w:t>g/s。</w:t>
      </w:r>
    </w:p>
    <w:p>
      <w:pPr>
        <w:pStyle w:val="5"/>
        <w:jc w:val="both"/>
        <w:rPr>
          <w:rFonts w:hint="default" w:ascii="Times New Roman" w:hAnsi="Times New Roman" w:eastAsia="宋体" w:cs="Times New Roman"/>
          <w:color w:val="auto"/>
          <w:lang w:val="en-US" w:eastAsia="zh-CN"/>
        </w:rPr>
      </w:pPr>
      <w:bookmarkStart w:id="240" w:name="_Toc5529"/>
      <w:r>
        <w:rPr>
          <w:rFonts w:hint="default" w:ascii="Times New Roman" w:hAnsi="Times New Roman" w:eastAsia="宋体" w:cs="Times New Roman"/>
          <w:color w:val="auto"/>
          <w:lang w:val="en-US" w:eastAsia="zh-CN"/>
        </w:rPr>
        <w:t>3.1</w:t>
      </w:r>
      <w:r>
        <w:rPr>
          <w:rFonts w:hint="eastAsia" w:cs="Times New Roman"/>
          <w:color w:val="auto"/>
          <w:lang w:val="en-US" w:eastAsia="zh-CN"/>
        </w:rPr>
        <w:t>0</w:t>
      </w:r>
      <w:r>
        <w:rPr>
          <w:rFonts w:hint="default" w:ascii="Times New Roman" w:hAnsi="Times New Roman" w:eastAsia="宋体" w:cs="Times New Roman"/>
          <w:color w:val="auto"/>
          <w:lang w:val="en-US" w:eastAsia="zh-CN"/>
        </w:rPr>
        <w:t>.2 环境空气</w:t>
      </w:r>
      <w:bookmarkEnd w:id="240"/>
    </w:p>
    <w:p>
      <w:pPr>
        <w:spacing w:line="480" w:lineRule="exact"/>
        <w:ind w:firstLine="480" w:firstLineChars="200"/>
        <w:jc w:val="both"/>
        <w:rPr>
          <w:rFonts w:hint="default" w:cs="Times New Roman"/>
          <w:color w:val="auto"/>
          <w:lang w:val="en-US" w:eastAsia="zh-CN"/>
        </w:rPr>
      </w:pPr>
      <w:r>
        <w:rPr>
          <w:rFonts w:hint="default" w:cs="Times New Roman"/>
          <w:color w:val="auto"/>
          <w:lang w:val="en-US" w:eastAsia="zh-CN"/>
        </w:rPr>
        <w:t>施工期大气污染主要来自施工机动车辆和施工机械排放的燃油尾气、施工交通道路扬尘等。</w:t>
      </w:r>
    </w:p>
    <w:p>
      <w:pPr>
        <w:spacing w:line="480" w:lineRule="exact"/>
        <w:ind w:firstLine="480" w:firstLineChars="200"/>
        <w:jc w:val="both"/>
        <w:rPr>
          <w:rFonts w:hint="default" w:cs="Times New Roman"/>
          <w:color w:val="auto"/>
          <w:lang w:val="en-US" w:eastAsia="zh-CN"/>
        </w:rPr>
      </w:pPr>
      <w:r>
        <w:rPr>
          <w:rFonts w:hint="default" w:cs="Times New Roman"/>
          <w:color w:val="auto"/>
          <w:lang w:val="en-US" w:eastAsia="zh-CN"/>
        </w:rPr>
        <w:t>（1）机械燃油废气</w:t>
      </w:r>
    </w:p>
    <w:p>
      <w:pPr>
        <w:spacing w:line="480" w:lineRule="exact"/>
        <w:ind w:firstLine="480" w:firstLineChars="200"/>
        <w:jc w:val="both"/>
        <w:rPr>
          <w:rFonts w:hint="default" w:cs="Times New Roman"/>
          <w:color w:val="auto"/>
          <w:lang w:val="en-US" w:eastAsia="zh-CN"/>
        </w:rPr>
      </w:pPr>
      <w:r>
        <w:rPr>
          <w:rFonts w:hint="default" w:cs="Times New Roman"/>
          <w:color w:val="auto"/>
          <w:lang w:val="en-US" w:eastAsia="zh-CN"/>
        </w:rPr>
        <w:t>燃油废气的主要成份是 SO</w:t>
      </w:r>
      <w:r>
        <w:rPr>
          <w:rFonts w:hint="default" w:cs="Times New Roman"/>
          <w:color w:val="auto"/>
          <w:vertAlign w:val="subscript"/>
          <w:lang w:val="en-US" w:eastAsia="zh-CN"/>
        </w:rPr>
        <w:t>2</w:t>
      </w:r>
      <w:r>
        <w:rPr>
          <w:rFonts w:hint="default" w:cs="Times New Roman"/>
          <w:color w:val="auto"/>
          <w:lang w:val="en-US" w:eastAsia="zh-CN"/>
        </w:rPr>
        <w:t>、CO 和NO</w:t>
      </w:r>
      <w:r>
        <w:rPr>
          <w:rFonts w:hint="default" w:cs="Times New Roman"/>
          <w:color w:val="auto"/>
          <w:vertAlign w:val="subscript"/>
          <w:lang w:val="en-US" w:eastAsia="zh-CN"/>
        </w:rPr>
        <w:t>2</w:t>
      </w:r>
      <w:r>
        <w:rPr>
          <w:rFonts w:hint="default" w:cs="Times New Roman"/>
          <w:color w:val="auto"/>
          <w:lang w:val="en-US" w:eastAsia="zh-CN"/>
        </w:rPr>
        <w:t>。主要来自于挖掘机、装载机、汽车、拖拉机等运输车辆和以燃油为动力的施工机械在运行时排放的尾气。由于施工区位于</w:t>
      </w:r>
      <w:r>
        <w:rPr>
          <w:rFonts w:hint="eastAsia" w:cs="Times New Roman"/>
          <w:color w:val="auto"/>
          <w:lang w:val="en-US" w:eastAsia="zh-CN"/>
        </w:rPr>
        <w:t>水面</w:t>
      </w:r>
      <w:r>
        <w:rPr>
          <w:rFonts w:hint="default" w:cs="Times New Roman"/>
          <w:color w:val="auto"/>
          <w:lang w:val="en-US" w:eastAsia="zh-CN"/>
        </w:rPr>
        <w:t>，地理位置开阔，大气扩散条件较好，所以施工废气对当地环境空气质量影响较小。根据《工业交通环保概论（王肇润编著）》，每耗1升油料，排放空气污染物NO</w:t>
      </w:r>
      <w:r>
        <w:rPr>
          <w:rFonts w:hint="default" w:cs="Times New Roman"/>
          <w:color w:val="auto"/>
          <w:vertAlign w:val="subscript"/>
          <w:lang w:val="en-US" w:eastAsia="zh-CN"/>
        </w:rPr>
        <w:t>X</w:t>
      </w:r>
      <w:r>
        <w:rPr>
          <w:rFonts w:hint="default" w:cs="Times New Roman"/>
          <w:color w:val="auto"/>
          <w:lang w:val="en-US" w:eastAsia="zh-CN"/>
        </w:rPr>
        <w:t>9g，SO</w:t>
      </w:r>
      <w:r>
        <w:rPr>
          <w:rFonts w:hint="default" w:cs="Times New Roman"/>
          <w:color w:val="auto"/>
          <w:vertAlign w:val="subscript"/>
          <w:lang w:val="en-US" w:eastAsia="zh-CN"/>
        </w:rPr>
        <w:t>2</w:t>
      </w:r>
      <w:r>
        <w:rPr>
          <w:rFonts w:hint="default" w:cs="Times New Roman"/>
          <w:color w:val="auto"/>
          <w:lang w:val="en-US" w:eastAsia="zh-CN"/>
        </w:rPr>
        <w:t>3.24g，CO27g。由于此类燃油废气系无组织流动性排放，废气经稀释扩散后不会对周边空气环境产生明显影响。</w:t>
      </w:r>
    </w:p>
    <w:p>
      <w:pPr>
        <w:spacing w:line="480" w:lineRule="exact"/>
        <w:ind w:firstLine="480" w:firstLineChars="200"/>
        <w:jc w:val="both"/>
        <w:rPr>
          <w:rFonts w:hint="default" w:cs="Times New Roman"/>
          <w:color w:val="auto"/>
          <w:lang w:val="en-US" w:eastAsia="zh-CN"/>
        </w:rPr>
      </w:pPr>
      <w:r>
        <w:rPr>
          <w:rFonts w:hint="default" w:cs="Times New Roman"/>
          <w:color w:val="auto"/>
          <w:lang w:val="en-US" w:eastAsia="zh-CN"/>
        </w:rPr>
        <w:t>（</w:t>
      </w:r>
      <w:r>
        <w:rPr>
          <w:rFonts w:hint="eastAsia" w:cs="Times New Roman"/>
          <w:color w:val="auto"/>
          <w:lang w:val="en-US" w:eastAsia="zh-CN"/>
        </w:rPr>
        <w:t>2</w:t>
      </w:r>
      <w:r>
        <w:rPr>
          <w:rFonts w:hint="default" w:cs="Times New Roman"/>
          <w:color w:val="auto"/>
          <w:lang w:val="en-US" w:eastAsia="zh-CN"/>
        </w:rPr>
        <w:t>）交通扬尘</w:t>
      </w:r>
    </w:p>
    <w:p>
      <w:pPr>
        <w:spacing w:line="480" w:lineRule="exact"/>
        <w:ind w:firstLine="480" w:firstLineChars="200"/>
        <w:jc w:val="both"/>
        <w:rPr>
          <w:rFonts w:hint="eastAsia" w:cs="Times New Roman"/>
          <w:color w:val="auto"/>
          <w:lang w:val="en-US" w:eastAsia="zh-CN"/>
        </w:rPr>
      </w:pPr>
      <w:r>
        <w:rPr>
          <w:rFonts w:hint="default" w:cs="Times New Roman"/>
          <w:color w:val="auto"/>
          <w:lang w:val="en-US" w:eastAsia="zh-CN"/>
        </w:rPr>
        <w:t>交通扬尘主要来源于施工车辆行驶，其排放方式为线性。根据有关资料，施工过程中车辆行驶产生的扬尘约占施工总扬尘量的60%以上。一般情况车辆行驶产生的扬尘在同样路面清洁程度下，车速越快，扬尘量越大；而在同样车速下，路面越脏扬尘量越大。本工程场内临时施工道路多为混凝土路面，不易产生扬尘</w:t>
      </w:r>
      <w:r>
        <w:rPr>
          <w:rFonts w:hint="eastAsia" w:cs="Times New Roman"/>
          <w:color w:val="auto"/>
          <w:lang w:val="en-US" w:eastAsia="zh-CN"/>
        </w:rPr>
        <w:t>。</w:t>
      </w:r>
    </w:p>
    <w:p>
      <w:pPr>
        <w:pStyle w:val="5"/>
        <w:jc w:val="both"/>
        <w:rPr>
          <w:rFonts w:hint="default" w:ascii="Times New Roman" w:hAnsi="Times New Roman" w:eastAsia="宋体" w:cs="Times New Roman"/>
          <w:color w:val="auto"/>
          <w:lang w:val="en-US" w:eastAsia="zh-CN"/>
        </w:rPr>
      </w:pPr>
      <w:bookmarkStart w:id="241" w:name="_Toc15181"/>
      <w:r>
        <w:rPr>
          <w:rFonts w:hint="default" w:ascii="Times New Roman" w:hAnsi="Times New Roman" w:eastAsia="宋体" w:cs="Times New Roman"/>
          <w:color w:val="auto"/>
          <w:lang w:val="en-US" w:eastAsia="zh-CN"/>
        </w:rPr>
        <w:t>3.1</w:t>
      </w:r>
      <w:r>
        <w:rPr>
          <w:rFonts w:hint="eastAsia" w:cs="Times New Roman"/>
          <w:color w:val="auto"/>
          <w:lang w:val="en-US" w:eastAsia="zh-CN"/>
        </w:rPr>
        <w:t>0</w:t>
      </w:r>
      <w:r>
        <w:rPr>
          <w:rFonts w:hint="default" w:ascii="Times New Roman" w:hAnsi="Times New Roman" w:eastAsia="宋体" w:cs="Times New Roman"/>
          <w:color w:val="auto"/>
          <w:lang w:val="en-US" w:eastAsia="zh-CN"/>
        </w:rPr>
        <w:t>.3 噪声</w:t>
      </w:r>
      <w:bookmarkEnd w:id="241"/>
    </w:p>
    <w:p>
      <w:pPr>
        <w:spacing w:line="480" w:lineRule="exact"/>
        <w:ind w:firstLine="480" w:firstLineChars="200"/>
        <w:jc w:val="both"/>
        <w:rPr>
          <w:rFonts w:hint="default" w:cs="Times New Roman"/>
          <w:color w:val="auto"/>
          <w:lang w:val="en-US" w:eastAsia="zh-CN"/>
        </w:rPr>
      </w:pPr>
      <w:r>
        <w:rPr>
          <w:rFonts w:hint="default" w:cs="Times New Roman"/>
          <w:color w:val="auto"/>
          <w:lang w:val="en-US" w:eastAsia="zh-CN"/>
        </w:rPr>
        <w:t>本项目的施工噪声主要是工程建设中施工机械噪声和建筑材料运输车辆的交通噪声，为间歇性噪声。根据同类工程施工区的实测资料类比分析，本工程施工机械中高噪声设备声级值一般为85~105dB(A)。交通噪声属于线声源，一般在90～10</w:t>
      </w:r>
      <w:r>
        <w:rPr>
          <w:rFonts w:hint="eastAsia" w:cs="Times New Roman"/>
          <w:color w:val="auto"/>
          <w:lang w:val="en-US" w:eastAsia="zh-CN"/>
        </w:rPr>
        <w:t>0</w:t>
      </w:r>
      <w:r>
        <w:rPr>
          <w:rFonts w:hint="default" w:cs="Times New Roman"/>
          <w:color w:val="auto"/>
          <w:lang w:val="en-US" w:eastAsia="zh-CN"/>
        </w:rPr>
        <w:t>dB之间。预计施工期各类常用施工机械及交通噪声源强见表3.1</w:t>
      </w:r>
      <w:r>
        <w:rPr>
          <w:rFonts w:hint="eastAsia" w:cs="Times New Roman"/>
          <w:color w:val="auto"/>
          <w:lang w:val="en-US" w:eastAsia="zh-CN"/>
        </w:rPr>
        <w:t>0</w:t>
      </w:r>
      <w:r>
        <w:rPr>
          <w:rFonts w:hint="default" w:cs="Times New Roman"/>
          <w:color w:val="auto"/>
          <w:lang w:val="en-US" w:eastAsia="zh-CN"/>
        </w:rPr>
        <w:t>-3。</w:t>
      </w:r>
    </w:p>
    <w:p>
      <w:pPr>
        <w:spacing w:line="480" w:lineRule="exact"/>
        <w:ind w:firstLine="482" w:firstLineChars="200"/>
        <w:jc w:val="center"/>
        <w:rPr>
          <w:rFonts w:hint="default" w:cs="Times New Roman"/>
          <w:b/>
          <w:bCs/>
          <w:color w:val="auto"/>
          <w:lang w:val="en-US" w:eastAsia="zh-CN"/>
        </w:rPr>
      </w:pPr>
      <w:r>
        <w:rPr>
          <w:rFonts w:hint="default" w:cs="Times New Roman"/>
          <w:b/>
          <w:bCs/>
          <w:color w:val="auto"/>
          <w:lang w:val="en-US" w:eastAsia="zh-CN"/>
        </w:rPr>
        <w:t>表3.1</w:t>
      </w:r>
      <w:r>
        <w:rPr>
          <w:rFonts w:hint="eastAsia" w:cs="Times New Roman"/>
          <w:b/>
          <w:bCs/>
          <w:color w:val="auto"/>
          <w:lang w:val="en-US" w:eastAsia="zh-CN"/>
        </w:rPr>
        <w:t>0</w:t>
      </w:r>
      <w:r>
        <w:rPr>
          <w:rFonts w:hint="default" w:cs="Times New Roman"/>
          <w:b/>
          <w:bCs/>
          <w:color w:val="auto"/>
          <w:lang w:val="en-US" w:eastAsia="zh-CN"/>
        </w:rPr>
        <w:t>-1 各类施工机械设备、交通设备噪声级值一览表</w:t>
      </w:r>
    </w:p>
    <w:tbl>
      <w:tblPr>
        <w:tblStyle w:val="56"/>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7"/>
        <w:gridCol w:w="2166"/>
        <w:gridCol w:w="2465"/>
        <w:gridCol w:w="1571"/>
        <w:gridCol w:w="21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75" w:type="pct"/>
            <w:tcBorders>
              <w:tl2br w:val="nil"/>
              <w:tr2bl w:val="nil"/>
            </w:tcBorders>
            <w:vAlign w:val="center"/>
          </w:tcPr>
          <w:p>
            <w:pPr>
              <w:widowControl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序号</w:t>
            </w:r>
          </w:p>
        </w:tc>
        <w:tc>
          <w:tcPr>
            <w:tcW w:w="1172" w:type="pct"/>
            <w:tcBorders>
              <w:tl2br w:val="nil"/>
              <w:tr2bl w:val="nil"/>
            </w:tcBorders>
            <w:vAlign w:val="center"/>
          </w:tcPr>
          <w:p>
            <w:pPr>
              <w:widowControl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机械名称</w:t>
            </w:r>
          </w:p>
        </w:tc>
        <w:tc>
          <w:tcPr>
            <w:tcW w:w="1334" w:type="pct"/>
            <w:tcBorders>
              <w:tl2br w:val="nil"/>
              <w:tr2bl w:val="nil"/>
            </w:tcBorders>
            <w:vAlign w:val="center"/>
          </w:tcPr>
          <w:p>
            <w:pPr>
              <w:widowControl w:val="0"/>
              <w:spacing w:line="240" w:lineRule="auto"/>
              <w:jc w:val="center"/>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型号/规格</w:t>
            </w:r>
          </w:p>
        </w:tc>
        <w:tc>
          <w:tcPr>
            <w:tcW w:w="850" w:type="pct"/>
            <w:tcBorders>
              <w:tl2br w:val="nil"/>
              <w:tr2bl w:val="nil"/>
            </w:tcBorders>
            <w:vAlign w:val="center"/>
          </w:tcPr>
          <w:p>
            <w:pPr>
              <w:widowControl w:val="0"/>
              <w:spacing w:line="240" w:lineRule="auto"/>
              <w:jc w:val="center"/>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数量（台）</w:t>
            </w:r>
          </w:p>
        </w:tc>
        <w:tc>
          <w:tcPr>
            <w:tcW w:w="1166" w:type="pct"/>
            <w:tcBorders>
              <w:tl2br w:val="nil"/>
              <w:tr2bl w:val="nil"/>
            </w:tcBorders>
            <w:vAlign w:val="center"/>
          </w:tcPr>
          <w:p>
            <w:pPr>
              <w:widowControl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声级值dB（A）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5"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c>
          <w:tcPr>
            <w:tcW w:w="1172"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发电机组</w:t>
            </w:r>
          </w:p>
        </w:tc>
        <w:tc>
          <w:tcPr>
            <w:tcW w:w="1334"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120kw</w:t>
            </w:r>
          </w:p>
        </w:tc>
        <w:tc>
          <w:tcPr>
            <w:tcW w:w="850"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2</w:t>
            </w:r>
          </w:p>
        </w:tc>
        <w:tc>
          <w:tcPr>
            <w:tcW w:w="1166"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5"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w:t>
            </w:r>
          </w:p>
        </w:tc>
        <w:tc>
          <w:tcPr>
            <w:tcW w:w="1172"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发电机</w:t>
            </w:r>
          </w:p>
        </w:tc>
        <w:tc>
          <w:tcPr>
            <w:tcW w:w="1334"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75kw</w:t>
            </w:r>
          </w:p>
        </w:tc>
        <w:tc>
          <w:tcPr>
            <w:tcW w:w="850"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2</w:t>
            </w:r>
          </w:p>
        </w:tc>
        <w:tc>
          <w:tcPr>
            <w:tcW w:w="1166"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5"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w:t>
            </w:r>
          </w:p>
        </w:tc>
        <w:tc>
          <w:tcPr>
            <w:tcW w:w="1172"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潜水泵</w:t>
            </w:r>
          </w:p>
        </w:tc>
        <w:tc>
          <w:tcPr>
            <w:tcW w:w="1334"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850"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c>
          <w:tcPr>
            <w:tcW w:w="1166"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5"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c>
          <w:tcPr>
            <w:tcW w:w="1172"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船载式液压振动锤</w:t>
            </w:r>
          </w:p>
        </w:tc>
        <w:tc>
          <w:tcPr>
            <w:tcW w:w="1334"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ZD-60</w:t>
            </w:r>
          </w:p>
        </w:tc>
        <w:tc>
          <w:tcPr>
            <w:tcW w:w="850"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c>
          <w:tcPr>
            <w:tcW w:w="1166"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5"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5</w:t>
            </w:r>
          </w:p>
        </w:tc>
        <w:tc>
          <w:tcPr>
            <w:tcW w:w="1172"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装载机</w:t>
            </w:r>
          </w:p>
        </w:tc>
        <w:tc>
          <w:tcPr>
            <w:tcW w:w="1334"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3t</w:t>
            </w:r>
          </w:p>
        </w:tc>
        <w:tc>
          <w:tcPr>
            <w:tcW w:w="850"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2</w:t>
            </w:r>
          </w:p>
        </w:tc>
        <w:tc>
          <w:tcPr>
            <w:tcW w:w="1166"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5"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6</w:t>
            </w:r>
          </w:p>
        </w:tc>
        <w:tc>
          <w:tcPr>
            <w:tcW w:w="1172"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机动翻斗车</w:t>
            </w:r>
          </w:p>
        </w:tc>
        <w:tc>
          <w:tcPr>
            <w:tcW w:w="1334"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1t</w:t>
            </w:r>
          </w:p>
        </w:tc>
        <w:tc>
          <w:tcPr>
            <w:tcW w:w="850"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c>
          <w:tcPr>
            <w:tcW w:w="1166"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5"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7</w:t>
            </w:r>
          </w:p>
        </w:tc>
        <w:tc>
          <w:tcPr>
            <w:tcW w:w="1172"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平板车</w:t>
            </w:r>
          </w:p>
        </w:tc>
        <w:tc>
          <w:tcPr>
            <w:tcW w:w="1334"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20t</w:t>
            </w:r>
          </w:p>
        </w:tc>
        <w:tc>
          <w:tcPr>
            <w:tcW w:w="850"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2</w:t>
            </w:r>
          </w:p>
        </w:tc>
        <w:tc>
          <w:tcPr>
            <w:tcW w:w="1166"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5"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8</w:t>
            </w:r>
          </w:p>
        </w:tc>
        <w:tc>
          <w:tcPr>
            <w:tcW w:w="1172"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汽车吊</w:t>
            </w:r>
          </w:p>
        </w:tc>
        <w:tc>
          <w:tcPr>
            <w:tcW w:w="1334"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Q-30t</w:t>
            </w:r>
          </w:p>
        </w:tc>
        <w:tc>
          <w:tcPr>
            <w:tcW w:w="850"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2</w:t>
            </w:r>
          </w:p>
        </w:tc>
        <w:tc>
          <w:tcPr>
            <w:tcW w:w="1166"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5" w:type="pct"/>
            <w:tcBorders>
              <w:tl2br w:val="nil"/>
              <w:tr2bl w:val="nil"/>
            </w:tcBorders>
            <w:vAlign w:val="center"/>
          </w:tcPr>
          <w:p>
            <w:pPr>
              <w:widowControl w:val="0"/>
              <w:spacing w:line="240" w:lineRule="auto"/>
              <w:jc w:val="center"/>
              <w:rPr>
                <w:rFonts w:hint="eastAsia"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9</w:t>
            </w:r>
          </w:p>
        </w:tc>
        <w:tc>
          <w:tcPr>
            <w:tcW w:w="1172" w:type="pct"/>
            <w:tcBorders>
              <w:tl2br w:val="nil"/>
              <w:tr2bl w:val="nil"/>
            </w:tcBorders>
            <w:vAlign w:val="center"/>
          </w:tcPr>
          <w:p>
            <w:pPr>
              <w:widowControl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洒水车</w:t>
            </w:r>
          </w:p>
        </w:tc>
        <w:tc>
          <w:tcPr>
            <w:tcW w:w="1334" w:type="pct"/>
            <w:tcBorders>
              <w:tl2br w:val="nil"/>
              <w:tr2bl w:val="nil"/>
            </w:tcBorders>
            <w:vAlign w:val="center"/>
          </w:tcPr>
          <w:p>
            <w:pPr>
              <w:widowControl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5t</w:t>
            </w:r>
          </w:p>
        </w:tc>
        <w:tc>
          <w:tcPr>
            <w:tcW w:w="850"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c>
          <w:tcPr>
            <w:tcW w:w="1166"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5"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10</w:t>
            </w:r>
          </w:p>
        </w:tc>
        <w:tc>
          <w:tcPr>
            <w:tcW w:w="1172"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船</w:t>
            </w:r>
          </w:p>
        </w:tc>
        <w:tc>
          <w:tcPr>
            <w:tcW w:w="1334"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6×1.5m</w:t>
            </w:r>
          </w:p>
        </w:tc>
        <w:tc>
          <w:tcPr>
            <w:tcW w:w="850"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4（搜）</w:t>
            </w:r>
          </w:p>
        </w:tc>
        <w:tc>
          <w:tcPr>
            <w:tcW w:w="1166"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5"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11</w:t>
            </w:r>
          </w:p>
        </w:tc>
        <w:tc>
          <w:tcPr>
            <w:tcW w:w="1172"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切断机</w:t>
            </w:r>
          </w:p>
        </w:tc>
        <w:tc>
          <w:tcPr>
            <w:tcW w:w="1334"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850"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2</w:t>
            </w:r>
          </w:p>
        </w:tc>
        <w:tc>
          <w:tcPr>
            <w:tcW w:w="1166"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5"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12</w:t>
            </w:r>
          </w:p>
        </w:tc>
        <w:tc>
          <w:tcPr>
            <w:tcW w:w="1172"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电焊机</w:t>
            </w:r>
          </w:p>
        </w:tc>
        <w:tc>
          <w:tcPr>
            <w:tcW w:w="1334"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400型</w:t>
            </w:r>
          </w:p>
        </w:tc>
        <w:tc>
          <w:tcPr>
            <w:tcW w:w="850"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c>
          <w:tcPr>
            <w:tcW w:w="1166"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5"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13</w:t>
            </w:r>
          </w:p>
        </w:tc>
        <w:tc>
          <w:tcPr>
            <w:tcW w:w="1172"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砂轮切割机</w:t>
            </w:r>
          </w:p>
        </w:tc>
        <w:tc>
          <w:tcPr>
            <w:tcW w:w="1334" w:type="pct"/>
            <w:tcBorders>
              <w:tl2br w:val="nil"/>
              <w:tr2bl w:val="nil"/>
            </w:tcBorders>
            <w:vAlign w:val="center"/>
          </w:tcPr>
          <w:p>
            <w:pPr>
              <w:widowControl w:val="0"/>
              <w:spacing w:line="240" w:lineRule="auto"/>
              <w:jc w:val="center"/>
              <w:rPr>
                <w:rFonts w:hint="eastAsia"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∅300</w:t>
            </w:r>
          </w:p>
        </w:tc>
        <w:tc>
          <w:tcPr>
            <w:tcW w:w="850" w:type="pct"/>
            <w:tcBorders>
              <w:tl2br w:val="nil"/>
              <w:tr2bl w:val="nil"/>
            </w:tcBorders>
            <w:vAlign w:val="center"/>
          </w:tcPr>
          <w:p>
            <w:pPr>
              <w:widowControl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w:t>
            </w:r>
          </w:p>
        </w:tc>
        <w:tc>
          <w:tcPr>
            <w:tcW w:w="1166"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101</w:t>
            </w:r>
          </w:p>
        </w:tc>
      </w:tr>
    </w:tbl>
    <w:p>
      <w:pPr>
        <w:pStyle w:val="5"/>
        <w:jc w:val="both"/>
        <w:rPr>
          <w:rFonts w:hint="default" w:ascii="Times New Roman" w:hAnsi="Times New Roman" w:eastAsia="宋体" w:cs="Times New Roman"/>
          <w:color w:val="auto"/>
          <w:lang w:val="en-US" w:eastAsia="zh-CN"/>
        </w:rPr>
      </w:pPr>
      <w:bookmarkStart w:id="242" w:name="_Toc19319"/>
      <w:r>
        <w:rPr>
          <w:rFonts w:hint="default" w:ascii="Times New Roman" w:hAnsi="Times New Roman" w:eastAsia="宋体" w:cs="Times New Roman"/>
          <w:color w:val="auto"/>
          <w:lang w:val="en-US" w:eastAsia="zh-CN"/>
        </w:rPr>
        <w:t>3.1</w:t>
      </w:r>
      <w:r>
        <w:rPr>
          <w:rFonts w:hint="eastAsia" w:cs="Times New Roman"/>
          <w:color w:val="auto"/>
          <w:lang w:val="en-US" w:eastAsia="zh-CN"/>
        </w:rPr>
        <w:t>0</w:t>
      </w:r>
      <w:r>
        <w:rPr>
          <w:rFonts w:hint="default" w:ascii="Times New Roman" w:hAnsi="Times New Roman" w:eastAsia="宋体" w:cs="Times New Roman"/>
          <w:color w:val="auto"/>
          <w:lang w:val="en-US" w:eastAsia="zh-CN"/>
        </w:rPr>
        <w:t>.4 固体废物</w:t>
      </w:r>
      <w:bookmarkEnd w:id="242"/>
    </w:p>
    <w:p>
      <w:pPr>
        <w:spacing w:line="480" w:lineRule="exact"/>
        <w:ind w:firstLine="480" w:firstLineChars="200"/>
        <w:jc w:val="both"/>
        <w:rPr>
          <w:rFonts w:hint="default" w:cs="Times New Roman"/>
          <w:color w:val="auto"/>
          <w:lang w:val="en-US" w:eastAsia="zh-CN"/>
        </w:rPr>
      </w:pPr>
      <w:r>
        <w:rPr>
          <w:rFonts w:hint="default" w:cs="Times New Roman"/>
          <w:color w:val="auto"/>
          <w:lang w:val="en-US" w:eastAsia="zh-CN"/>
        </w:rPr>
        <w:t>施工期固体废弃物主要为施工</w:t>
      </w:r>
      <w:r>
        <w:rPr>
          <w:rFonts w:hint="eastAsia" w:cs="Times New Roman"/>
          <w:color w:val="auto"/>
          <w:lang w:val="en-US" w:eastAsia="zh-CN"/>
        </w:rPr>
        <w:t>产生的废建筑</w:t>
      </w:r>
      <w:r>
        <w:rPr>
          <w:rFonts w:hint="default" w:cs="Times New Roman"/>
          <w:color w:val="auto"/>
          <w:lang w:val="en-US" w:eastAsia="zh-CN"/>
        </w:rPr>
        <w:t>材料</w:t>
      </w:r>
      <w:r>
        <w:rPr>
          <w:rFonts w:hint="eastAsia" w:cs="Times New Roman"/>
          <w:color w:val="auto"/>
          <w:lang w:val="en-US" w:eastAsia="zh-CN"/>
        </w:rPr>
        <w:t>和</w:t>
      </w:r>
      <w:r>
        <w:rPr>
          <w:rFonts w:hint="default" w:cs="Times New Roman"/>
          <w:color w:val="auto"/>
          <w:lang w:val="en-US" w:eastAsia="zh-CN"/>
        </w:rPr>
        <w:t>施工人员的生活垃圾。根据工程规模和施工进度安排，高峰期的施工人数为</w:t>
      </w:r>
      <w:r>
        <w:rPr>
          <w:rFonts w:hint="eastAsia" w:cs="Times New Roman"/>
          <w:color w:val="auto"/>
          <w:lang w:val="en-US" w:eastAsia="zh-CN"/>
        </w:rPr>
        <w:t>20</w:t>
      </w:r>
      <w:r>
        <w:rPr>
          <w:rFonts w:hint="default" w:cs="Times New Roman"/>
          <w:color w:val="auto"/>
          <w:lang w:val="en-US" w:eastAsia="zh-CN"/>
        </w:rPr>
        <w:t>人。按人均1.0kg/d 的生活垃圾量估算，施工高峰期的生活垃圾量为</w:t>
      </w:r>
      <w:r>
        <w:rPr>
          <w:rFonts w:hint="eastAsia" w:cs="Times New Roman"/>
          <w:color w:val="auto"/>
          <w:lang w:val="en-US" w:eastAsia="zh-CN"/>
        </w:rPr>
        <w:t>2</w:t>
      </w:r>
      <w:r>
        <w:rPr>
          <w:rFonts w:hint="default" w:cs="Times New Roman"/>
          <w:color w:val="auto"/>
          <w:lang w:val="en-US" w:eastAsia="zh-CN"/>
        </w:rPr>
        <w:t>0kg/d。工程施工期间产生的</w:t>
      </w:r>
      <w:r>
        <w:rPr>
          <w:rFonts w:hint="eastAsia" w:cs="Times New Roman"/>
          <w:color w:val="auto"/>
          <w:lang w:val="en-US" w:eastAsia="zh-CN"/>
        </w:rPr>
        <w:t>废建筑</w:t>
      </w:r>
      <w:r>
        <w:rPr>
          <w:rFonts w:hint="default" w:cs="Times New Roman"/>
          <w:color w:val="auto"/>
          <w:lang w:val="en-US" w:eastAsia="zh-CN"/>
        </w:rPr>
        <w:t>材料</w:t>
      </w:r>
      <w:r>
        <w:rPr>
          <w:rFonts w:hint="eastAsia" w:cs="Times New Roman"/>
          <w:color w:val="auto"/>
          <w:lang w:val="en-US" w:eastAsia="zh-CN"/>
        </w:rPr>
        <w:t>和</w:t>
      </w:r>
      <w:r>
        <w:rPr>
          <w:rFonts w:hint="default" w:cs="Times New Roman"/>
          <w:color w:val="auto"/>
          <w:lang w:val="en-US" w:eastAsia="zh-CN"/>
        </w:rPr>
        <w:t>生活垃圾严禁乱抛乱丢，随地倾倒，</w:t>
      </w:r>
      <w:r>
        <w:rPr>
          <w:rFonts w:hint="eastAsia" w:cs="Times New Roman"/>
          <w:color w:val="auto"/>
          <w:lang w:val="en-US" w:eastAsia="zh-CN"/>
        </w:rPr>
        <w:t>废建筑</w:t>
      </w:r>
      <w:r>
        <w:rPr>
          <w:rFonts w:hint="default" w:cs="Times New Roman"/>
          <w:color w:val="auto"/>
          <w:lang w:val="en-US" w:eastAsia="zh-CN"/>
        </w:rPr>
        <w:t>材料</w:t>
      </w:r>
      <w:r>
        <w:rPr>
          <w:rFonts w:hint="eastAsia" w:cs="Times New Roman"/>
          <w:color w:val="auto"/>
          <w:lang w:val="en-US" w:eastAsia="zh-CN"/>
        </w:rPr>
        <w:t>和</w:t>
      </w:r>
      <w:r>
        <w:rPr>
          <w:rFonts w:hint="default" w:cs="Times New Roman"/>
          <w:color w:val="auto"/>
          <w:lang w:val="en-US" w:eastAsia="zh-CN"/>
        </w:rPr>
        <w:t>生活垃圾统一收集后由地方环卫部门定期清运进行无害化处理，对环境的影响较小。</w:t>
      </w:r>
    </w:p>
    <w:p>
      <w:pPr>
        <w:pStyle w:val="5"/>
        <w:jc w:val="both"/>
        <w:rPr>
          <w:rFonts w:hint="default" w:ascii="Times New Roman" w:hAnsi="Times New Roman" w:eastAsia="宋体" w:cs="Times New Roman"/>
          <w:color w:val="auto"/>
          <w:lang w:val="en-US" w:eastAsia="zh-CN"/>
        </w:rPr>
      </w:pPr>
      <w:bookmarkStart w:id="243" w:name="_Toc14044"/>
      <w:r>
        <w:rPr>
          <w:rFonts w:hint="default" w:ascii="Times New Roman" w:hAnsi="Times New Roman" w:eastAsia="宋体" w:cs="Times New Roman"/>
          <w:color w:val="auto"/>
          <w:lang w:val="en-US" w:eastAsia="zh-CN"/>
        </w:rPr>
        <w:t>3.1</w:t>
      </w:r>
      <w:r>
        <w:rPr>
          <w:rFonts w:hint="eastAsia" w:cs="Times New Roman"/>
          <w:color w:val="auto"/>
          <w:lang w:val="en-US" w:eastAsia="zh-CN"/>
        </w:rPr>
        <w:t>0</w:t>
      </w:r>
      <w:r>
        <w:rPr>
          <w:rFonts w:hint="default" w:ascii="Times New Roman" w:hAnsi="Times New Roman" w:eastAsia="宋体" w:cs="Times New Roman"/>
          <w:color w:val="auto"/>
          <w:lang w:val="en-US" w:eastAsia="zh-CN"/>
        </w:rPr>
        <w:t>.5 生态环境</w:t>
      </w:r>
      <w:bookmarkEnd w:id="243"/>
    </w:p>
    <w:p>
      <w:pPr>
        <w:spacing w:line="480" w:lineRule="exact"/>
        <w:ind w:firstLine="480" w:firstLineChars="200"/>
        <w:jc w:val="both"/>
        <w:rPr>
          <w:rFonts w:hint="default" w:cs="Times New Roman"/>
          <w:color w:val="auto"/>
          <w:lang w:val="en-US" w:eastAsia="zh-CN"/>
        </w:rPr>
      </w:pPr>
      <w:r>
        <w:rPr>
          <w:rFonts w:hint="default" w:cs="Times New Roman"/>
          <w:color w:val="auto"/>
          <w:lang w:val="en-US" w:eastAsia="zh-CN"/>
        </w:rPr>
        <w:t>（1）陆生生物</w:t>
      </w:r>
    </w:p>
    <w:p>
      <w:pPr>
        <w:spacing w:line="480" w:lineRule="exact"/>
        <w:ind w:firstLine="480" w:firstLineChars="200"/>
        <w:jc w:val="both"/>
        <w:rPr>
          <w:rFonts w:hint="default" w:cs="Times New Roman"/>
          <w:color w:val="auto"/>
          <w:lang w:val="en-US" w:eastAsia="zh-CN"/>
        </w:rPr>
      </w:pPr>
      <w:r>
        <w:rPr>
          <w:rFonts w:hint="default" w:cs="Times New Roman"/>
          <w:color w:val="auto"/>
          <w:lang w:val="en-US" w:eastAsia="zh-CN"/>
        </w:rPr>
        <w:t>工程施工对野生动物的影响表现为：工程施工活动可能干扰工程区内野生动物的正常栖息觅食，施工噪声会对其产生惊扰。</w:t>
      </w:r>
    </w:p>
    <w:p>
      <w:pPr>
        <w:spacing w:line="480" w:lineRule="exact"/>
        <w:ind w:firstLine="480" w:firstLineChars="200"/>
        <w:jc w:val="both"/>
        <w:rPr>
          <w:rFonts w:hint="default" w:cs="Times New Roman"/>
          <w:color w:val="auto"/>
          <w:lang w:val="en-US" w:eastAsia="zh-CN"/>
        </w:rPr>
      </w:pPr>
      <w:r>
        <w:rPr>
          <w:rFonts w:hint="eastAsia" w:cs="Times New Roman"/>
          <w:color w:val="auto"/>
          <w:lang w:val="en-US" w:eastAsia="zh-CN"/>
        </w:rPr>
        <w:t>本项目材料堆场临时征用附近的网球场，</w:t>
      </w:r>
      <w:r>
        <w:rPr>
          <w:rFonts w:hint="default" w:cs="Times New Roman"/>
          <w:color w:val="auto"/>
          <w:lang w:val="en-US" w:eastAsia="zh-CN"/>
        </w:rPr>
        <w:t>施工活动对</w:t>
      </w:r>
      <w:r>
        <w:rPr>
          <w:rFonts w:hint="eastAsia" w:cs="Times New Roman"/>
          <w:color w:val="auto"/>
          <w:lang w:val="en-US" w:eastAsia="zh-CN"/>
        </w:rPr>
        <w:t>网球场</w:t>
      </w:r>
      <w:r>
        <w:rPr>
          <w:rFonts w:hint="default" w:cs="Times New Roman"/>
          <w:color w:val="auto"/>
          <w:lang w:val="en-US" w:eastAsia="zh-CN"/>
        </w:rPr>
        <w:t>陆生植物的影响较小。工程影响区内没有国家重点保护的珍稀濒危植物，不存在工程对珍稀濒危植物的影响问题。</w:t>
      </w:r>
    </w:p>
    <w:p>
      <w:pPr>
        <w:spacing w:line="480" w:lineRule="exact"/>
        <w:ind w:firstLine="480" w:firstLineChars="200"/>
        <w:jc w:val="both"/>
        <w:rPr>
          <w:rFonts w:hint="default" w:cs="Times New Roman"/>
          <w:color w:val="auto"/>
          <w:lang w:val="en-US" w:eastAsia="zh-CN"/>
        </w:rPr>
      </w:pPr>
      <w:r>
        <w:rPr>
          <w:rFonts w:hint="default" w:cs="Times New Roman"/>
          <w:color w:val="auto"/>
          <w:lang w:val="en-US" w:eastAsia="zh-CN"/>
        </w:rPr>
        <w:t>（2）水生生物</w:t>
      </w:r>
    </w:p>
    <w:p>
      <w:pPr>
        <w:spacing w:line="480" w:lineRule="exact"/>
        <w:ind w:firstLine="480" w:firstLineChars="200"/>
        <w:jc w:val="both"/>
        <w:rPr>
          <w:rFonts w:hint="default" w:cs="Times New Roman"/>
          <w:color w:val="auto"/>
          <w:lang w:val="en-US" w:eastAsia="zh-CN"/>
        </w:rPr>
      </w:pPr>
      <w:r>
        <w:rPr>
          <w:rFonts w:hint="default" w:cs="Times New Roman"/>
          <w:color w:val="auto"/>
          <w:lang w:val="en-US" w:eastAsia="zh-CN"/>
        </w:rPr>
        <w:t>工程建设期产生的固体废弃物、施工生活污水、固体悬浮物、噪音、震动等会对水生生态环境造成一定的影响。施工生活污水一旦进入水体会降低水质，对浮游生物产生毒害作用，施工扰动导致的水体固体悬浮物增加，会降低透明度，进而降低浮游植物光合作用，初级生产力下降，导致饵料生物资源不足，造成鱼类资源损失，生物多样性降低，威胁水环境稳定性。</w:t>
      </w:r>
    </w:p>
    <w:p>
      <w:pPr>
        <w:spacing w:line="480" w:lineRule="exact"/>
        <w:ind w:firstLine="480" w:firstLineChars="200"/>
        <w:jc w:val="both"/>
        <w:rPr>
          <w:rFonts w:hint="default" w:cs="Times New Roman"/>
          <w:color w:val="auto"/>
          <w:lang w:val="en-US" w:eastAsia="zh-CN"/>
        </w:rPr>
      </w:pPr>
      <w:r>
        <w:rPr>
          <w:rFonts w:hint="default" w:cs="Times New Roman"/>
          <w:color w:val="auto"/>
          <w:lang w:val="en-US" w:eastAsia="zh-CN"/>
        </w:rPr>
        <w:t>工程施工会对一些鱼类的种群结构、活动和繁殖以及水禽的栖息有一定影响，但施工对水域环境的影响是短期和有限的。施工结束后，水中悬浮物会恢复到施工前水平，各种生物亦会重新适应水域环境的变化。本工程对水生生物影响很小。</w:t>
      </w:r>
    </w:p>
    <w:p>
      <w:pPr>
        <w:pStyle w:val="5"/>
        <w:jc w:val="both"/>
        <w:rPr>
          <w:rFonts w:hint="default" w:ascii="Times New Roman" w:hAnsi="Times New Roman" w:eastAsia="宋体" w:cs="Times New Roman"/>
          <w:color w:val="auto"/>
          <w:lang w:val="en-US" w:eastAsia="zh-CN"/>
        </w:rPr>
      </w:pPr>
      <w:bookmarkStart w:id="244" w:name="_Toc499"/>
      <w:r>
        <w:rPr>
          <w:rFonts w:hint="default" w:ascii="Times New Roman" w:hAnsi="Times New Roman" w:eastAsia="宋体" w:cs="Times New Roman"/>
          <w:color w:val="auto"/>
          <w:lang w:val="en-US" w:eastAsia="zh-CN"/>
        </w:rPr>
        <w:t>3.1</w:t>
      </w:r>
      <w:r>
        <w:rPr>
          <w:rFonts w:hint="eastAsia" w:cs="Times New Roman"/>
          <w:color w:val="auto"/>
          <w:lang w:val="en-US" w:eastAsia="zh-CN"/>
        </w:rPr>
        <w:t>0</w:t>
      </w:r>
      <w:r>
        <w:rPr>
          <w:rFonts w:hint="default" w:ascii="Times New Roman" w:hAnsi="Times New Roman" w:eastAsia="宋体" w:cs="Times New Roman"/>
          <w:color w:val="auto"/>
          <w:lang w:val="en-US" w:eastAsia="zh-CN"/>
        </w:rPr>
        <w:t>.</w:t>
      </w:r>
      <w:r>
        <w:rPr>
          <w:rFonts w:hint="eastAsia" w:cs="Times New Roman"/>
          <w:color w:val="auto"/>
          <w:lang w:val="en-US" w:eastAsia="zh-CN"/>
        </w:rPr>
        <w:t>6</w:t>
      </w:r>
      <w:r>
        <w:rPr>
          <w:rFonts w:hint="default" w:ascii="Times New Roman" w:hAnsi="Times New Roman" w:eastAsia="宋体" w:cs="Times New Roman"/>
          <w:color w:val="auto"/>
          <w:lang w:val="en-US" w:eastAsia="zh-CN"/>
        </w:rPr>
        <w:t xml:space="preserve"> 施工期污染源强</w:t>
      </w:r>
      <w:bookmarkEnd w:id="244"/>
    </w:p>
    <w:p>
      <w:pPr>
        <w:spacing w:line="480" w:lineRule="exact"/>
        <w:ind w:firstLine="480" w:firstLineChars="200"/>
        <w:jc w:val="center"/>
        <w:rPr>
          <w:rFonts w:hint="default" w:cs="Times New Roman"/>
          <w:b/>
          <w:bCs/>
          <w:color w:val="auto"/>
          <w:lang w:val="en-US" w:eastAsia="zh-CN"/>
        </w:rPr>
      </w:pPr>
      <w:r>
        <w:rPr>
          <w:rFonts w:hint="eastAsia" w:cs="Times New Roman"/>
          <w:color w:val="auto"/>
          <w:lang w:val="en-US" w:eastAsia="zh-CN"/>
        </w:rPr>
        <w:tab/>
      </w:r>
      <w:r>
        <w:rPr>
          <w:rFonts w:hint="default" w:cs="Times New Roman"/>
          <w:b/>
          <w:bCs/>
          <w:color w:val="auto"/>
          <w:lang w:val="en-US" w:eastAsia="zh-CN"/>
        </w:rPr>
        <w:t>表3.1</w:t>
      </w:r>
      <w:r>
        <w:rPr>
          <w:rFonts w:hint="eastAsia" w:cs="Times New Roman"/>
          <w:b/>
          <w:bCs/>
          <w:color w:val="auto"/>
          <w:lang w:val="en-US" w:eastAsia="zh-CN"/>
        </w:rPr>
        <w:t>0</w:t>
      </w:r>
      <w:r>
        <w:rPr>
          <w:rFonts w:hint="default" w:cs="Times New Roman"/>
          <w:b/>
          <w:bCs/>
          <w:color w:val="auto"/>
          <w:lang w:val="en-US" w:eastAsia="zh-CN"/>
        </w:rPr>
        <w:t>-</w:t>
      </w:r>
      <w:r>
        <w:rPr>
          <w:rFonts w:hint="eastAsia" w:cs="Times New Roman"/>
          <w:b/>
          <w:bCs/>
          <w:color w:val="auto"/>
          <w:lang w:val="en-US" w:eastAsia="zh-CN"/>
        </w:rPr>
        <w:t>5</w:t>
      </w:r>
      <w:r>
        <w:rPr>
          <w:rFonts w:hint="default" w:cs="Times New Roman"/>
          <w:b/>
          <w:bCs/>
          <w:color w:val="auto"/>
          <w:lang w:val="en-US" w:eastAsia="zh-CN"/>
        </w:rPr>
        <w:t xml:space="preserve"> 项目污染源强汇总表</w:t>
      </w:r>
    </w:p>
    <w:tbl>
      <w:tblPr>
        <w:tblStyle w:val="56"/>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1955"/>
        <w:gridCol w:w="1501"/>
        <w:gridCol w:w="1634"/>
        <w:gridCol w:w="1538"/>
        <w:gridCol w:w="17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pct"/>
            <w:tcBorders>
              <w:tl2br w:val="nil"/>
              <w:tr2bl w:val="nil"/>
            </w:tcBorders>
            <w:vAlign w:val="center"/>
          </w:tcPr>
          <w:p>
            <w:pPr>
              <w:widowControl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时间段</w:t>
            </w:r>
          </w:p>
        </w:tc>
        <w:tc>
          <w:tcPr>
            <w:tcW w:w="1058" w:type="pct"/>
            <w:tcBorders>
              <w:tl2br w:val="nil"/>
              <w:tr2bl w:val="nil"/>
            </w:tcBorders>
            <w:vAlign w:val="center"/>
          </w:tcPr>
          <w:p>
            <w:pPr>
              <w:widowControl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类别</w:t>
            </w:r>
          </w:p>
        </w:tc>
        <w:tc>
          <w:tcPr>
            <w:tcW w:w="812" w:type="pct"/>
            <w:tcBorders>
              <w:tl2br w:val="nil"/>
              <w:tr2bl w:val="nil"/>
            </w:tcBorders>
            <w:vAlign w:val="center"/>
          </w:tcPr>
          <w:p>
            <w:pPr>
              <w:widowControl w:val="0"/>
              <w:spacing w:line="240" w:lineRule="auto"/>
              <w:jc w:val="center"/>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污染物</w:t>
            </w:r>
          </w:p>
        </w:tc>
        <w:tc>
          <w:tcPr>
            <w:tcW w:w="884" w:type="pct"/>
            <w:tcBorders>
              <w:tl2br w:val="nil"/>
              <w:tr2bl w:val="nil"/>
            </w:tcBorders>
            <w:vAlign w:val="center"/>
          </w:tcPr>
          <w:p>
            <w:pPr>
              <w:widowControl w:val="0"/>
              <w:spacing w:line="240" w:lineRule="auto"/>
              <w:jc w:val="center"/>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浓度或强度</w:t>
            </w:r>
          </w:p>
        </w:tc>
        <w:tc>
          <w:tcPr>
            <w:tcW w:w="832" w:type="pct"/>
            <w:tcBorders>
              <w:tl2br w:val="nil"/>
              <w:tr2bl w:val="nil"/>
            </w:tcBorders>
            <w:vAlign w:val="center"/>
          </w:tcPr>
          <w:p>
            <w:pPr>
              <w:widowControl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产生量</w:t>
            </w:r>
          </w:p>
        </w:tc>
        <w:tc>
          <w:tcPr>
            <w:tcW w:w="947" w:type="pct"/>
            <w:tcBorders>
              <w:tl2br w:val="nil"/>
              <w:tr2bl w:val="nil"/>
            </w:tcBorders>
            <w:vAlign w:val="center"/>
          </w:tcPr>
          <w:p>
            <w:pPr>
              <w:widowControl w:val="0"/>
              <w:spacing w:line="240" w:lineRule="auto"/>
              <w:jc w:val="center"/>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pct"/>
            <w:vMerge w:val="restar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施工期</w:t>
            </w:r>
          </w:p>
        </w:tc>
        <w:tc>
          <w:tcPr>
            <w:tcW w:w="1058" w:type="pct"/>
            <w:vMerge w:val="restar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施工生活污水</w:t>
            </w:r>
          </w:p>
        </w:tc>
        <w:tc>
          <w:tcPr>
            <w:tcW w:w="812"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水量</w:t>
            </w:r>
          </w:p>
        </w:tc>
        <w:tc>
          <w:tcPr>
            <w:tcW w:w="884"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832"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3t/d</w:t>
            </w:r>
          </w:p>
        </w:tc>
        <w:tc>
          <w:tcPr>
            <w:tcW w:w="947" w:type="pct"/>
            <w:vMerge w:val="restar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经市政管网接入金庭/科福污水处理厂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pct"/>
            <w:vMerge w:val="continue"/>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058" w:type="pct"/>
            <w:vMerge w:val="continue"/>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812"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COD</w:t>
            </w:r>
          </w:p>
        </w:tc>
        <w:tc>
          <w:tcPr>
            <w:tcW w:w="884"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400mg/L</w:t>
            </w:r>
          </w:p>
        </w:tc>
        <w:tc>
          <w:tcPr>
            <w:tcW w:w="832"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1.20kg/d</w:t>
            </w:r>
          </w:p>
        </w:tc>
        <w:tc>
          <w:tcPr>
            <w:tcW w:w="947" w:type="pct"/>
            <w:vMerge w:val="continue"/>
            <w:tcBorders>
              <w:tl2br w:val="nil"/>
              <w:tr2bl w:val="nil"/>
            </w:tcBorders>
            <w:vAlign w:val="center"/>
          </w:tcPr>
          <w:p>
            <w:pPr>
              <w:widowControl w:val="0"/>
              <w:spacing w:line="240" w:lineRule="auto"/>
              <w:jc w:val="center"/>
              <w:rPr>
                <w:rFonts w:hint="eastAsia"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pct"/>
            <w:vMerge w:val="continue"/>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058" w:type="pct"/>
            <w:vMerge w:val="continue"/>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812"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SS</w:t>
            </w:r>
          </w:p>
        </w:tc>
        <w:tc>
          <w:tcPr>
            <w:tcW w:w="884"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150mg/L</w:t>
            </w:r>
          </w:p>
        </w:tc>
        <w:tc>
          <w:tcPr>
            <w:tcW w:w="832"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0.45kg/d</w:t>
            </w:r>
          </w:p>
        </w:tc>
        <w:tc>
          <w:tcPr>
            <w:tcW w:w="947" w:type="pct"/>
            <w:vMerge w:val="continue"/>
            <w:tcBorders>
              <w:tl2br w:val="nil"/>
              <w:tr2bl w:val="nil"/>
            </w:tcBorders>
            <w:vAlign w:val="center"/>
          </w:tcPr>
          <w:p>
            <w:pPr>
              <w:widowControl w:val="0"/>
              <w:spacing w:line="240" w:lineRule="auto"/>
              <w:jc w:val="center"/>
              <w:rPr>
                <w:rFonts w:hint="eastAsia"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pct"/>
            <w:vMerge w:val="continue"/>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058" w:type="pct"/>
            <w:vMerge w:val="continue"/>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812"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NH</w:t>
            </w:r>
            <w:r>
              <w:rPr>
                <w:rFonts w:hint="eastAsia" w:cs="Times New Roman"/>
                <w:color w:val="auto"/>
                <w:sz w:val="21"/>
                <w:szCs w:val="21"/>
                <w:vertAlign w:val="subscript"/>
                <w:lang w:val="en-US" w:eastAsia="zh-CN"/>
              </w:rPr>
              <w:t>3</w:t>
            </w:r>
            <w:r>
              <w:rPr>
                <w:rFonts w:hint="eastAsia" w:cs="Times New Roman"/>
                <w:color w:val="auto"/>
                <w:sz w:val="21"/>
                <w:szCs w:val="21"/>
                <w:vertAlign w:val="baseline"/>
                <w:lang w:val="en-US" w:eastAsia="zh-CN"/>
              </w:rPr>
              <w:t>-N</w:t>
            </w:r>
          </w:p>
        </w:tc>
        <w:tc>
          <w:tcPr>
            <w:tcW w:w="884"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35mg/L</w:t>
            </w:r>
          </w:p>
        </w:tc>
        <w:tc>
          <w:tcPr>
            <w:tcW w:w="832"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0.114kg/d</w:t>
            </w:r>
          </w:p>
        </w:tc>
        <w:tc>
          <w:tcPr>
            <w:tcW w:w="947" w:type="pct"/>
            <w:vMerge w:val="continue"/>
            <w:tcBorders>
              <w:tl2br w:val="nil"/>
              <w:tr2bl w:val="nil"/>
            </w:tcBorders>
            <w:vAlign w:val="center"/>
          </w:tcPr>
          <w:p>
            <w:pPr>
              <w:widowControl w:val="0"/>
              <w:spacing w:line="240" w:lineRule="auto"/>
              <w:jc w:val="center"/>
              <w:rPr>
                <w:rFonts w:hint="eastAsia"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pct"/>
            <w:vMerge w:val="continue"/>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p>
        </w:tc>
        <w:tc>
          <w:tcPr>
            <w:tcW w:w="1058" w:type="pct"/>
            <w:vMerge w:val="continue"/>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p>
        </w:tc>
        <w:tc>
          <w:tcPr>
            <w:tcW w:w="812"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TP</w:t>
            </w:r>
          </w:p>
        </w:tc>
        <w:tc>
          <w:tcPr>
            <w:tcW w:w="884" w:type="pct"/>
            <w:tcBorders>
              <w:tl2br w:val="nil"/>
              <w:tr2bl w:val="nil"/>
            </w:tcBorders>
            <w:vAlign w:val="center"/>
          </w:tcPr>
          <w:p>
            <w:pPr>
              <w:widowControl w:val="0"/>
              <w:spacing w:line="240" w:lineRule="auto"/>
              <w:jc w:val="center"/>
              <w:rPr>
                <w:rFonts w:hint="eastAsia"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6mg/L</w:t>
            </w:r>
          </w:p>
        </w:tc>
        <w:tc>
          <w:tcPr>
            <w:tcW w:w="832" w:type="pct"/>
            <w:tcBorders>
              <w:tl2br w:val="nil"/>
              <w:tr2bl w:val="nil"/>
            </w:tcBorders>
            <w:vAlign w:val="center"/>
          </w:tcPr>
          <w:p>
            <w:pPr>
              <w:widowControl w:val="0"/>
              <w:spacing w:line="240" w:lineRule="auto"/>
              <w:jc w:val="center"/>
              <w:rPr>
                <w:rFonts w:hint="eastAsia"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0.018kg/d</w:t>
            </w:r>
          </w:p>
        </w:tc>
        <w:tc>
          <w:tcPr>
            <w:tcW w:w="947" w:type="pct"/>
            <w:vMerge w:val="continue"/>
            <w:tcBorders>
              <w:tl2br w:val="nil"/>
              <w:tr2bl w:val="nil"/>
            </w:tcBorders>
            <w:vAlign w:val="center"/>
          </w:tcPr>
          <w:p>
            <w:pPr>
              <w:widowControl w:val="0"/>
              <w:spacing w:line="240" w:lineRule="auto"/>
              <w:jc w:val="center"/>
              <w:rPr>
                <w:rFonts w:hint="eastAsia"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pct"/>
            <w:vMerge w:val="continue"/>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p>
        </w:tc>
        <w:tc>
          <w:tcPr>
            <w:tcW w:w="1058" w:type="pct"/>
            <w:vMerge w:val="continue"/>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p>
        </w:tc>
        <w:tc>
          <w:tcPr>
            <w:tcW w:w="812"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TN</w:t>
            </w:r>
          </w:p>
        </w:tc>
        <w:tc>
          <w:tcPr>
            <w:tcW w:w="884"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45mg/L</w:t>
            </w:r>
          </w:p>
        </w:tc>
        <w:tc>
          <w:tcPr>
            <w:tcW w:w="832"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0.135kg/d</w:t>
            </w:r>
          </w:p>
        </w:tc>
        <w:tc>
          <w:tcPr>
            <w:tcW w:w="947" w:type="pct"/>
            <w:vMerge w:val="continue"/>
            <w:tcBorders>
              <w:tl2br w:val="nil"/>
              <w:tr2bl w:val="nil"/>
            </w:tcBorders>
            <w:vAlign w:val="center"/>
          </w:tcPr>
          <w:p>
            <w:pPr>
              <w:widowControl w:val="0"/>
              <w:spacing w:line="240" w:lineRule="auto"/>
              <w:jc w:val="center"/>
              <w:rPr>
                <w:rFonts w:hint="eastAsia"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pct"/>
            <w:vMerge w:val="continue"/>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p>
        </w:tc>
        <w:tc>
          <w:tcPr>
            <w:tcW w:w="1058"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施工悬浮物</w:t>
            </w:r>
          </w:p>
        </w:tc>
        <w:tc>
          <w:tcPr>
            <w:tcW w:w="812"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SS</w:t>
            </w:r>
          </w:p>
        </w:tc>
        <w:tc>
          <w:tcPr>
            <w:tcW w:w="884"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0.002kg/s</w:t>
            </w:r>
          </w:p>
        </w:tc>
        <w:tc>
          <w:tcPr>
            <w:tcW w:w="832" w:type="pct"/>
            <w:tcBorders>
              <w:tl2br w:val="nil"/>
              <w:tr2bl w:val="nil"/>
            </w:tcBorders>
            <w:vAlign w:val="center"/>
          </w:tcPr>
          <w:p>
            <w:pPr>
              <w:widowControl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47" w:type="pct"/>
            <w:vMerge w:val="continue"/>
            <w:tcBorders>
              <w:tl2br w:val="nil"/>
              <w:tr2bl w:val="nil"/>
            </w:tcBorders>
            <w:vAlign w:val="center"/>
          </w:tcPr>
          <w:p>
            <w:pPr>
              <w:widowControl w:val="0"/>
              <w:spacing w:line="240" w:lineRule="auto"/>
              <w:jc w:val="center"/>
              <w:rPr>
                <w:rFonts w:hint="eastAsia"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pct"/>
            <w:vMerge w:val="continue"/>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p>
        </w:tc>
        <w:tc>
          <w:tcPr>
            <w:tcW w:w="1058"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道路扬尘</w:t>
            </w:r>
          </w:p>
        </w:tc>
        <w:tc>
          <w:tcPr>
            <w:tcW w:w="812"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TSP</w:t>
            </w:r>
          </w:p>
        </w:tc>
        <w:tc>
          <w:tcPr>
            <w:tcW w:w="884"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832"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47" w:type="pct"/>
            <w:vMerge w:val="restar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大气环境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pct"/>
            <w:vMerge w:val="continue"/>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p>
        </w:tc>
        <w:tc>
          <w:tcPr>
            <w:tcW w:w="1058" w:type="pct"/>
            <w:vMerge w:val="restar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施工机械燃油废气</w:t>
            </w:r>
          </w:p>
        </w:tc>
        <w:tc>
          <w:tcPr>
            <w:tcW w:w="812"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NO</w:t>
            </w:r>
            <w:r>
              <w:rPr>
                <w:rFonts w:hint="eastAsia" w:cs="Times New Roman"/>
                <w:color w:val="auto"/>
                <w:sz w:val="21"/>
                <w:szCs w:val="21"/>
                <w:vertAlign w:val="subscript"/>
                <w:lang w:val="en-US" w:eastAsia="zh-CN"/>
              </w:rPr>
              <w:t>x</w:t>
            </w:r>
          </w:p>
        </w:tc>
        <w:tc>
          <w:tcPr>
            <w:tcW w:w="884"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9g/L</w:t>
            </w:r>
          </w:p>
        </w:tc>
        <w:tc>
          <w:tcPr>
            <w:tcW w:w="832"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47" w:type="pct"/>
            <w:vMerge w:val="continue"/>
            <w:tcBorders>
              <w:tl2br w:val="nil"/>
              <w:tr2bl w:val="nil"/>
            </w:tcBorders>
            <w:vAlign w:val="center"/>
          </w:tcPr>
          <w:p>
            <w:pPr>
              <w:widowControl w:val="0"/>
              <w:spacing w:line="240" w:lineRule="auto"/>
              <w:jc w:val="center"/>
              <w:rPr>
                <w:rFonts w:hint="eastAsia"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pct"/>
            <w:vMerge w:val="continue"/>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p>
        </w:tc>
        <w:tc>
          <w:tcPr>
            <w:tcW w:w="1058" w:type="pct"/>
            <w:vMerge w:val="continue"/>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p>
        </w:tc>
        <w:tc>
          <w:tcPr>
            <w:tcW w:w="812"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SO</w:t>
            </w:r>
            <w:r>
              <w:rPr>
                <w:rFonts w:hint="eastAsia" w:cs="Times New Roman"/>
                <w:color w:val="auto"/>
                <w:sz w:val="21"/>
                <w:szCs w:val="21"/>
                <w:vertAlign w:val="subscript"/>
                <w:lang w:val="en-US" w:eastAsia="zh-CN"/>
              </w:rPr>
              <w:t>2</w:t>
            </w:r>
          </w:p>
        </w:tc>
        <w:tc>
          <w:tcPr>
            <w:tcW w:w="884"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3.24g/L</w:t>
            </w:r>
          </w:p>
        </w:tc>
        <w:tc>
          <w:tcPr>
            <w:tcW w:w="832"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47" w:type="pct"/>
            <w:vMerge w:val="continue"/>
            <w:tcBorders>
              <w:tl2br w:val="nil"/>
              <w:tr2bl w:val="nil"/>
            </w:tcBorders>
            <w:vAlign w:val="center"/>
          </w:tcPr>
          <w:p>
            <w:pPr>
              <w:widowControl w:val="0"/>
              <w:spacing w:line="240" w:lineRule="auto"/>
              <w:jc w:val="center"/>
              <w:rPr>
                <w:rFonts w:hint="eastAsia"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pct"/>
            <w:vMerge w:val="continue"/>
            <w:tcBorders>
              <w:tl2br w:val="nil"/>
              <w:tr2bl w:val="nil"/>
            </w:tcBorders>
            <w:vAlign w:val="center"/>
          </w:tcPr>
          <w:p>
            <w:pPr>
              <w:widowControl w:val="0"/>
              <w:spacing w:line="240" w:lineRule="auto"/>
              <w:jc w:val="center"/>
              <w:rPr>
                <w:rFonts w:hint="eastAsia" w:ascii="Times New Roman" w:hAnsi="Times New Roman" w:eastAsia="宋体" w:cs="Times New Roman"/>
                <w:color w:val="auto"/>
                <w:sz w:val="21"/>
                <w:szCs w:val="21"/>
                <w:vertAlign w:val="baseline"/>
                <w:lang w:val="en-US" w:eastAsia="zh-CN" w:bidi="ar-SA"/>
              </w:rPr>
            </w:pPr>
          </w:p>
        </w:tc>
        <w:tc>
          <w:tcPr>
            <w:tcW w:w="1058" w:type="pct"/>
            <w:vMerge w:val="continue"/>
            <w:tcBorders>
              <w:tl2br w:val="nil"/>
              <w:tr2bl w:val="nil"/>
            </w:tcBorders>
            <w:vAlign w:val="center"/>
          </w:tcPr>
          <w:p>
            <w:pPr>
              <w:widowControl w:val="0"/>
              <w:spacing w:line="240" w:lineRule="auto"/>
              <w:jc w:val="center"/>
              <w:rPr>
                <w:rFonts w:hint="eastAsia" w:cs="Times New Roman"/>
                <w:color w:val="auto"/>
                <w:sz w:val="21"/>
                <w:szCs w:val="21"/>
                <w:vertAlign w:val="baseline"/>
                <w:lang w:val="en-US" w:eastAsia="zh-CN"/>
              </w:rPr>
            </w:pPr>
          </w:p>
        </w:tc>
        <w:tc>
          <w:tcPr>
            <w:tcW w:w="812"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CO</w:t>
            </w:r>
          </w:p>
        </w:tc>
        <w:tc>
          <w:tcPr>
            <w:tcW w:w="884"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27g/L</w:t>
            </w:r>
          </w:p>
        </w:tc>
        <w:tc>
          <w:tcPr>
            <w:tcW w:w="832"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47" w:type="pct"/>
            <w:vMerge w:val="continue"/>
            <w:tcBorders>
              <w:tl2br w:val="nil"/>
              <w:tr2bl w:val="nil"/>
            </w:tcBorders>
            <w:vAlign w:val="center"/>
          </w:tcPr>
          <w:p>
            <w:pPr>
              <w:widowControl w:val="0"/>
              <w:spacing w:line="240" w:lineRule="auto"/>
              <w:jc w:val="center"/>
              <w:rPr>
                <w:rFonts w:hint="eastAsia"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pct"/>
            <w:vMerge w:val="continue"/>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bidi="ar-SA"/>
              </w:rPr>
            </w:pPr>
          </w:p>
        </w:tc>
        <w:tc>
          <w:tcPr>
            <w:tcW w:w="1058"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施工噪声</w:t>
            </w:r>
          </w:p>
        </w:tc>
        <w:tc>
          <w:tcPr>
            <w:tcW w:w="812"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等效A声级</w:t>
            </w:r>
          </w:p>
        </w:tc>
        <w:tc>
          <w:tcPr>
            <w:tcW w:w="884"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85~105dB（A）</w:t>
            </w:r>
          </w:p>
        </w:tc>
        <w:tc>
          <w:tcPr>
            <w:tcW w:w="832"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47"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周围环境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pct"/>
            <w:vMerge w:val="continue"/>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bidi="ar-SA"/>
              </w:rPr>
            </w:pPr>
          </w:p>
        </w:tc>
        <w:tc>
          <w:tcPr>
            <w:tcW w:w="1058"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建筑垃圾</w:t>
            </w:r>
          </w:p>
        </w:tc>
        <w:tc>
          <w:tcPr>
            <w:tcW w:w="812"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884"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832"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47" w:type="pct"/>
            <w:vMerge w:val="restar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环卫清运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pct"/>
            <w:vMerge w:val="continue"/>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bidi="ar-SA"/>
              </w:rPr>
            </w:pPr>
          </w:p>
        </w:tc>
        <w:tc>
          <w:tcPr>
            <w:tcW w:w="1058"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生活垃圾</w:t>
            </w:r>
          </w:p>
        </w:tc>
        <w:tc>
          <w:tcPr>
            <w:tcW w:w="812"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884"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832" w:type="pct"/>
            <w:tcBorders>
              <w:tl2br w:val="nil"/>
              <w:tr2bl w:val="nil"/>
            </w:tcBorders>
            <w:vAlign w:val="center"/>
          </w:tcPr>
          <w:p>
            <w:pPr>
              <w:widowControl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20kg/d</w:t>
            </w:r>
          </w:p>
        </w:tc>
        <w:tc>
          <w:tcPr>
            <w:tcW w:w="947" w:type="pct"/>
            <w:vMerge w:val="continue"/>
            <w:tcBorders>
              <w:tl2br w:val="nil"/>
              <w:tr2bl w:val="nil"/>
            </w:tcBorders>
            <w:vAlign w:val="center"/>
          </w:tcPr>
          <w:p>
            <w:pPr>
              <w:widowControl w:val="0"/>
              <w:spacing w:line="240" w:lineRule="auto"/>
              <w:jc w:val="center"/>
              <w:rPr>
                <w:rFonts w:hint="eastAsia" w:cs="Times New Roman"/>
                <w:color w:val="auto"/>
                <w:sz w:val="21"/>
                <w:szCs w:val="21"/>
                <w:vertAlign w:val="baseline"/>
                <w:lang w:val="en-US" w:eastAsia="zh-CN"/>
              </w:rPr>
            </w:pPr>
          </w:p>
        </w:tc>
      </w:tr>
    </w:tbl>
    <w:p>
      <w:pPr>
        <w:pStyle w:val="4"/>
        <w:spacing w:before="117" w:after="117"/>
        <w:jc w:val="both"/>
        <w:rPr>
          <w:rFonts w:hint="default" w:ascii="Times New Roman" w:hAnsi="Times New Roman" w:eastAsia="宋体" w:cs="Times New Roman"/>
          <w:color w:val="auto"/>
          <w:lang w:val="en-US" w:eastAsia="zh-CN"/>
        </w:rPr>
      </w:pPr>
      <w:bookmarkStart w:id="245" w:name="_Toc5643"/>
      <w:r>
        <w:rPr>
          <w:rFonts w:hint="default" w:ascii="Times New Roman" w:hAnsi="Times New Roman" w:eastAsia="宋体" w:cs="Times New Roman"/>
          <w:color w:val="auto"/>
          <w:lang w:val="en-US" w:eastAsia="zh-CN"/>
        </w:rPr>
        <w:t>3.1</w:t>
      </w:r>
      <w:r>
        <w:rPr>
          <w:rFonts w:hint="eastAsia" w:cs="Times New Roman"/>
          <w:color w:val="auto"/>
          <w:lang w:val="en-US" w:eastAsia="zh-CN"/>
        </w:rPr>
        <w:t>1</w:t>
      </w:r>
      <w:r>
        <w:rPr>
          <w:rFonts w:hint="default" w:ascii="Times New Roman" w:hAnsi="Times New Roman" w:eastAsia="宋体" w:cs="Times New Roman"/>
          <w:color w:val="auto"/>
          <w:lang w:val="en-US" w:eastAsia="zh-CN"/>
        </w:rPr>
        <w:t xml:space="preserve"> 运营期影响源强分析</w:t>
      </w:r>
      <w:bookmarkEnd w:id="245"/>
    </w:p>
    <w:p>
      <w:pPr>
        <w:pStyle w:val="5"/>
        <w:jc w:val="both"/>
        <w:rPr>
          <w:rFonts w:hint="default" w:ascii="Times New Roman" w:hAnsi="Times New Roman" w:eastAsia="宋体" w:cs="Times New Roman"/>
          <w:color w:val="auto"/>
          <w:lang w:val="en-US" w:eastAsia="zh-CN"/>
        </w:rPr>
      </w:pPr>
      <w:bookmarkStart w:id="246" w:name="_Toc25109"/>
      <w:r>
        <w:rPr>
          <w:rFonts w:hint="default" w:ascii="Times New Roman" w:hAnsi="Times New Roman" w:eastAsia="宋体" w:cs="Times New Roman"/>
          <w:color w:val="auto"/>
          <w:lang w:val="en-US" w:eastAsia="zh-CN"/>
        </w:rPr>
        <w:t>3.1</w:t>
      </w:r>
      <w:r>
        <w:rPr>
          <w:rFonts w:hint="eastAsia" w:cs="Times New Roman"/>
          <w:color w:val="auto"/>
          <w:lang w:val="en-US" w:eastAsia="zh-CN"/>
        </w:rPr>
        <w:t>1</w:t>
      </w:r>
      <w:r>
        <w:rPr>
          <w:rFonts w:hint="default" w:ascii="Times New Roman" w:hAnsi="Times New Roman" w:eastAsia="宋体" w:cs="Times New Roman"/>
          <w:color w:val="auto"/>
          <w:lang w:val="en-US" w:eastAsia="zh-CN"/>
        </w:rPr>
        <w:t>.</w:t>
      </w:r>
      <w:r>
        <w:rPr>
          <w:rFonts w:hint="eastAsia" w:cs="Times New Roman"/>
          <w:color w:val="auto"/>
          <w:lang w:val="en-US" w:eastAsia="zh-CN"/>
        </w:rPr>
        <w:t>1</w:t>
      </w:r>
      <w:r>
        <w:rPr>
          <w:rFonts w:hint="default" w:ascii="Times New Roman" w:hAnsi="Times New Roman" w:eastAsia="宋体" w:cs="Times New Roman"/>
          <w:color w:val="auto"/>
          <w:lang w:val="en-US" w:eastAsia="zh-CN"/>
        </w:rPr>
        <w:t xml:space="preserve"> 水环境</w:t>
      </w:r>
      <w:bookmarkEnd w:id="246"/>
    </w:p>
    <w:p>
      <w:pPr>
        <w:spacing w:line="480" w:lineRule="exact"/>
        <w:ind w:firstLine="480" w:firstLineChars="200"/>
        <w:jc w:val="both"/>
        <w:rPr>
          <w:rFonts w:hint="default" w:cs="Times New Roman"/>
          <w:color w:val="auto"/>
          <w:lang w:val="en-US" w:eastAsia="zh-CN"/>
        </w:rPr>
      </w:pPr>
      <w:r>
        <w:rPr>
          <w:rFonts w:hint="eastAsia" w:cs="Times New Roman"/>
          <w:color w:val="auto"/>
          <w:lang w:val="en-US" w:eastAsia="zh-CN"/>
        </w:rPr>
        <w:t>本工程实施后，</w:t>
      </w:r>
      <w:r>
        <w:rPr>
          <w:rFonts w:hint="default" w:cs="Times New Roman"/>
          <w:color w:val="auto"/>
          <w:lang w:val="en-US" w:eastAsia="zh-CN"/>
        </w:rPr>
        <w:t>可使太湖水体有序流动，改善水动力条件，太湖水质改善和水环境功能达标</w:t>
      </w:r>
      <w:r>
        <w:rPr>
          <w:rFonts w:hint="eastAsia" w:cs="Times New Roman"/>
          <w:color w:val="auto"/>
          <w:lang w:val="en-US" w:eastAsia="zh-CN"/>
        </w:rPr>
        <w:t>，</w:t>
      </w:r>
      <w:r>
        <w:rPr>
          <w:rFonts w:hint="default" w:cs="Times New Roman"/>
          <w:color w:val="auto"/>
          <w:lang w:val="en-US" w:eastAsia="zh-CN"/>
        </w:rPr>
        <w:t>有利于修复及完善湖滨带生态系统，改造及修复湖泊水生生态系统，增强水体的自净能力。</w:t>
      </w:r>
    </w:p>
    <w:p>
      <w:pPr>
        <w:pStyle w:val="5"/>
        <w:jc w:val="both"/>
        <w:rPr>
          <w:rFonts w:hint="default" w:ascii="Times New Roman" w:hAnsi="Times New Roman" w:eastAsia="宋体" w:cs="Times New Roman"/>
          <w:color w:val="auto"/>
          <w:lang w:val="en-US" w:eastAsia="zh-CN"/>
        </w:rPr>
      </w:pPr>
      <w:bookmarkStart w:id="247" w:name="_Toc27571"/>
      <w:r>
        <w:rPr>
          <w:rFonts w:hint="eastAsia" w:cs="Times New Roman"/>
          <w:color w:val="auto"/>
          <w:lang w:val="en-US" w:eastAsia="zh-CN"/>
        </w:rPr>
        <w:t>3.11.2环境空气</w:t>
      </w:r>
      <w:bookmarkEnd w:id="247"/>
    </w:p>
    <w:p>
      <w:pPr>
        <w:spacing w:line="480" w:lineRule="exact"/>
        <w:ind w:firstLine="480" w:firstLineChars="200"/>
        <w:jc w:val="both"/>
        <w:rPr>
          <w:rFonts w:hint="default" w:cs="Times New Roman"/>
          <w:color w:val="auto"/>
          <w:lang w:val="en-US" w:eastAsia="zh-CN"/>
        </w:rPr>
      </w:pPr>
      <w:r>
        <w:rPr>
          <w:rFonts w:hint="default" w:cs="Times New Roman"/>
          <w:color w:val="auto"/>
          <w:lang w:val="en-US" w:eastAsia="zh-CN"/>
        </w:rPr>
        <w:t>本项目运行期间，基本无</w:t>
      </w:r>
      <w:r>
        <w:rPr>
          <w:rFonts w:hint="eastAsia" w:cs="Times New Roman"/>
          <w:color w:val="auto"/>
          <w:lang w:val="en-US" w:eastAsia="zh-CN"/>
        </w:rPr>
        <w:t>废气</w:t>
      </w:r>
      <w:r>
        <w:rPr>
          <w:rFonts w:hint="default" w:cs="Times New Roman"/>
          <w:color w:val="auto"/>
          <w:lang w:val="en-US" w:eastAsia="zh-CN"/>
        </w:rPr>
        <w:t>产生</w:t>
      </w:r>
      <w:r>
        <w:rPr>
          <w:rFonts w:hint="eastAsia" w:cs="Times New Roman"/>
          <w:color w:val="auto"/>
          <w:lang w:val="en-US" w:eastAsia="zh-CN"/>
        </w:rPr>
        <w:t>。</w:t>
      </w:r>
    </w:p>
    <w:p>
      <w:pPr>
        <w:pStyle w:val="5"/>
        <w:jc w:val="both"/>
        <w:rPr>
          <w:rFonts w:hint="default" w:ascii="Times New Roman" w:hAnsi="Times New Roman" w:eastAsia="宋体" w:cs="Times New Roman"/>
          <w:color w:val="auto"/>
          <w:lang w:val="en-US" w:eastAsia="zh-CN"/>
        </w:rPr>
      </w:pPr>
      <w:bookmarkStart w:id="248" w:name="_Toc12698"/>
      <w:r>
        <w:rPr>
          <w:rFonts w:hint="default" w:ascii="Times New Roman" w:hAnsi="Times New Roman" w:eastAsia="宋体" w:cs="Times New Roman"/>
          <w:color w:val="auto"/>
          <w:lang w:val="en-US" w:eastAsia="zh-CN"/>
        </w:rPr>
        <w:t>3.1</w:t>
      </w:r>
      <w:r>
        <w:rPr>
          <w:rFonts w:hint="eastAsia" w:cs="Times New Roman"/>
          <w:color w:val="auto"/>
          <w:lang w:val="en-US" w:eastAsia="zh-CN"/>
        </w:rPr>
        <w:t>1</w:t>
      </w:r>
      <w:r>
        <w:rPr>
          <w:rFonts w:hint="default" w:ascii="Times New Roman" w:hAnsi="Times New Roman" w:eastAsia="宋体" w:cs="Times New Roman"/>
          <w:color w:val="auto"/>
          <w:lang w:val="en-US" w:eastAsia="zh-CN"/>
        </w:rPr>
        <w:t>.</w:t>
      </w:r>
      <w:r>
        <w:rPr>
          <w:rFonts w:hint="eastAsia" w:cs="Times New Roman"/>
          <w:color w:val="auto"/>
          <w:lang w:val="en-US" w:eastAsia="zh-CN"/>
        </w:rPr>
        <w:t>3</w:t>
      </w:r>
      <w:r>
        <w:rPr>
          <w:rFonts w:hint="default" w:ascii="Times New Roman" w:hAnsi="Times New Roman" w:eastAsia="宋体" w:cs="Times New Roman"/>
          <w:color w:val="auto"/>
          <w:lang w:val="en-US" w:eastAsia="zh-CN"/>
        </w:rPr>
        <w:t xml:space="preserve"> 声环境</w:t>
      </w:r>
      <w:bookmarkEnd w:id="248"/>
    </w:p>
    <w:p>
      <w:pPr>
        <w:spacing w:line="480" w:lineRule="exact"/>
        <w:ind w:firstLine="480" w:firstLineChars="200"/>
        <w:jc w:val="both"/>
        <w:rPr>
          <w:rFonts w:hint="default" w:cs="Times New Roman"/>
          <w:color w:val="auto"/>
          <w:lang w:val="en-US" w:eastAsia="zh-CN"/>
        </w:rPr>
      </w:pPr>
      <w:r>
        <w:rPr>
          <w:rFonts w:hint="default" w:cs="Times New Roman"/>
          <w:color w:val="auto"/>
          <w:lang w:val="en-US" w:eastAsia="zh-CN"/>
        </w:rPr>
        <w:t>本项目运行期间，基本无噪声产生。</w:t>
      </w:r>
    </w:p>
    <w:p>
      <w:pPr>
        <w:pStyle w:val="5"/>
        <w:jc w:val="both"/>
        <w:rPr>
          <w:rFonts w:hint="default" w:ascii="Times New Roman" w:hAnsi="Times New Roman" w:eastAsia="宋体" w:cs="Times New Roman"/>
          <w:color w:val="auto"/>
          <w:lang w:val="en-US" w:eastAsia="zh-CN"/>
        </w:rPr>
      </w:pPr>
      <w:bookmarkStart w:id="249" w:name="_Toc29650"/>
      <w:r>
        <w:rPr>
          <w:rFonts w:hint="default" w:ascii="Times New Roman" w:hAnsi="Times New Roman" w:eastAsia="宋体" w:cs="Times New Roman"/>
          <w:color w:val="auto"/>
          <w:lang w:val="en-US" w:eastAsia="zh-CN"/>
        </w:rPr>
        <w:t>3.1</w:t>
      </w:r>
      <w:r>
        <w:rPr>
          <w:rFonts w:hint="eastAsia" w:cs="Times New Roman"/>
          <w:color w:val="auto"/>
          <w:lang w:val="en-US" w:eastAsia="zh-CN"/>
        </w:rPr>
        <w:t>1</w:t>
      </w:r>
      <w:r>
        <w:rPr>
          <w:rFonts w:hint="default" w:ascii="Times New Roman" w:hAnsi="Times New Roman" w:eastAsia="宋体" w:cs="Times New Roman"/>
          <w:color w:val="auto"/>
          <w:lang w:val="en-US" w:eastAsia="zh-CN"/>
        </w:rPr>
        <w:t>.</w:t>
      </w:r>
      <w:r>
        <w:rPr>
          <w:rFonts w:hint="eastAsia" w:cs="Times New Roman"/>
          <w:color w:val="auto"/>
          <w:lang w:val="en-US" w:eastAsia="zh-CN"/>
        </w:rPr>
        <w:t>4</w:t>
      </w:r>
      <w:r>
        <w:rPr>
          <w:rFonts w:hint="default" w:ascii="Times New Roman" w:hAnsi="Times New Roman" w:eastAsia="宋体" w:cs="Times New Roman"/>
          <w:color w:val="auto"/>
          <w:lang w:val="en-US" w:eastAsia="zh-CN"/>
        </w:rPr>
        <w:t xml:space="preserve"> 固废</w:t>
      </w:r>
      <w:bookmarkEnd w:id="249"/>
    </w:p>
    <w:p>
      <w:pPr>
        <w:spacing w:line="480" w:lineRule="exact"/>
        <w:ind w:firstLine="480" w:firstLineChars="200"/>
        <w:jc w:val="both"/>
        <w:rPr>
          <w:rFonts w:hint="default" w:cs="Times New Roman"/>
          <w:color w:val="auto"/>
          <w:lang w:val="en-US" w:eastAsia="zh-CN"/>
        </w:rPr>
      </w:pPr>
      <w:r>
        <w:rPr>
          <w:rFonts w:hint="default" w:cs="Times New Roman"/>
          <w:color w:val="auto"/>
          <w:lang w:val="en-US" w:eastAsia="zh-CN"/>
        </w:rPr>
        <w:t>项目运营期间，</w:t>
      </w:r>
      <w:r>
        <w:rPr>
          <w:rFonts w:hint="eastAsia" w:cs="Times New Roman"/>
          <w:color w:val="auto"/>
          <w:lang w:val="en-US" w:eastAsia="zh-CN"/>
        </w:rPr>
        <w:t>水生植物的养护会产生少量的枯枝烂叶，经人工打捞收集后委托环卫部门清运处置</w:t>
      </w:r>
      <w:r>
        <w:rPr>
          <w:rFonts w:hint="default" w:cs="Times New Roman"/>
          <w:color w:val="auto"/>
          <w:lang w:val="en-US" w:eastAsia="zh-CN"/>
        </w:rPr>
        <w:t>。</w:t>
      </w:r>
    </w:p>
    <w:p>
      <w:pPr>
        <w:pStyle w:val="2"/>
        <w:rPr>
          <w:rFonts w:hint="default" w:cs="Times New Roman"/>
          <w:color w:val="auto"/>
          <w:lang w:val="en-US" w:eastAsia="zh-CN"/>
        </w:rPr>
        <w:sectPr>
          <w:headerReference r:id="rId9" w:type="default"/>
          <w:footerReference r:id="rId10" w:type="default"/>
          <w:pgSz w:w="11905" w:h="16838"/>
          <w:pgMar w:top="1797" w:right="1440" w:bottom="1797" w:left="1440" w:header="850" w:footer="992" w:gutter="0"/>
          <w:pgBorders>
            <w:top w:val="none" w:sz="0" w:space="0"/>
            <w:left w:val="none" w:sz="0" w:space="0"/>
            <w:bottom w:val="none" w:sz="0" w:space="0"/>
            <w:right w:val="none" w:sz="0" w:space="0"/>
          </w:pgBorders>
          <w:pgNumType w:fmt="decimal"/>
          <w:cols w:space="0" w:num="1"/>
          <w:docGrid w:type="lines" w:linePitch="392" w:charSpace="0"/>
        </w:sectPr>
      </w:pPr>
    </w:p>
    <w:bookmarkEnd w:id="224"/>
    <w:bookmarkEnd w:id="225"/>
    <w:p>
      <w:pPr>
        <w:pStyle w:val="3"/>
        <w:spacing w:before="0" w:beforeLines="0" w:after="0" w:afterLines="0" w:line="480" w:lineRule="exact"/>
        <w:jc w:val="both"/>
        <w:rPr>
          <w:rFonts w:hint="default" w:ascii="Times New Roman" w:hAnsi="Times New Roman" w:eastAsia="宋体" w:cs="Times New Roman"/>
          <w:color w:val="auto"/>
        </w:rPr>
      </w:pPr>
      <w:bookmarkStart w:id="250" w:name="_Toc492644433"/>
      <w:bookmarkStart w:id="251" w:name="_Toc31956"/>
      <w:r>
        <w:rPr>
          <w:rFonts w:hint="default" w:ascii="Times New Roman" w:hAnsi="Times New Roman" w:eastAsia="宋体" w:cs="Times New Roman"/>
          <w:color w:val="auto"/>
        </w:rPr>
        <w:t>4环境现状调查与评价</w:t>
      </w:r>
      <w:bookmarkEnd w:id="250"/>
      <w:bookmarkEnd w:id="251"/>
    </w:p>
    <w:p>
      <w:pPr>
        <w:pStyle w:val="4"/>
        <w:spacing w:before="117" w:after="117"/>
        <w:jc w:val="both"/>
        <w:rPr>
          <w:rFonts w:hint="default" w:ascii="Times New Roman" w:hAnsi="Times New Roman" w:eastAsia="宋体" w:cs="Times New Roman"/>
          <w:color w:val="auto"/>
        </w:rPr>
      </w:pPr>
      <w:bookmarkStart w:id="252" w:name="_Toc492644434"/>
      <w:bookmarkStart w:id="253" w:name="_Toc4220"/>
      <w:r>
        <w:rPr>
          <w:rFonts w:hint="default" w:ascii="Times New Roman" w:hAnsi="Times New Roman" w:eastAsia="宋体" w:cs="Times New Roman"/>
          <w:color w:val="auto"/>
        </w:rPr>
        <w:t>4.1自然环境状况</w:t>
      </w:r>
      <w:bookmarkEnd w:id="252"/>
      <w:bookmarkEnd w:id="253"/>
    </w:p>
    <w:p>
      <w:pPr>
        <w:pStyle w:val="5"/>
        <w:jc w:val="both"/>
        <w:rPr>
          <w:rFonts w:hint="default" w:ascii="Times New Roman" w:hAnsi="Times New Roman" w:eastAsia="宋体" w:cs="Times New Roman"/>
          <w:color w:val="auto"/>
          <w:lang w:val="en-US" w:eastAsia="zh-CN"/>
        </w:rPr>
      </w:pPr>
      <w:bookmarkStart w:id="254" w:name="_Toc503461605"/>
      <w:bookmarkStart w:id="255" w:name="_Toc507334597"/>
      <w:bookmarkStart w:id="256" w:name="_Toc492644535"/>
      <w:bookmarkStart w:id="257" w:name="_Toc12395"/>
      <w:r>
        <w:rPr>
          <w:rFonts w:hint="default" w:ascii="Times New Roman" w:hAnsi="Times New Roman" w:eastAsia="宋体" w:cs="Times New Roman"/>
          <w:color w:val="auto"/>
        </w:rPr>
        <w:t>4.1.1</w:t>
      </w:r>
      <w:bookmarkEnd w:id="254"/>
      <w:bookmarkEnd w:id="255"/>
      <w:bookmarkEnd w:id="256"/>
      <w:r>
        <w:rPr>
          <w:rFonts w:hint="default" w:ascii="Times New Roman" w:hAnsi="Times New Roman" w:eastAsia="宋体" w:cs="Times New Roman"/>
          <w:color w:val="auto"/>
          <w:lang w:val="en-US" w:eastAsia="zh-CN"/>
        </w:rPr>
        <w:t>自然概况</w:t>
      </w:r>
      <w:bookmarkEnd w:id="257"/>
    </w:p>
    <w:p>
      <w:pPr>
        <w:spacing w:line="480" w:lineRule="exact"/>
        <w:ind w:firstLine="482" w:firstLineChars="200"/>
        <w:jc w:val="both"/>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1、地理位置</w:t>
      </w:r>
    </w:p>
    <w:p>
      <w:pPr>
        <w:spacing w:line="480" w:lineRule="exact"/>
        <w:ind w:firstLine="480" w:firstLineChars="200"/>
        <w:jc w:val="both"/>
        <w:rPr>
          <w:rFonts w:hint="default" w:ascii="Times New Roman" w:hAnsi="Times New Roman" w:eastAsia="宋体" w:cs="Times New Roman"/>
          <w:color w:val="auto"/>
        </w:rPr>
      </w:pPr>
      <w:bookmarkStart w:id="258" w:name="_Toc492644536"/>
      <w:bookmarkStart w:id="259" w:name="_Toc503461606"/>
      <w:bookmarkStart w:id="260" w:name="_Toc507334598"/>
      <w:r>
        <w:rPr>
          <w:rFonts w:hint="default" w:ascii="Times New Roman" w:hAnsi="Times New Roman" w:eastAsia="宋体" w:cs="Times New Roman"/>
          <w:color w:val="auto"/>
        </w:rPr>
        <w:t>苏州市位于江苏省东南部太湖之滨，是中国最富饶的地区之一。地理位置为北纬31°19′，东经120°37′，距上海70km，距南京230km，东临上海，南接浙江，西抱太湖， 北依长江与南通相望。</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苏州市吴中区地处江苏省南部、长江三角洲中部、太湖之滨。地理位置处于东经119°55'～120°54'，北纬30°56'～31°21'之间。四周分别与苏州城区、苏州工业园区、苏州高新技术产业区（苏州市虎丘区）、苏州市相城区、昆山市、吴江区接壤，西衔太湖，与无锡市、宜兴市、浙江省湖州市遥遥相望。全区面积742k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（不包含太湖水面）。太湖水面2425km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，属吴中区水面约1459km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。全境东西宽92.95km，南北长48.1km。</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太湖位于北纬30°55'40"~31°32'58"和东经119°52'32"~120°36'10"之间，横跨江、浙两省，北临无锡，南濒湖州，西依宜兴，东近苏州。太湖湖泊面积2427.8平方公里，水域面积为2338.1平方公里，湖岸线全长393.2公里。其西和西南侧为丘陵山地，东侧以平原及水网为主。</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lang w:eastAsia="zh-CN"/>
        </w:rPr>
        <w:t>整个太湖共被划分为9 个湖区，分别为：五里湖、梅梁湖、贡湖、竺山湖、湖心区、东部沿岸区（胥湖）、东太湖、西部沿岸区及南部沿岸区。太湖水源地主要分布在贡湖、梅梁湖、胥湖及东太湖，供无锡市与苏州市及各区县使用。其中苏州市的主要水源地有贡湖金墅湾水源地、太湖镇湖水源地、太湖渔洋山水源地、太湖寺前水源地、太湖庙港水源地、吴江区太湖北亭子港水源地。</w:t>
      </w:r>
    </w:p>
    <w:p>
      <w:pPr>
        <w:pStyle w:val="97"/>
        <w:spacing w:line="480" w:lineRule="exact"/>
        <w:ind w:firstLine="48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太湖</w:t>
      </w:r>
      <w:r>
        <w:rPr>
          <w:rFonts w:hint="default" w:ascii="Times New Roman" w:hAnsi="Times New Roman" w:eastAsia="宋体" w:cs="Times New Roman"/>
          <w:color w:val="auto"/>
          <w:sz w:val="24"/>
          <w:szCs w:val="24"/>
          <w:lang w:eastAsia="zh-CN"/>
        </w:rPr>
        <w:t>渔洋山水源地位于太湖东部湖区，苏州市吴中区渔洋山景区附近，其中一级保护区0.87km</w:t>
      </w:r>
      <w:r>
        <w:rPr>
          <w:rFonts w:hint="default" w:ascii="Times New Roman" w:hAnsi="Times New Roman" w:eastAsia="宋体" w:cs="Times New Roman"/>
          <w:color w:val="auto"/>
          <w:sz w:val="24"/>
          <w:szCs w:val="24"/>
          <w:vertAlign w:val="superscript"/>
          <w:lang w:eastAsia="zh-CN"/>
        </w:rPr>
        <w:t>2</w:t>
      </w:r>
      <w:r>
        <w:rPr>
          <w:rFonts w:hint="default" w:ascii="Times New Roman" w:hAnsi="Times New Roman" w:eastAsia="宋体" w:cs="Times New Roman"/>
          <w:color w:val="auto"/>
          <w:sz w:val="24"/>
          <w:szCs w:val="24"/>
          <w:lang w:eastAsia="zh-CN"/>
        </w:rPr>
        <w:t>，二级保护区17.01km</w:t>
      </w:r>
      <w:r>
        <w:rPr>
          <w:rFonts w:hint="default" w:ascii="Times New Roman" w:hAnsi="Times New Roman" w:eastAsia="宋体" w:cs="Times New Roman"/>
          <w:color w:val="auto"/>
          <w:sz w:val="24"/>
          <w:szCs w:val="24"/>
          <w:vertAlign w:val="superscript"/>
          <w:lang w:eastAsia="zh-CN"/>
        </w:rPr>
        <w:t>2</w:t>
      </w:r>
      <w:r>
        <w:rPr>
          <w:rFonts w:hint="default" w:ascii="Times New Roman" w:hAnsi="Times New Roman" w:eastAsia="宋体" w:cs="Times New Roman"/>
          <w:color w:val="auto"/>
          <w:sz w:val="24"/>
          <w:szCs w:val="24"/>
          <w:lang w:eastAsia="zh-CN"/>
        </w:rPr>
        <w:t>。</w:t>
      </w:r>
    </w:p>
    <w:p>
      <w:pPr>
        <w:pStyle w:val="97"/>
        <w:spacing w:line="480" w:lineRule="exact"/>
        <w:ind w:firstLine="48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本项目工程区域位于太湖渔洋山水源地一级保护区和二级保护区内，具体地理位置图见附图1。</w:t>
      </w:r>
    </w:p>
    <w:p>
      <w:pPr>
        <w:spacing w:line="480" w:lineRule="exact"/>
        <w:ind w:firstLine="482" w:firstLineChars="200"/>
        <w:jc w:val="both"/>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2、地质、地貌</w:t>
      </w:r>
      <w:bookmarkEnd w:id="258"/>
      <w:bookmarkEnd w:id="259"/>
      <w:bookmarkEnd w:id="260"/>
    </w:p>
    <w:p>
      <w:pPr>
        <w:spacing w:line="480" w:lineRule="exact"/>
        <w:ind w:firstLine="480" w:firstLineChars="200"/>
        <w:jc w:val="both"/>
        <w:rPr>
          <w:rFonts w:hint="default" w:ascii="Times New Roman" w:hAnsi="Times New Roman" w:eastAsia="宋体" w:cs="Times New Roman"/>
          <w:color w:val="auto"/>
        </w:rPr>
      </w:pPr>
      <w:bookmarkStart w:id="261" w:name="_Toc507334599"/>
      <w:bookmarkStart w:id="262" w:name="_Toc492644537"/>
      <w:bookmarkStart w:id="263" w:name="_Toc503461607"/>
      <w:r>
        <w:rPr>
          <w:rFonts w:hint="default" w:ascii="Times New Roman" w:hAnsi="Times New Roman" w:eastAsia="宋体" w:cs="Times New Roman"/>
          <w:color w:val="auto"/>
        </w:rPr>
        <w:t>地质：苏州全市大地构造单元属扬子淮地台、太湖中台拱，处于无锡、湖州断块与上海断凹交接断面，出露较广的为古生界地层，其次为中生界及火成岩，大部分地层位于第四纪冲积层之下。市区出露地层不完整，区域地质构造上主要特点是缺乏大规模条件褶皱，有断层、单斜构造和少数短轴褶皱。构造运动以上升隆起占优势，部分地区受剥蚀，晚第三纪新构造运动时期，茅山东西发生了结构性差异，西部持续隆起，东部转为沉降；下新世除太湖北部的苏锡地区以外，均在下降，至第四纪苏锡地区也转为负向运动，由此全盘均处于沉降状态，其沉降幅度为50～500m。</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根据地质分析，它可划分为四个工程地质分区：⑴基岩山丘工程地质区，其中还可分为坡度舒缓基岩山丘工程地质亚区和高营孤立基岩山丘工程地质亚区；⑵冲积湖平原工程地质区；⑶人工堆积地貌工程地质区；⑷湖、沼地工程地质区。开发区位于苏州东南角，周围地势平坦，属舒缓基岩山丘工程地质亚区及冲积湖平原工程地质区，地质硬，地耐力高。</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地貌：苏州市位于长江三角洲上，基本上是一个广阔的平原。地势平坦，微向东南倾斜，一般平田高程2～4m、高田4～6m、山丘100～300余米，最高为穹隆342m，圩荡田在2m以下。</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吴中区整个地势自西向东微微倾斜，平原海拔高度由6.5降到2左右，略呈西高东低态势。全境东部以平原为主，由水网平原以及山前冲积平原构成；西部有低山丘陵，系浙西天目山向东北延伸的余脉，呈岛屿分布。</w:t>
      </w:r>
    </w:p>
    <w:p>
      <w:pPr>
        <w:spacing w:line="480" w:lineRule="exact"/>
        <w:ind w:firstLine="482" w:firstLineChars="200"/>
        <w:jc w:val="both"/>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3、气候与气象</w:t>
      </w:r>
      <w:bookmarkEnd w:id="261"/>
      <w:bookmarkEnd w:id="262"/>
      <w:bookmarkEnd w:id="263"/>
    </w:p>
    <w:p>
      <w:pPr>
        <w:spacing w:line="480" w:lineRule="exact"/>
        <w:ind w:firstLine="480" w:firstLineChars="200"/>
        <w:jc w:val="both"/>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项目所在地处于北亚热带，属典型的亚热带季风气候，受到太湖水体调节，气候温和湿润，四季分明，雨量充沛，季风特征明显，无霜期长。12月份到2月份，是冬季低温季节，多偏北风；3月气温逐渐回升，但是不稳定，时寒时暖，时有冷空气侵袭，天气多变，多春雨；5月气温上升幅度更大，雨水增多；6月中旬进入梅雨期，天气闷热潮湿，雨日集中，多雷雨、大雨、暴雨；7月为全年最热月份，除发生台风和局部雷雨外，天气晴热少雨；8月仍在盛夏季节；9月气温由高落低，冷空气不断南下，是台风活跃期；10月秋高气爽，光照充足、雨水少；11月寒潮开始侵袭，有初霜。</w:t>
      </w:r>
    </w:p>
    <w:p>
      <w:pPr>
        <w:spacing w:line="480" w:lineRule="exact"/>
        <w:ind w:firstLine="480" w:firstLineChars="200"/>
        <w:jc w:val="both"/>
        <w:rPr>
          <w:rFonts w:hint="default" w:ascii="Times New Roman" w:hAnsi="Times New Roman" w:eastAsia="宋体" w:cs="Times New Roman"/>
          <w:color w:val="auto"/>
          <w:lang w:val="zh-CN"/>
        </w:rPr>
      </w:pPr>
      <w:r>
        <w:rPr>
          <w:rFonts w:hint="eastAsia" w:cs="Times New Roman"/>
          <w:color w:val="auto"/>
          <w:lang w:val="en-US" w:eastAsia="zh-CN"/>
        </w:rPr>
        <w:t>（1）</w:t>
      </w:r>
      <w:r>
        <w:rPr>
          <w:rFonts w:hint="default" w:ascii="Times New Roman" w:hAnsi="Times New Roman" w:eastAsia="宋体" w:cs="Times New Roman"/>
          <w:color w:val="auto"/>
          <w:lang w:val="zh-CN"/>
        </w:rPr>
        <w:t>气温：最冷月为1月，月平均气温为3.3℃；最热月为7月，月平均气温为28.6℃；年平均气温15.7℃左右，年平均最高气温为17℃（1953年），年平均最低气温为15℃（1996年）；历史最高温度35℃，历史最低温度-5℃（1969年2月6日），年无霜期251天。</w:t>
      </w:r>
    </w:p>
    <w:p>
      <w:pPr>
        <w:spacing w:line="480" w:lineRule="exact"/>
        <w:ind w:firstLine="480" w:firstLineChars="200"/>
        <w:jc w:val="both"/>
        <w:rPr>
          <w:rFonts w:hint="default" w:ascii="Times New Roman" w:hAnsi="Times New Roman" w:eastAsia="宋体" w:cs="Times New Roman"/>
          <w:color w:val="auto"/>
          <w:lang w:val="zh-CN"/>
        </w:rPr>
      </w:pPr>
      <w:r>
        <w:rPr>
          <w:rFonts w:hint="eastAsia" w:cs="Times New Roman"/>
          <w:color w:val="auto"/>
          <w:lang w:val="zh-CN"/>
        </w:rPr>
        <w:t>（</w:t>
      </w:r>
      <w:r>
        <w:rPr>
          <w:rFonts w:hint="eastAsia" w:cs="Times New Roman"/>
          <w:color w:val="auto"/>
          <w:lang w:val="en-US" w:eastAsia="zh-CN"/>
        </w:rPr>
        <w:t>2</w:t>
      </w:r>
      <w:r>
        <w:rPr>
          <w:rFonts w:hint="eastAsia" w:cs="Times New Roman"/>
          <w:color w:val="auto"/>
          <w:lang w:val="zh-CN"/>
        </w:rPr>
        <w:t>）</w:t>
      </w:r>
      <w:r>
        <w:rPr>
          <w:rFonts w:hint="default" w:ascii="Times New Roman" w:hAnsi="Times New Roman" w:eastAsia="宋体" w:cs="Times New Roman"/>
          <w:color w:val="auto"/>
          <w:lang w:val="zh-CN"/>
        </w:rPr>
        <w:t>气压：年平均气压1016hpa，月平均最高气压1018.8hpa，月平均最低气压1014.3hpa；</w:t>
      </w:r>
    </w:p>
    <w:p>
      <w:pPr>
        <w:spacing w:line="480" w:lineRule="exact"/>
        <w:ind w:firstLine="480" w:firstLineChars="200"/>
        <w:jc w:val="both"/>
        <w:rPr>
          <w:rFonts w:hint="default" w:ascii="Times New Roman" w:hAnsi="Times New Roman" w:eastAsia="宋体" w:cs="Times New Roman"/>
          <w:color w:val="auto"/>
          <w:lang w:val="zh-CN"/>
        </w:rPr>
      </w:pPr>
      <w:r>
        <w:rPr>
          <w:rFonts w:hint="eastAsia" w:cs="Times New Roman"/>
          <w:color w:val="auto"/>
          <w:lang w:val="en-US" w:eastAsia="zh-CN"/>
        </w:rPr>
        <w:t>（3）</w:t>
      </w:r>
      <w:r>
        <w:rPr>
          <w:rFonts w:hint="default" w:ascii="Times New Roman" w:hAnsi="Times New Roman" w:eastAsia="宋体" w:cs="Times New Roman"/>
          <w:color w:val="auto"/>
          <w:lang w:val="zh-CN"/>
        </w:rPr>
        <w:t>日照：历年平均日照数为1940.3小时，历年平均日照率为45％，年最高日照数为2352.5小时，日照率为53％，年最高日照数为1176小时，日照率为40％。相对无霜期为251天。</w:t>
      </w:r>
    </w:p>
    <w:p>
      <w:pPr>
        <w:spacing w:line="480" w:lineRule="exact"/>
        <w:ind w:firstLine="480" w:firstLineChars="200"/>
        <w:jc w:val="both"/>
        <w:rPr>
          <w:rFonts w:hint="default" w:ascii="Times New Roman" w:hAnsi="Times New Roman" w:eastAsia="宋体" w:cs="Times New Roman"/>
          <w:color w:val="auto"/>
          <w:lang w:val="zh-CN"/>
        </w:rPr>
      </w:pPr>
      <w:r>
        <w:rPr>
          <w:rFonts w:hint="eastAsia" w:cs="Times New Roman"/>
          <w:color w:val="auto"/>
          <w:lang w:val="en-US" w:eastAsia="zh-CN"/>
        </w:rPr>
        <w:t>（4）</w:t>
      </w:r>
      <w:r>
        <w:rPr>
          <w:rFonts w:hint="default" w:ascii="Times New Roman" w:hAnsi="Times New Roman" w:eastAsia="宋体" w:cs="Times New Roman"/>
          <w:color w:val="auto"/>
          <w:lang w:val="zh-CN"/>
        </w:rPr>
        <w:t>雨量：吴中区历年平均降水量为1088.5毫米，最高年份降水量为1782.9毫米（1960年），最低年份降水量为600毫米（1978年），一日最大降水量为291.8毫米（1960年6月4日），年最多雨日有149天（1957年）。降水量，以夏季最多，约占全年降水量的45％（6～9月）。全年有五个相对多雨期：清明－立夏为桃花雨，芒种－小暑为黄梅雨，处暑雨，台风雨，秋风间秋雨。冬季最少，占全年降雨量的15％左右。</w:t>
      </w:r>
    </w:p>
    <w:p>
      <w:pPr>
        <w:spacing w:line="480" w:lineRule="exact"/>
        <w:ind w:firstLine="480" w:firstLineChars="200"/>
        <w:jc w:val="both"/>
        <w:rPr>
          <w:rFonts w:hint="default" w:ascii="Times New Roman" w:hAnsi="Times New Roman" w:eastAsia="宋体" w:cs="Times New Roman"/>
          <w:color w:val="auto"/>
          <w:lang w:val="zh-CN"/>
        </w:rPr>
      </w:pPr>
      <w:r>
        <w:rPr>
          <w:rFonts w:hint="eastAsia" w:cs="Times New Roman"/>
          <w:color w:val="auto"/>
          <w:lang w:val="en-US" w:eastAsia="zh-CN"/>
        </w:rPr>
        <w:t>（5）</w:t>
      </w:r>
      <w:r>
        <w:rPr>
          <w:rFonts w:hint="default" w:ascii="Times New Roman" w:hAnsi="Times New Roman" w:eastAsia="宋体" w:cs="Times New Roman"/>
          <w:color w:val="auto"/>
          <w:lang w:val="zh-CN"/>
        </w:rPr>
        <w:t>湿度：年平均相对湿度80％；</w:t>
      </w:r>
    </w:p>
    <w:p>
      <w:pPr>
        <w:spacing w:line="480" w:lineRule="exact"/>
        <w:ind w:firstLine="480" w:firstLineChars="200"/>
        <w:jc w:val="both"/>
        <w:rPr>
          <w:rFonts w:hint="default" w:ascii="Times New Roman" w:hAnsi="Times New Roman" w:eastAsia="宋体" w:cs="Times New Roman"/>
          <w:color w:val="auto"/>
          <w:lang w:val="zh-CN"/>
        </w:rPr>
      </w:pPr>
      <w:r>
        <w:rPr>
          <w:rFonts w:hint="eastAsia" w:cs="Times New Roman"/>
          <w:color w:val="auto"/>
          <w:lang w:val="en-US" w:eastAsia="zh-CN"/>
        </w:rPr>
        <w:t>（6）</w:t>
      </w:r>
      <w:r>
        <w:rPr>
          <w:rFonts w:hint="default" w:ascii="Times New Roman" w:hAnsi="Times New Roman" w:eastAsia="宋体" w:cs="Times New Roman"/>
          <w:color w:val="auto"/>
          <w:lang w:val="zh-CN"/>
        </w:rPr>
        <w:t>风速：多年平均风速3.0m/s，最大年平均风速4.7m/s（1970年、1971年、1972年），最小年平均风速2.0m/s（1952年）；</w:t>
      </w:r>
    </w:p>
    <w:p>
      <w:pPr>
        <w:spacing w:line="480" w:lineRule="exact"/>
        <w:ind w:firstLine="480" w:firstLineChars="200"/>
        <w:jc w:val="both"/>
        <w:rPr>
          <w:rFonts w:hint="default" w:ascii="Times New Roman" w:hAnsi="Times New Roman" w:eastAsia="宋体" w:cs="Times New Roman"/>
          <w:color w:val="auto"/>
          <w:lang w:val="zh-CN"/>
        </w:rPr>
      </w:pPr>
      <w:r>
        <w:rPr>
          <w:rFonts w:hint="eastAsia" w:cs="Times New Roman"/>
          <w:color w:val="auto"/>
          <w:lang w:val="en-US" w:eastAsia="zh-CN"/>
        </w:rPr>
        <w:t>（7）</w:t>
      </w:r>
      <w:r>
        <w:rPr>
          <w:rFonts w:hint="default" w:ascii="Times New Roman" w:hAnsi="Times New Roman" w:eastAsia="宋体" w:cs="Times New Roman"/>
          <w:color w:val="auto"/>
          <w:lang w:val="zh-CN"/>
        </w:rPr>
        <w:t>风向：吴中区近三十年的气象统计资料表明常年出现频率平均值最大的风向为SE和E，平均值分别为10.3%和9.3%；而出现频率平均值最小的风向为WSW，仅为1.6%；年出现静风频率平均为7.5％。三十年平均风速为3.2m/s，其中WNW和SE风向的平均风速最大，分别达到4.0m/s和3.8m/s。E和SE风向的污染系数最大，分别为61.6和54.2，WSW风向的污染系数最小，为19.5。</w:t>
      </w:r>
    </w:p>
    <w:p>
      <w:pPr>
        <w:spacing w:line="480" w:lineRule="exact"/>
        <w:ind w:firstLine="482" w:firstLineChars="200"/>
        <w:jc w:val="both"/>
        <w:rPr>
          <w:rFonts w:hint="default" w:ascii="Times New Roman" w:hAnsi="Times New Roman" w:eastAsia="宋体" w:cs="Times New Roman"/>
          <w:b/>
          <w:bCs/>
          <w:color w:val="auto"/>
          <w:lang w:val="en-US" w:eastAsia="zh-CN"/>
        </w:rPr>
      </w:pPr>
      <w:bookmarkStart w:id="264" w:name="_Toc507334600"/>
      <w:bookmarkStart w:id="265" w:name="_Toc492644538"/>
      <w:bookmarkStart w:id="266" w:name="_Toc503461608"/>
      <w:r>
        <w:rPr>
          <w:rFonts w:hint="default" w:ascii="Times New Roman" w:hAnsi="Times New Roman" w:eastAsia="宋体" w:cs="Times New Roman"/>
          <w:b/>
          <w:bCs/>
          <w:color w:val="auto"/>
          <w:lang w:val="en-US" w:eastAsia="zh-CN"/>
        </w:rPr>
        <w:t>4、水文</w:t>
      </w:r>
      <w:bookmarkEnd w:id="264"/>
      <w:bookmarkEnd w:id="265"/>
      <w:bookmarkEnd w:id="266"/>
      <w:r>
        <w:rPr>
          <w:rFonts w:hint="default" w:ascii="Times New Roman" w:hAnsi="Times New Roman" w:eastAsia="宋体" w:cs="Times New Roman"/>
          <w:b/>
          <w:bCs/>
          <w:color w:val="auto"/>
          <w:lang w:val="en-US" w:eastAsia="zh-CN"/>
        </w:rPr>
        <w:t>、水系</w:t>
      </w:r>
    </w:p>
    <w:p>
      <w:pPr>
        <w:spacing w:line="480" w:lineRule="exact"/>
        <w:ind w:firstLine="480" w:firstLineChars="200"/>
        <w:jc w:val="both"/>
        <w:rPr>
          <w:rFonts w:hint="default" w:ascii="Times New Roman" w:hAnsi="Times New Roman" w:eastAsia="宋体" w:cs="Times New Roman"/>
          <w:color w:val="auto"/>
        </w:rPr>
      </w:pPr>
      <w:bookmarkStart w:id="267" w:name="_Toc492644539"/>
      <w:bookmarkStart w:id="268" w:name="_Toc503461609"/>
      <w:bookmarkStart w:id="269" w:name="_Toc507334601"/>
      <w:r>
        <w:rPr>
          <w:rFonts w:hint="default" w:ascii="Times New Roman" w:hAnsi="Times New Roman" w:eastAsia="宋体" w:cs="Times New Roman"/>
          <w:color w:val="auto"/>
        </w:rPr>
        <w:t>苏州市地处长江和太湖下游，水域广阔，地势低平，古称</w:t>
      </w:r>
      <w:r>
        <w:rPr>
          <w:rFonts w:hint="eastAsia" w:cs="Times New Roman"/>
          <w:color w:val="auto"/>
          <w:lang w:eastAsia="zh-CN"/>
        </w:rPr>
        <w:t>“</w:t>
      </w:r>
      <w:r>
        <w:rPr>
          <w:rFonts w:hint="default" w:ascii="Times New Roman" w:hAnsi="Times New Roman" w:eastAsia="宋体" w:cs="Times New Roman"/>
          <w:color w:val="auto"/>
        </w:rPr>
        <w:t>平江</w:t>
      </w:r>
      <w:r>
        <w:rPr>
          <w:rFonts w:hint="eastAsia" w:cs="Times New Roman"/>
          <w:color w:val="auto"/>
          <w:lang w:eastAsia="zh-CN"/>
        </w:rPr>
        <w:t>”</w:t>
      </w:r>
      <w:r>
        <w:rPr>
          <w:rFonts w:hint="default" w:ascii="Times New Roman" w:hAnsi="Times New Roman" w:eastAsia="宋体" w:cs="Times New Roman"/>
          <w:color w:val="auto"/>
        </w:rPr>
        <w:t>，亦称</w:t>
      </w:r>
      <w:r>
        <w:rPr>
          <w:rFonts w:hint="eastAsia" w:cs="Times New Roman"/>
          <w:color w:val="auto"/>
          <w:lang w:eastAsia="zh-CN"/>
        </w:rPr>
        <w:t>“</w:t>
      </w:r>
      <w:r>
        <w:rPr>
          <w:rFonts w:hint="default" w:ascii="Times New Roman" w:hAnsi="Times New Roman" w:eastAsia="宋体" w:cs="Times New Roman"/>
          <w:color w:val="auto"/>
        </w:rPr>
        <w:t>泽国</w:t>
      </w:r>
      <w:r>
        <w:rPr>
          <w:rFonts w:hint="eastAsia" w:cs="Times New Roman"/>
          <w:color w:val="auto"/>
          <w:lang w:eastAsia="zh-CN"/>
        </w:rPr>
        <w:t>”</w:t>
      </w:r>
      <w:r>
        <w:rPr>
          <w:rFonts w:hint="default" w:ascii="Times New Roman" w:hAnsi="Times New Roman" w:eastAsia="宋体" w:cs="Times New Roman"/>
          <w:color w:val="auto"/>
        </w:rPr>
        <w:t>，境内河港交织，湖荡棋布，计有大小河道2万余条，湖泊荡漾321个，水域面积3609km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，占国土总面积的42.5%，水陆比达44.5％，属典型的江南水乡城市。太湖流域的平均年蒸发量在1151～1576mm之间，苏州地区年蒸发量基本在1500mm。</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苏州地区是我国水资源最丰富的地区之一，在水资源总量中，当地径流有限，入境水量比重很大。平水年时外来水量占水资源总量的60％，枯水年比重更大。但因为人口稠密，人均占有量并无明显优势。</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吴中区为长江三角洲重要水利和交通枢纽，境内20多条骨干河道纵横交错，沟通太湖、澄湖、石湖等湖荡，区内主要的地表水为石湖、西塘河和大运河，其主要的出入境河流为江南运河，常年的水流方向为自北向南，从上游无锡来水，流经望亭、浒关，在大庆桥附近分流，一路经大庆桥折向东北至泰让桥附近，汇入苏州外城河，这是江南运河的故道；另一路在大庆桥附近</w:t>
      </w:r>
      <w:r>
        <w:rPr>
          <w:rFonts w:hint="eastAsia" w:cs="Times New Roman"/>
          <w:color w:val="auto"/>
          <w:lang w:eastAsia="zh-CN"/>
        </w:rPr>
        <w:t>“</w:t>
      </w:r>
      <w:r>
        <w:rPr>
          <w:rFonts w:hint="default" w:ascii="Times New Roman" w:hAnsi="Times New Roman" w:eastAsia="宋体" w:cs="Times New Roman"/>
          <w:color w:val="auto"/>
        </w:rPr>
        <w:t>截弯取直</w:t>
      </w:r>
      <w:r>
        <w:rPr>
          <w:rFonts w:hint="eastAsia" w:cs="Times New Roman"/>
          <w:color w:val="auto"/>
          <w:lang w:eastAsia="zh-CN"/>
        </w:rPr>
        <w:t>”</w:t>
      </w:r>
      <w:r>
        <w:rPr>
          <w:rFonts w:hint="default" w:ascii="Times New Roman" w:hAnsi="Times New Roman" w:eastAsia="宋体" w:cs="Times New Roman"/>
          <w:color w:val="auto"/>
        </w:rPr>
        <w:t>流经亭子桥、晋源桥，与胥江汇合后，向南流至新郭附近折东而去，这是改道后的运河，其主要功能为景观、航运、灌溉、排涝及工业用水。</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江南运河地处长江西有，雨量充沛，两岸河湖交错，上有长江补充水源，右有太湖可作调节，水源丰沛稳定，且沿线各闸口设置了抽引水工程，这样大旱之年江南运河仍有足够水量保证航运的水位。根据江南运河苏州站历年观测资料统计，江南运河的水文状况如下：常年流量为21.5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/s；河面宽71m，平均水深3.34m；平均水位（吴淞高程）为2.82m；最高年平均水位：3.27m（1954年）；最低年平均水位：2.28m（1984年）；历史最高水位：4.37m（1954年7月28日）；历史最低水位：1.89m（1984年8月27日）。</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吴淞江自瓜泾口至江苏省与上海交界处全长66km。根据瓜泾港瓜泾口站26年、吴淞江周巷站19年的逐年月平均水位资料统计，两站多年月平均水位的年变化幅度较小，瓜泾口站最高为3.06m、最低为2.52m，变幅为0.54m；周巷站最高为2.99m、最低为2.53m，变幅也为0.54m；两站最低值都出现在二月份，最高值都出现在9月份。两站之间河长约27km，逐月平均水位差变幅为-0.02～0.08m，多年月平均水位差为0.03m。</w:t>
      </w:r>
    </w:p>
    <w:p>
      <w:pPr>
        <w:spacing w:line="480" w:lineRule="exact"/>
        <w:ind w:firstLine="482" w:firstLineChars="200"/>
        <w:jc w:val="both"/>
        <w:rPr>
          <w:rFonts w:hint="default" w:ascii="Times New Roman" w:hAnsi="Times New Roman" w:eastAsia="宋体" w:cs="Times New Roman"/>
          <w:color w:val="auto"/>
        </w:rPr>
      </w:pPr>
      <w:r>
        <w:rPr>
          <w:rFonts w:hint="default" w:ascii="Times New Roman" w:hAnsi="Times New Roman" w:eastAsia="宋体" w:cs="Times New Roman"/>
          <w:b/>
          <w:bCs/>
          <w:color w:val="auto"/>
        </w:rPr>
        <w:t>太湖：</w:t>
      </w:r>
      <w:r>
        <w:rPr>
          <w:rFonts w:hint="default" w:ascii="Times New Roman" w:hAnsi="Times New Roman" w:eastAsia="宋体" w:cs="Times New Roman"/>
          <w:color w:val="auto"/>
        </w:rPr>
        <w:t>位于太湖流域中部，是全流域的洪水调蓄及水资源调配中心，具有蓄洪、供水、灌溉、航运、旅游等多方面功能。太湖是平原地区的大型浅水湖泊，水域面积2338km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，南北长68.5km，东西平均宽34.0km，湖底最低高程为-0.25m，湖底的平均高程为1.1m，平均水深为1.95m，正常水位下容积为44.3亿m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，水量年交换系数1.2，换水周期约300天。太湖湖盆形态呈浅碟形，深水区位于湖心略偏西的位置。湖中有岛屿45座，总面积为83.3km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，其中以洞庭西山面积为最大，为62.5km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最高的缥渺峰海拔336m。太湖湖岸线总长405km，北部与东侧岸线曲折，多岬角与湖湾，自西向东依次分布有竺山湖、梅梁湖、贡湖、漫山湖、胥湖及东太湖等湖湾。根据水位代表站洞庭西山（三）站1955~2016年系列年实测水位资料，太湖多年平均水位为3.11m，多年平均高水位3.88m，多年平均低水位2.59m，非汛期多年平均水位3.03m。2000年引江济太实施后，太湖常水位有所抬高，洞庭西山（三）站2000~2016年多年平均水位为3.22m、非汛期多年平均水位3.16m。其中，历史最高洪水位为4.97m，发生日期为1999年7月1日；历史最低水位2.25m，发生日期为1978年8月26日，警戒水位为3.80m。</w:t>
      </w:r>
    </w:p>
    <w:p>
      <w:pPr>
        <w:spacing w:line="480" w:lineRule="exact"/>
        <w:ind w:firstLine="482" w:firstLineChars="200"/>
        <w:jc w:val="both"/>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5、地下水</w:t>
      </w:r>
      <w:bookmarkEnd w:id="267"/>
      <w:bookmarkEnd w:id="268"/>
      <w:bookmarkEnd w:id="269"/>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吴中区地下岩层水深度11.18m，为含水层岩性，中细沙、泥质含量较高，矿化质0.62g/L。地下水由以下几层组成：①地表水，②第一层压水，③第二层压水，④岩层水。一般的地下水由第二层抽出。第四系灰岩的二类承压区，埋藏1～2层，出水量150～250t/a，水温17～18℃。灰岩层出水量800～1500t/a，水温18～21℃左右。据资料统计，吴中经济开发区地表水常年水位平均值2.83m，最高年平均水位3.38m，最低年平均水位2.43m。</w:t>
      </w:r>
    </w:p>
    <w:p>
      <w:pPr>
        <w:spacing w:line="480" w:lineRule="exact"/>
        <w:ind w:firstLine="482" w:firstLineChars="200"/>
        <w:jc w:val="both"/>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6、生态环境</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度假区常见植被主要为芦苇、水烛、红花睡莲、鱼草、垂柳、节节草、海金沙和井栏边草等等。度假区优势鸟种较多。在留鸟类群中，白头鹎、棕头鸦雀、树麻雀、山斑鸠、珠颈斑鸠、黑尾蜡嘴雀、八哥、红头长尾山雀、夜鹭、白鹭、黑水鸡等12种留鸟占据较大的数量优势。动物方面中华蟾蜍、金线侧褶蛙、黑斑侧褶蛙、泽陆蛙、北方狭口蛙、红点锦蛇、黑眉锦蛇、虎斑颈槽蛇、乌梢蛇等出现频次较高，广泛分布，数量众多。</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近年来太湖浮游动物呈现小型化的趋势；太湖底栖动物密度优势种主要为寡毛类的霍甫水丝蚓和中华河蚓、摇蚊幼虫科的中国长足摇蚊，这三种均为耐污能力较强的种类；东太湖及吴中区渔洋湾一线，水生植被较为丰富，优势种为马来眼子菜、荇菜、苦草。</w:t>
      </w:r>
    </w:p>
    <w:p>
      <w:pPr>
        <w:pStyle w:val="5"/>
        <w:jc w:val="both"/>
        <w:rPr>
          <w:rFonts w:hint="default" w:ascii="Times New Roman" w:hAnsi="Times New Roman" w:eastAsia="宋体" w:cs="Times New Roman"/>
          <w:color w:val="auto"/>
          <w:lang w:val="en-US" w:eastAsia="zh-CN"/>
        </w:rPr>
      </w:pPr>
      <w:bookmarkStart w:id="270" w:name="_Toc19219"/>
      <w:r>
        <w:rPr>
          <w:rFonts w:hint="default" w:ascii="Times New Roman" w:hAnsi="Times New Roman" w:eastAsia="宋体" w:cs="Times New Roman"/>
          <w:color w:val="auto"/>
        </w:rPr>
        <w:t>4.1.</w:t>
      </w:r>
      <w:r>
        <w:rPr>
          <w:rFonts w:hint="default" w:ascii="Times New Roman" w:hAnsi="Times New Roman" w:eastAsia="宋体" w:cs="Times New Roman"/>
          <w:color w:val="auto"/>
          <w:lang w:val="en-US" w:eastAsia="zh-CN"/>
        </w:rPr>
        <w:t>2社会环境概况</w:t>
      </w:r>
      <w:bookmarkEnd w:id="270"/>
    </w:p>
    <w:p>
      <w:pPr>
        <w:widowControl w:val="0"/>
        <w:spacing w:line="480" w:lineRule="exact"/>
        <w:ind w:firstLine="482" w:firstLineChars="200"/>
        <w:jc w:val="both"/>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1、社会经济概况</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吴中区地处苏州市域地理中心和长江三角洲经济圈腹地，北与苏州古城、工业园区、高新区接壤，南临吴江区，东接昆山，西衔太湖，与上海、杭州、南京均在2小时交通圈内。全区拥有陆地面积745平方公里，太湖水面1486平方公里，占太湖面积的五分之三；下辖1个国家级太湖旅游度假区、1个国家级经济技术开发区、1个国家级农业园区、1个省级高新技术产业开发区以及7镇7街道；户籍人口70.5万。</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作为吴文化的发源地，吴中区孕育了兵圣孙武、草圣张旭、塑圣杨惠之、绣圣沈寿、北宋著名政治家范仲淹、主持营造北京故宫的建筑大师蒯祥等一大批历史名人。既是全国文化先进区、全国文物先进区、江苏省体育强区和首批国家公共文化服务体系、首批江苏省公共体育服务体系示范区，也是首批</w:t>
      </w:r>
      <w:r>
        <w:rPr>
          <w:rFonts w:hint="eastAsia" w:cs="Times New Roman"/>
          <w:color w:val="auto"/>
          <w:lang w:eastAsia="zh-CN"/>
        </w:rPr>
        <w:t>“</w:t>
      </w:r>
      <w:r>
        <w:rPr>
          <w:rFonts w:hint="default" w:ascii="Times New Roman" w:hAnsi="Times New Roman" w:eastAsia="宋体" w:cs="Times New Roman"/>
          <w:color w:val="auto"/>
        </w:rPr>
        <w:t>中国民间文化艺术之乡</w:t>
      </w:r>
      <w:r>
        <w:rPr>
          <w:rFonts w:hint="eastAsia" w:cs="Times New Roman"/>
          <w:color w:val="auto"/>
          <w:lang w:eastAsia="zh-CN"/>
        </w:rPr>
        <w:t>”</w:t>
      </w:r>
      <w:r>
        <w:rPr>
          <w:rFonts w:hint="default" w:ascii="Times New Roman" w:hAnsi="Times New Roman" w:eastAsia="宋体" w:cs="Times New Roman"/>
          <w:color w:val="auto"/>
        </w:rPr>
        <w:t>之一。全区现有3个国家级历史文化名镇，5个国家级历史文化名村，12处中国传统村落,2个江苏省历史文化名镇，7处国家级重点文物保护单位，19处省级文物保护单位。全区非物质文化遗产项目共有57项，其中世界级1项，国家级3项，省级18项。</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作为</w:t>
      </w:r>
      <w:r>
        <w:rPr>
          <w:rFonts w:hint="eastAsia" w:cs="Times New Roman"/>
          <w:color w:val="auto"/>
          <w:lang w:eastAsia="zh-CN"/>
        </w:rPr>
        <w:t>“</w:t>
      </w:r>
      <w:r>
        <w:rPr>
          <w:rFonts w:hint="default" w:ascii="Times New Roman" w:hAnsi="Times New Roman" w:eastAsia="宋体" w:cs="Times New Roman"/>
          <w:color w:val="auto"/>
        </w:rPr>
        <w:t>太湖最美的地方</w:t>
      </w:r>
      <w:r>
        <w:rPr>
          <w:rFonts w:hint="eastAsia" w:cs="Times New Roman"/>
          <w:color w:val="auto"/>
          <w:lang w:eastAsia="zh-CN"/>
        </w:rPr>
        <w:t>”</w:t>
      </w:r>
      <w:r>
        <w:rPr>
          <w:rFonts w:hint="default" w:ascii="Times New Roman" w:hAnsi="Times New Roman" w:eastAsia="宋体" w:cs="Times New Roman"/>
          <w:color w:val="auto"/>
        </w:rPr>
        <w:t>，吴中区坐拥60%的太湖水域、40%的太湖岸线、80%的太湖山峰与岛屿。既是国家级生态区、全国生态文明建设示范区和中国生态文明研究与促进会的首批联系点，也是全国文明城市（区）。全区拥有1个国家级旅游度假区、1个国家级现代农业示范园区、1个国家5A级景区、5个国家4A级景区、1个国家地质公园、2个国家生态湿地公园、2个国家森林公园、7个国家农业旅游示范点、4个全国特色景观旅游名镇村、1个省级自然保护区，开放景点多达60余个。</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近年来，吴中区紧紧围绕</w:t>
      </w:r>
      <w:r>
        <w:rPr>
          <w:rFonts w:hint="eastAsia" w:cs="Times New Roman"/>
          <w:color w:val="auto"/>
          <w:lang w:eastAsia="zh-CN"/>
        </w:rPr>
        <w:t>“</w:t>
      </w:r>
      <w:r>
        <w:rPr>
          <w:rFonts w:hint="default" w:ascii="Times New Roman" w:hAnsi="Times New Roman" w:eastAsia="宋体" w:cs="Times New Roman"/>
          <w:color w:val="auto"/>
        </w:rPr>
        <w:t>五位一体</w:t>
      </w:r>
      <w:r>
        <w:rPr>
          <w:rFonts w:hint="eastAsia" w:cs="Times New Roman"/>
          <w:color w:val="auto"/>
          <w:lang w:eastAsia="zh-CN"/>
        </w:rPr>
        <w:t>”</w:t>
      </w:r>
      <w:r>
        <w:rPr>
          <w:rFonts w:hint="default" w:ascii="Times New Roman" w:hAnsi="Times New Roman" w:eastAsia="宋体" w:cs="Times New Roman"/>
          <w:color w:val="auto"/>
        </w:rPr>
        <w:t>总体布局和</w:t>
      </w:r>
      <w:r>
        <w:rPr>
          <w:rFonts w:hint="eastAsia" w:cs="Times New Roman"/>
          <w:color w:val="auto"/>
          <w:lang w:eastAsia="zh-CN"/>
        </w:rPr>
        <w:t>“</w:t>
      </w:r>
      <w:r>
        <w:rPr>
          <w:rFonts w:hint="default" w:ascii="Times New Roman" w:hAnsi="Times New Roman" w:eastAsia="宋体" w:cs="Times New Roman"/>
          <w:color w:val="auto"/>
        </w:rPr>
        <w:t>四个全面</w:t>
      </w:r>
      <w:r>
        <w:rPr>
          <w:rFonts w:hint="eastAsia" w:cs="Times New Roman"/>
          <w:color w:val="auto"/>
          <w:lang w:eastAsia="zh-CN"/>
        </w:rPr>
        <w:t>”</w:t>
      </w:r>
      <w:r>
        <w:rPr>
          <w:rFonts w:hint="default" w:ascii="Times New Roman" w:hAnsi="Times New Roman" w:eastAsia="宋体" w:cs="Times New Roman"/>
          <w:color w:val="auto"/>
        </w:rPr>
        <w:t>战略布局，全力以赴推进稳增长、调结构、惠民生、补短板等工作，经济社会保持健康稳定发展态势。2019年实现地区生产总值1278.72亿元，增长6.1%；一般公共预算收入175.63亿元，增长9.3%；实现规上工业增加值404.2亿元，增长4.5%，规模以上工业产值1565.68亿元，增长1.8%。</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目前，吴中区已有40多个国家（地区）投资的1227家外商投资企业，实际使用外资累计超过90亿美元，包括惠氏、大众、爱信AW、伟创力、永旺、三洋、松下、日立、可口可乐等18家世界500强企业在吴中发展壮大。累计培育跨国公司地区总部和功能性机构4家，外资研发中心5家。2019年全区完成注册外资15.9亿美元，实际使用外资3.8亿美元，进出口81.6亿美元，其中出口57.5亿美元。</w:t>
      </w:r>
    </w:p>
    <w:p>
      <w:pPr>
        <w:widowControl w:val="0"/>
        <w:spacing w:line="480" w:lineRule="exact"/>
        <w:ind w:firstLine="482" w:firstLineChars="200"/>
        <w:jc w:val="both"/>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2、水资源利用现状</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为了解项目所在区域水资源现状，本次评价引用《201</w:t>
      </w:r>
      <w:r>
        <w:rPr>
          <w:rFonts w:hint="default" w:ascii="Times New Roman" w:hAnsi="Times New Roman" w:eastAsia="宋体" w:cs="Times New Roman"/>
          <w:color w:val="auto"/>
          <w:lang w:val="en-US" w:eastAsia="zh-CN"/>
        </w:rPr>
        <w:t>7</w:t>
      </w:r>
      <w:r>
        <w:rPr>
          <w:rFonts w:hint="default" w:ascii="Times New Roman" w:hAnsi="Times New Roman" w:eastAsia="宋体" w:cs="Times New Roman"/>
          <w:color w:val="auto"/>
        </w:rPr>
        <w:t>苏州市水资源公报》、《201</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苏州市水资源公报》、《201</w:t>
      </w:r>
      <w:r>
        <w:rPr>
          <w:rFonts w:hint="default" w:ascii="Times New Roman" w:hAnsi="Times New Roman" w:eastAsia="宋体" w:cs="Times New Roman"/>
          <w:color w:val="auto"/>
          <w:lang w:val="en-US" w:eastAsia="zh-CN"/>
        </w:rPr>
        <w:t>9</w:t>
      </w:r>
      <w:r>
        <w:rPr>
          <w:rFonts w:hint="default" w:ascii="Times New Roman" w:hAnsi="Times New Roman" w:eastAsia="宋体" w:cs="Times New Roman"/>
          <w:color w:val="auto"/>
        </w:rPr>
        <w:t>苏州市水资源公报》中的相关数据和结论。</w:t>
      </w:r>
    </w:p>
    <w:p>
      <w:pPr>
        <w:widowControl w:val="0"/>
        <w:spacing w:line="480" w:lineRule="exact"/>
        <w:ind w:firstLine="482" w:firstLineChars="200"/>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（1）</w:t>
      </w:r>
      <w:r>
        <w:rPr>
          <w:rFonts w:hint="default" w:ascii="Times New Roman" w:hAnsi="Times New Roman" w:eastAsia="宋体" w:cs="Times New Roman"/>
          <w:b/>
          <w:bCs/>
          <w:color w:val="auto"/>
        </w:rPr>
        <w:t>区域水资源状况：</w:t>
      </w:r>
    </w:p>
    <w:p>
      <w:pPr>
        <w:widowControl w:val="0"/>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1）2017年</w:t>
      </w:r>
    </w:p>
    <w:p>
      <w:pPr>
        <w:widowControl w:val="0"/>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2017年，苏州市面平均降水量为1152.7毫米，折合降水总量94.69亿立方米（不包含长江水面），与多年平均降水量（1956-2015年）比增加了53.6毫米，在全市降水频率分布中代表频率为P=37.2%左右，属平水年份。梅雨期降水量为87.1毫米，与多年平均比减少了58.6%。</w:t>
      </w:r>
    </w:p>
    <w:p>
      <w:pPr>
        <w:widowControl w:val="0"/>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2017年，全市地产水资源总量为33.81亿立方米，其中地表水资源量为29.91亿立方米，地下水资源量为9.663亿立方米，重复计算量为5.764亿立方米。</w:t>
      </w:r>
    </w:p>
    <w:p>
      <w:pPr>
        <w:widowControl w:val="0"/>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2017年，苏州市入境水量为220.7亿立方米出境水量为219.7亿立方米。</w:t>
      </w:r>
    </w:p>
    <w:p>
      <w:pPr>
        <w:widowControl w:val="0"/>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2017年，全市供水量为89.05亿立方米，其中地表水供水量为89.00亿立方米，地下水供水量为0.049亿立方米；总用水量为89.10亿立方米，比上年度增加了5.112亿立方米；总耗水量为15.29亿立方米，占总用水量的17.2%，比上年度增加了0.797亿立方米。</w:t>
      </w:r>
    </w:p>
    <w:p>
      <w:pPr>
        <w:widowControl w:val="0"/>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2017年，全市地表水功能区达标率为80.7%。根据常规两项水质指标评价结果，Ⅱ类水断面占11.0%，Ⅲ类水断面占58.0%，Ⅳ类水断面占21.8%，Ⅴ类及劣Ⅴ类水断面占9.2%，主要超标因子为氨氮。区域供水水源地水质基本保持稳定。</w:t>
      </w:r>
    </w:p>
    <w:p>
      <w:pPr>
        <w:widowControl w:val="0"/>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2017年，苏州市万元地区生产总值用水量为28.71立方米，较2015年下降了12.04%；万元工业增加值用水量为13.66立方米，较2015年下降了11.43%。</w:t>
      </w:r>
    </w:p>
    <w:p>
      <w:pPr>
        <w:widowControl w:val="0"/>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2017年，苏州市地下水水情形势较好，水位降落漏斗范围逐渐缩小，整个苏州地区均为水情安全区。</w:t>
      </w:r>
    </w:p>
    <w:p>
      <w:pPr>
        <w:widowControl w:val="0"/>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2）2018年</w:t>
      </w:r>
    </w:p>
    <w:p>
      <w:pPr>
        <w:widowControl w:val="0"/>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2018年，苏州市面平均降水量为1275.1毫米，折合降水总量104.7亿立方米(不包含长江水面），与多年平均降水量（1956-2015年）比增加了176.0毫米，在全市降水频率分布中代表频率为P=20.9%左右，属偏丰年份。梅雨期降水量为156.7毫米，与多年平均比减少了25.5%。</w:t>
      </w:r>
    </w:p>
    <w:p>
      <w:pPr>
        <w:widowControl w:val="0"/>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2018年，全市地产水资源总量为38.53亿立方米，其中地表水资源量为34.72亿立方米，地下水资源量为10.26亿立方米，重复计算量为6.452亿立方米。2018年，苏州市入境水量为212.2亿立方米，出境水量为207.2亿立方米。</w:t>
      </w:r>
    </w:p>
    <w:p>
      <w:pPr>
        <w:widowControl w:val="0"/>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2018年，全市供水量为97.16亿立方米，其中地表水供水量为97.12亿立方米，地下水供水量为0.038亿立方米；总用水量为97.16亿立方米，比上年度增加了8.123亿立方米；总耗水量为14.36亿立方米，占总用水量的14.78%，比上年度减少了0.932亿立方米。</w:t>
      </w:r>
    </w:p>
    <w:p>
      <w:pPr>
        <w:widowControl w:val="0"/>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2018年，全市地表水功能区达标率为87.5%。根据常规两项水质指标评价结果，Ⅱ、Ⅲ类水断面占73.8%，Ⅳ类水断面占17.9%，V类及劣V类水断面占8.3%，主要超标因子为氨氮。区域供水水源地水质基本保持稳定。</w:t>
      </w:r>
    </w:p>
    <w:p>
      <w:pPr>
        <w:widowControl w:val="0"/>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2018年，苏州市万元地区生产总值用水量为26.45立方米，较2015年下降了19.0%;万元工业增加值用水量为13.01立方米，较2015年下降了15.6%。2018年，苏州市地下水水情形势较好，水位降落漏斗范围逐渐缩小，整个苏州地区均为水情安全区。</w:t>
      </w:r>
    </w:p>
    <w:p>
      <w:pPr>
        <w:widowControl w:val="0"/>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3）2019年</w:t>
      </w:r>
    </w:p>
    <w:p>
      <w:pPr>
        <w:widowControl w:val="0"/>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2019年，苏州市面平均降水量为1134.6毫米，折合降水总量93.20亿立方米（不包含长江水面，下同），与多年平均降水量（1956-2015年）比偏多35.5毫米，在全市降水频率分布中代表频率为P=40.6%左右，属平水年份。梅雨期降水量为240.3毫米，与多年平均比偏多14.0%。</w:t>
      </w:r>
    </w:p>
    <w:p>
      <w:pPr>
        <w:widowControl w:val="0"/>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2019年，全市地产水资源总量为36.963亿立方米，其中地表水资源量为33.295亿立方米，地下水资源量为9.581亿立方米，重复计算量为5.913亿立方米。</w:t>
      </w:r>
    </w:p>
    <w:p>
      <w:pPr>
        <w:widowControl w:val="0"/>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2019年，苏州市入境水量为237.2亿立方米，出境水量为246.4亿立方米。</w:t>
      </w:r>
    </w:p>
    <w:p>
      <w:pPr>
        <w:widowControl w:val="0"/>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2019年，全市供水量为47.68亿立方米，其中地表水供水量为47.64亿立方米，地下水供水量为0.037亿立方米；总用水量为47.68亿立方米 ，比上年度减少了1.698亿立方米；总耗水量为15.53亿立方米。</w:t>
      </w:r>
    </w:p>
    <w:p>
      <w:pPr>
        <w:widowControl w:val="0"/>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2019年，苏州市万元地区生产总值用水量为24.8立方米，万元工业增加值用水量为29.5立方米。</w:t>
      </w:r>
    </w:p>
    <w:p>
      <w:pPr>
        <w:widowControl w:val="0"/>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2019年，苏州市地下水水情形势较好，水位降落漏斗范围逐渐缩小，整个苏州地区均为水情安全区。</w:t>
      </w:r>
    </w:p>
    <w:p>
      <w:pPr>
        <w:widowControl w:val="0"/>
        <w:spacing w:line="480" w:lineRule="exact"/>
        <w:ind w:firstLine="482" w:firstLineChars="200"/>
        <w:jc w:val="both"/>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（2）苏州吴中区</w:t>
      </w:r>
    </w:p>
    <w:p>
      <w:pPr>
        <w:widowControl w:val="0"/>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1）2017年</w:t>
      </w:r>
    </w:p>
    <w:p>
      <w:pPr>
        <w:widowControl w:val="0"/>
        <w:spacing w:line="480" w:lineRule="exact"/>
        <w:ind w:firstLine="482" w:firstLineChars="200"/>
        <w:jc w:val="both"/>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降水量：</w:t>
      </w:r>
      <w:r>
        <w:rPr>
          <w:rFonts w:hint="default" w:ascii="Times New Roman" w:hAnsi="Times New Roman" w:eastAsia="宋体" w:cs="Times New Roman"/>
          <w:b w:val="0"/>
          <w:bCs w:val="0"/>
          <w:color w:val="auto"/>
          <w:lang w:val="en-US" w:eastAsia="zh-CN"/>
        </w:rPr>
        <w:t>苏州吴中区2017年降水量为1031.6毫米，7.683亿立方米；太湖水面降水量993.0毫米，16.64亿立方米。</w:t>
      </w:r>
    </w:p>
    <w:p>
      <w:pPr>
        <w:widowControl w:val="0"/>
        <w:spacing w:line="480" w:lineRule="exact"/>
        <w:ind w:firstLine="482" w:firstLineChars="200"/>
        <w:jc w:val="both"/>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bCs/>
          <w:color w:val="auto"/>
          <w:lang w:val="en-US" w:eastAsia="zh-CN"/>
        </w:rPr>
        <w:t>水资源量：</w:t>
      </w:r>
      <w:r>
        <w:rPr>
          <w:rFonts w:hint="default" w:ascii="Times New Roman" w:hAnsi="Times New Roman" w:eastAsia="宋体" w:cs="Times New Roman"/>
          <w:b w:val="0"/>
          <w:bCs w:val="0"/>
          <w:color w:val="auto"/>
          <w:lang w:val="en-US" w:eastAsia="zh-CN"/>
        </w:rPr>
        <w:t>2017年苏州吴中区水资源量见下表。</w:t>
      </w:r>
    </w:p>
    <w:p>
      <w:pPr>
        <w:widowControl w:val="0"/>
        <w:spacing w:line="480" w:lineRule="exact"/>
        <w:ind w:firstLine="482" w:firstLineChars="20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表4.1-</w:t>
      </w:r>
      <w:r>
        <w:rPr>
          <w:rFonts w:hint="eastAsia" w:cs="Times New Roman"/>
          <w:b/>
          <w:bCs/>
          <w:color w:val="auto"/>
          <w:lang w:val="en-US" w:eastAsia="zh-CN"/>
        </w:rPr>
        <w:t>1</w:t>
      </w:r>
      <w:r>
        <w:rPr>
          <w:rFonts w:hint="default" w:ascii="Times New Roman" w:hAnsi="Times New Roman" w:eastAsia="宋体" w:cs="Times New Roman"/>
          <w:b/>
          <w:bCs/>
          <w:color w:val="auto"/>
          <w:lang w:val="en-US" w:eastAsia="zh-CN"/>
        </w:rPr>
        <w:t xml:space="preserve">  2017年苏州吴中区水资源量表</w:t>
      </w:r>
    </w:p>
    <w:tbl>
      <w:tblPr>
        <w:tblStyle w:val="5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1"/>
        <w:gridCol w:w="1435"/>
        <w:gridCol w:w="1320"/>
        <w:gridCol w:w="1320"/>
        <w:gridCol w:w="1320"/>
        <w:gridCol w:w="1201"/>
        <w:gridCol w:w="14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09"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地区</w:t>
            </w:r>
          </w:p>
        </w:tc>
        <w:tc>
          <w:tcPr>
            <w:tcW w:w="1443"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地表（亿m</w:t>
            </w:r>
            <w:r>
              <w:rPr>
                <w:rFonts w:hint="default" w:ascii="Times New Roman" w:hAnsi="Times New Roman" w:eastAsia="宋体" w:cs="Times New Roman"/>
                <w:color w:val="auto"/>
                <w:kern w:val="0"/>
                <w:vertAlign w:val="superscript"/>
                <w:lang w:val="en-US" w:eastAsia="zh-CN"/>
              </w:rPr>
              <w:t>3</w:t>
            </w:r>
            <w:r>
              <w:rPr>
                <w:rFonts w:hint="default" w:ascii="Times New Roman" w:hAnsi="Times New Roman" w:eastAsia="宋体" w:cs="Times New Roman"/>
                <w:color w:val="auto"/>
                <w:kern w:val="0"/>
                <w:lang w:val="en-US" w:eastAsia="zh-CN"/>
              </w:rPr>
              <w:t>）</w:t>
            </w:r>
          </w:p>
        </w:tc>
        <w:tc>
          <w:tcPr>
            <w:tcW w:w="1327"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地下（亿m</w:t>
            </w:r>
            <w:r>
              <w:rPr>
                <w:rFonts w:hint="default" w:ascii="Times New Roman" w:hAnsi="Times New Roman" w:eastAsia="宋体" w:cs="Times New Roman"/>
                <w:color w:val="auto"/>
                <w:kern w:val="0"/>
                <w:vertAlign w:val="superscript"/>
                <w:lang w:val="en-US" w:eastAsia="zh-CN"/>
              </w:rPr>
              <w:t>3</w:t>
            </w:r>
            <w:r>
              <w:rPr>
                <w:rFonts w:hint="default" w:ascii="Times New Roman" w:hAnsi="Times New Roman" w:eastAsia="宋体" w:cs="Times New Roman"/>
                <w:color w:val="auto"/>
                <w:kern w:val="0"/>
                <w:lang w:val="en-US" w:eastAsia="zh-CN"/>
              </w:rPr>
              <w:t>）</w:t>
            </w:r>
          </w:p>
        </w:tc>
        <w:tc>
          <w:tcPr>
            <w:tcW w:w="1327"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重复（亿m</w:t>
            </w:r>
            <w:r>
              <w:rPr>
                <w:rFonts w:hint="default" w:ascii="Times New Roman" w:hAnsi="Times New Roman" w:eastAsia="宋体" w:cs="Times New Roman"/>
                <w:color w:val="auto"/>
                <w:kern w:val="0"/>
                <w:vertAlign w:val="superscript"/>
                <w:lang w:val="en-US" w:eastAsia="zh-CN"/>
              </w:rPr>
              <w:t>3</w:t>
            </w:r>
            <w:r>
              <w:rPr>
                <w:rFonts w:hint="default" w:ascii="Times New Roman" w:hAnsi="Times New Roman" w:eastAsia="宋体" w:cs="Times New Roman"/>
                <w:color w:val="auto"/>
                <w:kern w:val="0"/>
                <w:lang w:val="en-US" w:eastAsia="zh-CN"/>
              </w:rPr>
              <w:t>）</w:t>
            </w:r>
          </w:p>
        </w:tc>
        <w:tc>
          <w:tcPr>
            <w:tcW w:w="1327"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水资源总量（亿m</w:t>
            </w:r>
            <w:r>
              <w:rPr>
                <w:rFonts w:hint="default" w:ascii="Times New Roman" w:hAnsi="Times New Roman" w:eastAsia="宋体" w:cs="Times New Roman"/>
                <w:color w:val="auto"/>
                <w:kern w:val="0"/>
                <w:vertAlign w:val="superscript"/>
                <w:lang w:val="en-US" w:eastAsia="zh-CN"/>
              </w:rPr>
              <w:t>3</w:t>
            </w:r>
            <w:r>
              <w:rPr>
                <w:rFonts w:hint="default" w:ascii="Times New Roman" w:hAnsi="Times New Roman" w:eastAsia="宋体" w:cs="Times New Roman"/>
                <w:color w:val="auto"/>
                <w:kern w:val="0"/>
                <w:lang w:val="en-US" w:eastAsia="zh-CN"/>
              </w:rPr>
              <w:t>）</w:t>
            </w:r>
          </w:p>
        </w:tc>
        <w:tc>
          <w:tcPr>
            <w:tcW w:w="1206"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产水系数</w:t>
            </w:r>
          </w:p>
        </w:tc>
        <w:tc>
          <w:tcPr>
            <w:tcW w:w="1448"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产水模数</w:t>
            </w:r>
          </w:p>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（万m</w:t>
            </w:r>
            <w:r>
              <w:rPr>
                <w:rFonts w:hint="default" w:ascii="Times New Roman" w:hAnsi="Times New Roman" w:eastAsia="宋体" w:cs="Times New Roman"/>
                <w:color w:val="auto"/>
                <w:kern w:val="0"/>
                <w:vertAlign w:val="superscript"/>
                <w:lang w:val="en-US" w:eastAsia="zh-CN"/>
              </w:rPr>
              <w:t>3</w:t>
            </w:r>
            <w:r>
              <w:rPr>
                <w:rFonts w:hint="default" w:ascii="Times New Roman" w:hAnsi="Times New Roman" w:eastAsia="宋体" w:cs="Times New Roman"/>
                <w:color w:val="auto"/>
                <w:kern w:val="0"/>
                <w:lang w:val="en-US" w:eastAsia="zh-CN"/>
              </w:rPr>
              <w:t>/km</w:t>
            </w:r>
            <w:r>
              <w:rPr>
                <w:rFonts w:hint="default" w:ascii="Times New Roman" w:hAnsi="Times New Roman" w:eastAsia="宋体" w:cs="Times New Roman"/>
                <w:color w:val="auto"/>
                <w:kern w:val="0"/>
                <w:vertAlign w:val="superscript"/>
                <w:lang w:val="en-US" w:eastAsia="zh-CN"/>
              </w:rPr>
              <w:t>2</w:t>
            </w:r>
            <w:r>
              <w:rPr>
                <w:rFonts w:hint="default" w:ascii="Times New Roman" w:hAnsi="Times New Roman" w:eastAsia="宋体" w:cs="Times New Roman"/>
                <w:color w:val="auto"/>
                <w:kern w:val="0"/>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09"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吴中区</w:t>
            </w:r>
          </w:p>
        </w:tc>
        <w:tc>
          <w:tcPr>
            <w:tcW w:w="1443"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1.874</w:t>
            </w:r>
          </w:p>
        </w:tc>
        <w:tc>
          <w:tcPr>
            <w:tcW w:w="1327"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0.842</w:t>
            </w:r>
          </w:p>
        </w:tc>
        <w:tc>
          <w:tcPr>
            <w:tcW w:w="1327"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0.366</w:t>
            </w:r>
          </w:p>
        </w:tc>
        <w:tc>
          <w:tcPr>
            <w:tcW w:w="1327"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2.350</w:t>
            </w:r>
          </w:p>
        </w:tc>
        <w:tc>
          <w:tcPr>
            <w:tcW w:w="1206"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0.306</w:t>
            </w:r>
          </w:p>
        </w:tc>
        <w:tc>
          <w:tcPr>
            <w:tcW w:w="1448"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31.56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09"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太湖水面</w:t>
            </w:r>
          </w:p>
        </w:tc>
        <w:tc>
          <w:tcPr>
            <w:tcW w:w="1443"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1.234</w:t>
            </w:r>
          </w:p>
        </w:tc>
        <w:tc>
          <w:tcPr>
            <w:tcW w:w="1327"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w:t>
            </w:r>
          </w:p>
        </w:tc>
        <w:tc>
          <w:tcPr>
            <w:tcW w:w="1327"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w:t>
            </w:r>
          </w:p>
        </w:tc>
        <w:tc>
          <w:tcPr>
            <w:tcW w:w="1327"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sz w:val="21"/>
                <w:lang w:val="en-US" w:eastAsia="zh-CN" w:bidi="ar-SA"/>
              </w:rPr>
            </w:pPr>
            <w:r>
              <w:rPr>
                <w:rFonts w:hint="default" w:ascii="Times New Roman" w:hAnsi="Times New Roman" w:eastAsia="宋体" w:cs="Times New Roman"/>
                <w:color w:val="auto"/>
                <w:kern w:val="0"/>
                <w:lang w:val="en-US" w:eastAsia="zh-CN"/>
              </w:rPr>
              <w:t>1.234</w:t>
            </w:r>
          </w:p>
        </w:tc>
        <w:tc>
          <w:tcPr>
            <w:tcW w:w="1206"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sz w:val="21"/>
                <w:lang w:val="en-US" w:eastAsia="zh-CN" w:bidi="ar-SA"/>
              </w:rPr>
            </w:pPr>
            <w:r>
              <w:rPr>
                <w:rFonts w:hint="default" w:ascii="Times New Roman" w:hAnsi="Times New Roman" w:eastAsia="宋体" w:cs="Times New Roman"/>
                <w:color w:val="auto"/>
                <w:kern w:val="0"/>
                <w:lang w:val="en-US" w:eastAsia="zh-CN"/>
              </w:rPr>
              <w:t>0.074</w:t>
            </w:r>
          </w:p>
        </w:tc>
        <w:tc>
          <w:tcPr>
            <w:tcW w:w="1448"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7.360</w:t>
            </w:r>
          </w:p>
        </w:tc>
      </w:tr>
    </w:tbl>
    <w:p>
      <w:pPr>
        <w:widowControl w:val="0"/>
        <w:spacing w:line="480" w:lineRule="exact"/>
        <w:ind w:firstLine="482" w:firstLineChars="200"/>
        <w:jc w:val="both"/>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水资源开发利用：</w:t>
      </w:r>
      <w:r>
        <w:rPr>
          <w:rFonts w:hint="default" w:ascii="Times New Roman" w:hAnsi="Times New Roman" w:eastAsia="宋体" w:cs="Times New Roman"/>
          <w:b w:val="0"/>
          <w:bCs w:val="0"/>
          <w:color w:val="auto"/>
          <w:lang w:val="en-US" w:eastAsia="zh-CN"/>
        </w:rPr>
        <w:t>2017年苏州吴中区用水量2.3013亿m</w:t>
      </w:r>
      <w:r>
        <w:rPr>
          <w:rFonts w:hint="default" w:ascii="Times New Roman" w:hAnsi="Times New Roman" w:eastAsia="宋体" w:cs="Times New Roman"/>
          <w:b w:val="0"/>
          <w:bCs w:val="0"/>
          <w:color w:val="auto"/>
          <w:vertAlign w:val="superscript"/>
          <w:lang w:val="en-US" w:eastAsia="zh-CN"/>
        </w:rPr>
        <w:t>3</w:t>
      </w:r>
      <w:r>
        <w:rPr>
          <w:rFonts w:hint="default" w:ascii="Times New Roman" w:hAnsi="Times New Roman" w:eastAsia="宋体" w:cs="Times New Roman"/>
          <w:b w:val="0"/>
          <w:bCs w:val="0"/>
          <w:color w:val="auto"/>
          <w:lang w:val="en-US" w:eastAsia="zh-CN"/>
        </w:rPr>
        <w:t>，其中农业用水量7639万m</w:t>
      </w:r>
      <w:r>
        <w:rPr>
          <w:rFonts w:hint="default" w:ascii="Times New Roman" w:hAnsi="Times New Roman" w:eastAsia="宋体" w:cs="Times New Roman"/>
          <w:b w:val="0"/>
          <w:bCs w:val="0"/>
          <w:color w:val="auto"/>
          <w:vertAlign w:val="superscript"/>
          <w:lang w:val="en-US" w:eastAsia="zh-CN"/>
        </w:rPr>
        <w:t>3</w:t>
      </w:r>
      <w:r>
        <w:rPr>
          <w:rFonts w:hint="default" w:ascii="Times New Roman" w:hAnsi="Times New Roman" w:eastAsia="宋体" w:cs="Times New Roman"/>
          <w:b w:val="0"/>
          <w:bCs w:val="0"/>
          <w:color w:val="auto"/>
          <w:lang w:val="en-US" w:eastAsia="zh-CN"/>
        </w:rPr>
        <w:t>，工业用水量7613万m</w:t>
      </w:r>
      <w:r>
        <w:rPr>
          <w:rFonts w:hint="default" w:ascii="Times New Roman" w:hAnsi="Times New Roman" w:eastAsia="宋体" w:cs="Times New Roman"/>
          <w:b w:val="0"/>
          <w:bCs w:val="0"/>
          <w:color w:val="auto"/>
          <w:vertAlign w:val="superscript"/>
          <w:lang w:val="en-US" w:eastAsia="zh-CN"/>
        </w:rPr>
        <w:t>3</w:t>
      </w:r>
      <w:r>
        <w:rPr>
          <w:rFonts w:hint="default" w:ascii="Times New Roman" w:hAnsi="Times New Roman" w:eastAsia="宋体" w:cs="Times New Roman"/>
          <w:b w:val="0"/>
          <w:bCs w:val="0"/>
          <w:color w:val="auto"/>
          <w:lang w:val="en-US" w:eastAsia="zh-CN"/>
        </w:rPr>
        <w:t>，生活用水量7760万m</w:t>
      </w:r>
      <w:r>
        <w:rPr>
          <w:rFonts w:hint="default" w:ascii="Times New Roman" w:hAnsi="Times New Roman" w:eastAsia="宋体" w:cs="Times New Roman"/>
          <w:b w:val="0"/>
          <w:bCs w:val="0"/>
          <w:color w:val="auto"/>
          <w:vertAlign w:val="superscript"/>
          <w:lang w:val="en-US" w:eastAsia="zh-CN"/>
        </w:rPr>
        <w:t>3</w:t>
      </w:r>
      <w:r>
        <w:rPr>
          <w:rFonts w:hint="default" w:ascii="Times New Roman" w:hAnsi="Times New Roman" w:eastAsia="宋体" w:cs="Times New Roman"/>
          <w:b w:val="0"/>
          <w:bCs w:val="0"/>
          <w:color w:val="auto"/>
          <w:lang w:val="en-US" w:eastAsia="zh-CN"/>
        </w:rPr>
        <w:t>。</w:t>
      </w:r>
    </w:p>
    <w:p>
      <w:pPr>
        <w:widowControl w:val="0"/>
        <w:spacing w:line="480" w:lineRule="exact"/>
        <w:ind w:firstLine="482" w:firstLineChars="200"/>
        <w:jc w:val="both"/>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区域供水水源地水质：</w:t>
      </w:r>
      <w:r>
        <w:rPr>
          <w:rFonts w:hint="default" w:ascii="Times New Roman" w:hAnsi="Times New Roman" w:eastAsia="宋体" w:cs="Times New Roman"/>
          <w:color w:val="auto"/>
          <w:lang w:val="en-US" w:eastAsia="zh-CN"/>
        </w:rPr>
        <w:t>2017年苏州太湖渔洋山源地水质年度综合评价（pH、高锰酸盐指数、氨氮、氯化物、氟化物）为Ⅱ类。</w:t>
      </w:r>
    </w:p>
    <w:p>
      <w:pPr>
        <w:widowControl w:val="0"/>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2）2018年</w:t>
      </w:r>
    </w:p>
    <w:p>
      <w:pPr>
        <w:widowControl w:val="0"/>
        <w:spacing w:line="480" w:lineRule="exact"/>
        <w:ind w:firstLine="482" w:firstLineChars="200"/>
        <w:jc w:val="both"/>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降水量：</w:t>
      </w:r>
      <w:r>
        <w:rPr>
          <w:rFonts w:hint="default" w:ascii="Times New Roman" w:hAnsi="Times New Roman" w:eastAsia="宋体" w:cs="Times New Roman"/>
          <w:b w:val="0"/>
          <w:bCs w:val="0"/>
          <w:color w:val="auto"/>
          <w:lang w:val="en-US" w:eastAsia="zh-CN"/>
        </w:rPr>
        <w:t>苏州吴中区2018年降水量为1194.1毫米，26.64亿立方米；太湖（吴中区）降水量1221.1毫米，18.15亿立方米。</w:t>
      </w:r>
    </w:p>
    <w:p>
      <w:pPr>
        <w:widowControl w:val="0"/>
        <w:spacing w:line="480" w:lineRule="exact"/>
        <w:ind w:firstLine="482" w:firstLineChars="200"/>
        <w:jc w:val="both"/>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bCs/>
          <w:color w:val="auto"/>
          <w:lang w:val="en-US" w:eastAsia="zh-CN"/>
        </w:rPr>
        <w:t>水资源量：</w:t>
      </w:r>
      <w:r>
        <w:rPr>
          <w:rFonts w:hint="default" w:ascii="Times New Roman" w:hAnsi="Times New Roman" w:eastAsia="宋体" w:cs="Times New Roman"/>
          <w:b w:val="0"/>
          <w:bCs w:val="0"/>
          <w:color w:val="auto"/>
          <w:lang w:val="en-US" w:eastAsia="zh-CN"/>
        </w:rPr>
        <w:t>2018年苏州吴中区水资源量见下表。</w:t>
      </w:r>
    </w:p>
    <w:p>
      <w:pPr>
        <w:widowControl w:val="0"/>
        <w:spacing w:line="480" w:lineRule="exact"/>
        <w:ind w:firstLine="482" w:firstLineChars="20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表4.1-</w:t>
      </w:r>
      <w:r>
        <w:rPr>
          <w:rFonts w:hint="eastAsia" w:cs="Times New Roman"/>
          <w:b/>
          <w:bCs/>
          <w:color w:val="auto"/>
          <w:lang w:val="en-US" w:eastAsia="zh-CN"/>
        </w:rPr>
        <w:t>2</w:t>
      </w:r>
      <w:r>
        <w:rPr>
          <w:rFonts w:hint="default" w:ascii="Times New Roman" w:hAnsi="Times New Roman" w:eastAsia="宋体" w:cs="Times New Roman"/>
          <w:b/>
          <w:bCs/>
          <w:color w:val="auto"/>
          <w:lang w:val="en-US" w:eastAsia="zh-CN"/>
        </w:rPr>
        <w:t xml:space="preserve">  2018年苏州吴中区水资源量表</w:t>
      </w:r>
    </w:p>
    <w:tbl>
      <w:tblPr>
        <w:tblStyle w:val="5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2"/>
        <w:gridCol w:w="1435"/>
        <w:gridCol w:w="1320"/>
        <w:gridCol w:w="1320"/>
        <w:gridCol w:w="1320"/>
        <w:gridCol w:w="1200"/>
        <w:gridCol w:w="14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09"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地区</w:t>
            </w:r>
          </w:p>
        </w:tc>
        <w:tc>
          <w:tcPr>
            <w:tcW w:w="1443"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地表（亿m</w:t>
            </w:r>
            <w:r>
              <w:rPr>
                <w:rFonts w:hint="default" w:ascii="Times New Roman" w:hAnsi="Times New Roman" w:eastAsia="宋体" w:cs="Times New Roman"/>
                <w:color w:val="auto"/>
                <w:kern w:val="0"/>
                <w:vertAlign w:val="superscript"/>
                <w:lang w:val="en-US" w:eastAsia="zh-CN"/>
              </w:rPr>
              <w:t>3</w:t>
            </w:r>
            <w:r>
              <w:rPr>
                <w:rFonts w:hint="default" w:ascii="Times New Roman" w:hAnsi="Times New Roman" w:eastAsia="宋体" w:cs="Times New Roman"/>
                <w:color w:val="auto"/>
                <w:kern w:val="0"/>
                <w:lang w:val="en-US" w:eastAsia="zh-CN"/>
              </w:rPr>
              <w:t>）</w:t>
            </w:r>
          </w:p>
        </w:tc>
        <w:tc>
          <w:tcPr>
            <w:tcW w:w="1327"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地下（亿m</w:t>
            </w:r>
            <w:r>
              <w:rPr>
                <w:rFonts w:hint="default" w:ascii="Times New Roman" w:hAnsi="Times New Roman" w:eastAsia="宋体" w:cs="Times New Roman"/>
                <w:color w:val="auto"/>
                <w:kern w:val="0"/>
                <w:vertAlign w:val="superscript"/>
                <w:lang w:val="en-US" w:eastAsia="zh-CN"/>
              </w:rPr>
              <w:t>3</w:t>
            </w:r>
            <w:r>
              <w:rPr>
                <w:rFonts w:hint="default" w:ascii="Times New Roman" w:hAnsi="Times New Roman" w:eastAsia="宋体" w:cs="Times New Roman"/>
                <w:color w:val="auto"/>
                <w:kern w:val="0"/>
                <w:lang w:val="en-US" w:eastAsia="zh-CN"/>
              </w:rPr>
              <w:t>）</w:t>
            </w:r>
          </w:p>
        </w:tc>
        <w:tc>
          <w:tcPr>
            <w:tcW w:w="1327"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重复（亿m</w:t>
            </w:r>
            <w:r>
              <w:rPr>
                <w:rFonts w:hint="default" w:ascii="Times New Roman" w:hAnsi="Times New Roman" w:eastAsia="宋体" w:cs="Times New Roman"/>
                <w:color w:val="auto"/>
                <w:kern w:val="0"/>
                <w:vertAlign w:val="superscript"/>
                <w:lang w:val="en-US" w:eastAsia="zh-CN"/>
              </w:rPr>
              <w:t>3</w:t>
            </w:r>
            <w:r>
              <w:rPr>
                <w:rFonts w:hint="default" w:ascii="Times New Roman" w:hAnsi="Times New Roman" w:eastAsia="宋体" w:cs="Times New Roman"/>
                <w:color w:val="auto"/>
                <w:kern w:val="0"/>
                <w:lang w:val="en-US" w:eastAsia="zh-CN"/>
              </w:rPr>
              <w:t>）</w:t>
            </w:r>
          </w:p>
        </w:tc>
        <w:tc>
          <w:tcPr>
            <w:tcW w:w="1327"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水资源总量（亿m</w:t>
            </w:r>
            <w:r>
              <w:rPr>
                <w:rFonts w:hint="default" w:ascii="Times New Roman" w:hAnsi="Times New Roman" w:eastAsia="宋体" w:cs="Times New Roman"/>
                <w:color w:val="auto"/>
                <w:kern w:val="0"/>
                <w:vertAlign w:val="superscript"/>
                <w:lang w:val="en-US" w:eastAsia="zh-CN"/>
              </w:rPr>
              <w:t>3</w:t>
            </w:r>
            <w:r>
              <w:rPr>
                <w:rFonts w:hint="default" w:ascii="Times New Roman" w:hAnsi="Times New Roman" w:eastAsia="宋体" w:cs="Times New Roman"/>
                <w:color w:val="auto"/>
                <w:kern w:val="0"/>
                <w:lang w:val="en-US" w:eastAsia="zh-CN"/>
              </w:rPr>
              <w:t>）</w:t>
            </w:r>
          </w:p>
        </w:tc>
        <w:tc>
          <w:tcPr>
            <w:tcW w:w="1206"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产水系数</w:t>
            </w:r>
          </w:p>
        </w:tc>
        <w:tc>
          <w:tcPr>
            <w:tcW w:w="1448"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产水模数</w:t>
            </w:r>
          </w:p>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（万m</w:t>
            </w:r>
            <w:r>
              <w:rPr>
                <w:rFonts w:hint="default" w:ascii="Times New Roman" w:hAnsi="Times New Roman" w:eastAsia="宋体" w:cs="Times New Roman"/>
                <w:color w:val="auto"/>
                <w:kern w:val="0"/>
                <w:vertAlign w:val="superscript"/>
                <w:lang w:val="en-US" w:eastAsia="zh-CN"/>
              </w:rPr>
              <w:t>3</w:t>
            </w:r>
            <w:r>
              <w:rPr>
                <w:rFonts w:hint="default" w:ascii="Times New Roman" w:hAnsi="Times New Roman" w:eastAsia="宋体" w:cs="Times New Roman"/>
                <w:color w:val="auto"/>
                <w:kern w:val="0"/>
                <w:lang w:val="en-US" w:eastAsia="zh-CN"/>
              </w:rPr>
              <w:t>/km</w:t>
            </w:r>
            <w:r>
              <w:rPr>
                <w:rFonts w:hint="default" w:ascii="Times New Roman" w:hAnsi="Times New Roman" w:eastAsia="宋体" w:cs="Times New Roman"/>
                <w:color w:val="auto"/>
                <w:kern w:val="0"/>
                <w:vertAlign w:val="superscript"/>
                <w:lang w:val="en-US" w:eastAsia="zh-CN"/>
              </w:rPr>
              <w:t>2</w:t>
            </w:r>
            <w:r>
              <w:rPr>
                <w:rFonts w:hint="default" w:ascii="Times New Roman" w:hAnsi="Times New Roman" w:eastAsia="宋体" w:cs="Times New Roman"/>
                <w:color w:val="auto"/>
                <w:kern w:val="0"/>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09"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吴中区</w:t>
            </w:r>
          </w:p>
        </w:tc>
        <w:tc>
          <w:tcPr>
            <w:tcW w:w="1443"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6.697</w:t>
            </w:r>
          </w:p>
        </w:tc>
        <w:tc>
          <w:tcPr>
            <w:tcW w:w="1327"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0.924</w:t>
            </w:r>
          </w:p>
        </w:tc>
        <w:tc>
          <w:tcPr>
            <w:tcW w:w="1327"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0.460</w:t>
            </w:r>
          </w:p>
        </w:tc>
        <w:tc>
          <w:tcPr>
            <w:tcW w:w="1327"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7.162</w:t>
            </w:r>
          </w:p>
        </w:tc>
        <w:tc>
          <w:tcPr>
            <w:tcW w:w="1206"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0.269</w:t>
            </w:r>
          </w:p>
        </w:tc>
        <w:tc>
          <w:tcPr>
            <w:tcW w:w="1448"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32.09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09"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太湖</w:t>
            </w:r>
          </w:p>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（吴中区）</w:t>
            </w:r>
          </w:p>
        </w:tc>
        <w:tc>
          <w:tcPr>
            <w:tcW w:w="1443"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4.627</w:t>
            </w:r>
          </w:p>
        </w:tc>
        <w:tc>
          <w:tcPr>
            <w:tcW w:w="1327"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w:t>
            </w:r>
          </w:p>
        </w:tc>
        <w:tc>
          <w:tcPr>
            <w:tcW w:w="1327"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w:t>
            </w:r>
          </w:p>
        </w:tc>
        <w:tc>
          <w:tcPr>
            <w:tcW w:w="1327"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sz w:val="21"/>
                <w:lang w:val="en-US" w:eastAsia="zh-CN" w:bidi="ar-SA"/>
              </w:rPr>
            </w:pPr>
            <w:r>
              <w:rPr>
                <w:rFonts w:hint="default" w:ascii="Times New Roman" w:hAnsi="Times New Roman" w:eastAsia="宋体" w:cs="Times New Roman"/>
                <w:color w:val="auto"/>
                <w:kern w:val="0"/>
                <w:lang w:val="en-US" w:eastAsia="zh-CN"/>
              </w:rPr>
              <w:t>4.627</w:t>
            </w:r>
          </w:p>
        </w:tc>
        <w:tc>
          <w:tcPr>
            <w:tcW w:w="1206"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sz w:val="21"/>
                <w:lang w:val="en-US" w:eastAsia="zh-CN" w:bidi="ar-SA"/>
              </w:rPr>
            </w:pPr>
            <w:r>
              <w:rPr>
                <w:rFonts w:hint="default" w:ascii="Times New Roman" w:hAnsi="Times New Roman" w:eastAsia="宋体" w:cs="Times New Roman"/>
                <w:color w:val="auto"/>
                <w:kern w:val="0"/>
                <w:lang w:val="en-US" w:eastAsia="zh-CN"/>
              </w:rPr>
              <w:t>0.255</w:t>
            </w:r>
          </w:p>
        </w:tc>
        <w:tc>
          <w:tcPr>
            <w:tcW w:w="1448"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31.12</w:t>
            </w:r>
          </w:p>
        </w:tc>
      </w:tr>
    </w:tbl>
    <w:p>
      <w:pPr>
        <w:widowControl w:val="0"/>
        <w:spacing w:line="480" w:lineRule="exact"/>
        <w:ind w:firstLine="482" w:firstLineChars="200"/>
        <w:jc w:val="both"/>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水资源开发利用：</w:t>
      </w:r>
      <w:r>
        <w:rPr>
          <w:rFonts w:hint="default" w:ascii="Times New Roman" w:hAnsi="Times New Roman" w:eastAsia="宋体" w:cs="Times New Roman"/>
          <w:b w:val="0"/>
          <w:bCs w:val="0"/>
          <w:color w:val="auto"/>
          <w:lang w:val="en-US" w:eastAsia="zh-CN"/>
        </w:rPr>
        <w:t>2018年苏州吴中区用水量2.3167亿m</w:t>
      </w:r>
      <w:r>
        <w:rPr>
          <w:rFonts w:hint="default" w:ascii="Times New Roman" w:hAnsi="Times New Roman" w:eastAsia="宋体" w:cs="Times New Roman"/>
          <w:b w:val="0"/>
          <w:bCs w:val="0"/>
          <w:color w:val="auto"/>
          <w:vertAlign w:val="superscript"/>
          <w:lang w:val="en-US" w:eastAsia="zh-CN"/>
        </w:rPr>
        <w:t>3</w:t>
      </w:r>
      <w:r>
        <w:rPr>
          <w:rFonts w:hint="default" w:ascii="Times New Roman" w:hAnsi="Times New Roman" w:eastAsia="宋体" w:cs="Times New Roman"/>
          <w:b w:val="0"/>
          <w:bCs w:val="0"/>
          <w:color w:val="auto"/>
          <w:lang w:val="en-US" w:eastAsia="zh-CN"/>
        </w:rPr>
        <w:t>，其中农业用水量6713万m</w:t>
      </w:r>
      <w:r>
        <w:rPr>
          <w:rFonts w:hint="default" w:ascii="Times New Roman" w:hAnsi="Times New Roman" w:eastAsia="宋体" w:cs="Times New Roman"/>
          <w:b w:val="0"/>
          <w:bCs w:val="0"/>
          <w:color w:val="auto"/>
          <w:vertAlign w:val="superscript"/>
          <w:lang w:val="en-US" w:eastAsia="zh-CN"/>
        </w:rPr>
        <w:t>3</w:t>
      </w:r>
      <w:r>
        <w:rPr>
          <w:rFonts w:hint="default" w:ascii="Times New Roman" w:hAnsi="Times New Roman" w:eastAsia="宋体" w:cs="Times New Roman"/>
          <w:b w:val="0"/>
          <w:bCs w:val="0"/>
          <w:color w:val="auto"/>
          <w:lang w:val="en-US" w:eastAsia="zh-CN"/>
        </w:rPr>
        <w:t>，工业用水量7605万m</w:t>
      </w:r>
      <w:r>
        <w:rPr>
          <w:rFonts w:hint="default" w:ascii="Times New Roman" w:hAnsi="Times New Roman" w:eastAsia="宋体" w:cs="Times New Roman"/>
          <w:b w:val="0"/>
          <w:bCs w:val="0"/>
          <w:color w:val="auto"/>
          <w:vertAlign w:val="superscript"/>
          <w:lang w:val="en-US" w:eastAsia="zh-CN"/>
        </w:rPr>
        <w:t>3</w:t>
      </w:r>
      <w:r>
        <w:rPr>
          <w:rFonts w:hint="default" w:ascii="Times New Roman" w:hAnsi="Times New Roman" w:eastAsia="宋体" w:cs="Times New Roman"/>
          <w:b w:val="0"/>
          <w:bCs w:val="0"/>
          <w:color w:val="auto"/>
          <w:lang w:val="en-US" w:eastAsia="zh-CN"/>
        </w:rPr>
        <w:t>，生活用水量8849万m</w:t>
      </w:r>
      <w:r>
        <w:rPr>
          <w:rFonts w:hint="default" w:ascii="Times New Roman" w:hAnsi="Times New Roman" w:eastAsia="宋体" w:cs="Times New Roman"/>
          <w:b w:val="0"/>
          <w:bCs w:val="0"/>
          <w:color w:val="auto"/>
          <w:vertAlign w:val="superscript"/>
          <w:lang w:val="en-US" w:eastAsia="zh-CN"/>
        </w:rPr>
        <w:t>3</w:t>
      </w:r>
      <w:r>
        <w:rPr>
          <w:rFonts w:hint="default" w:ascii="Times New Roman" w:hAnsi="Times New Roman" w:eastAsia="宋体" w:cs="Times New Roman"/>
          <w:b w:val="0"/>
          <w:bCs w:val="0"/>
          <w:color w:val="auto"/>
          <w:lang w:val="en-US" w:eastAsia="zh-CN"/>
        </w:rPr>
        <w:t>。</w:t>
      </w:r>
    </w:p>
    <w:p>
      <w:pPr>
        <w:widowControl w:val="0"/>
        <w:spacing w:line="480" w:lineRule="exact"/>
        <w:ind w:firstLine="482" w:firstLineChars="200"/>
        <w:jc w:val="both"/>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区域供水水源地水质：</w:t>
      </w:r>
      <w:r>
        <w:rPr>
          <w:rFonts w:hint="default" w:ascii="Times New Roman" w:hAnsi="Times New Roman" w:eastAsia="宋体" w:cs="Times New Roman"/>
          <w:color w:val="auto"/>
          <w:lang w:val="en-US" w:eastAsia="zh-CN"/>
        </w:rPr>
        <w:t>2018年苏州太湖渔洋山源地水质年度综合评价（溶解氧、pH、高锰酸盐指数、氨氮、氯化物、氟化物）为Ⅱ类。</w:t>
      </w:r>
    </w:p>
    <w:p>
      <w:pPr>
        <w:widowControl w:val="0"/>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3）2019年</w:t>
      </w:r>
    </w:p>
    <w:p>
      <w:pPr>
        <w:widowControl w:val="0"/>
        <w:spacing w:line="480" w:lineRule="exact"/>
        <w:ind w:firstLine="482" w:firstLineChars="200"/>
        <w:jc w:val="both"/>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降水量：</w:t>
      </w:r>
      <w:r>
        <w:rPr>
          <w:rFonts w:hint="default" w:ascii="Times New Roman" w:hAnsi="Times New Roman" w:eastAsia="宋体" w:cs="Times New Roman"/>
          <w:b w:val="0"/>
          <w:bCs w:val="0"/>
          <w:color w:val="auto"/>
          <w:lang w:val="en-US" w:eastAsia="zh-CN"/>
        </w:rPr>
        <w:t>苏州吴中区2019年降水量为1150.3毫米，25.67亿立方米；太湖（吴中区）降水量1177.2毫米，17.50亿立方米。</w:t>
      </w:r>
    </w:p>
    <w:p>
      <w:pPr>
        <w:widowControl w:val="0"/>
        <w:spacing w:line="480" w:lineRule="exact"/>
        <w:ind w:firstLine="482" w:firstLineChars="200"/>
        <w:jc w:val="both"/>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bCs/>
          <w:color w:val="auto"/>
          <w:lang w:val="en-US" w:eastAsia="zh-CN"/>
        </w:rPr>
        <w:t>水资源量：</w:t>
      </w:r>
      <w:r>
        <w:rPr>
          <w:rFonts w:hint="default" w:ascii="Times New Roman" w:hAnsi="Times New Roman" w:eastAsia="宋体" w:cs="Times New Roman"/>
          <w:b w:val="0"/>
          <w:bCs w:val="0"/>
          <w:color w:val="auto"/>
          <w:lang w:val="en-US" w:eastAsia="zh-CN"/>
        </w:rPr>
        <w:t>2019年苏州吴中区水资源量见下表。</w:t>
      </w:r>
    </w:p>
    <w:p>
      <w:pPr>
        <w:widowControl w:val="0"/>
        <w:spacing w:line="480" w:lineRule="exact"/>
        <w:ind w:firstLine="482" w:firstLineChars="20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表4.1-3  2019年苏州吴中区水资源量表</w:t>
      </w:r>
    </w:p>
    <w:tbl>
      <w:tblPr>
        <w:tblStyle w:val="5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2"/>
        <w:gridCol w:w="1435"/>
        <w:gridCol w:w="1320"/>
        <w:gridCol w:w="1320"/>
        <w:gridCol w:w="1320"/>
        <w:gridCol w:w="1200"/>
        <w:gridCol w:w="14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209"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地区</w:t>
            </w:r>
          </w:p>
        </w:tc>
        <w:tc>
          <w:tcPr>
            <w:tcW w:w="1443"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地表（亿m</w:t>
            </w:r>
            <w:r>
              <w:rPr>
                <w:rFonts w:hint="default" w:ascii="Times New Roman" w:hAnsi="Times New Roman" w:eastAsia="宋体" w:cs="Times New Roman"/>
                <w:color w:val="auto"/>
                <w:kern w:val="0"/>
                <w:vertAlign w:val="superscript"/>
                <w:lang w:val="en-US" w:eastAsia="zh-CN"/>
              </w:rPr>
              <w:t>3</w:t>
            </w:r>
            <w:r>
              <w:rPr>
                <w:rFonts w:hint="default" w:ascii="Times New Roman" w:hAnsi="Times New Roman" w:eastAsia="宋体" w:cs="Times New Roman"/>
                <w:color w:val="auto"/>
                <w:kern w:val="0"/>
                <w:lang w:val="en-US" w:eastAsia="zh-CN"/>
              </w:rPr>
              <w:t>）</w:t>
            </w:r>
          </w:p>
        </w:tc>
        <w:tc>
          <w:tcPr>
            <w:tcW w:w="1327"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地下（亿m</w:t>
            </w:r>
            <w:r>
              <w:rPr>
                <w:rFonts w:hint="default" w:ascii="Times New Roman" w:hAnsi="Times New Roman" w:eastAsia="宋体" w:cs="Times New Roman"/>
                <w:color w:val="auto"/>
                <w:kern w:val="0"/>
                <w:vertAlign w:val="superscript"/>
                <w:lang w:val="en-US" w:eastAsia="zh-CN"/>
              </w:rPr>
              <w:t>3</w:t>
            </w:r>
            <w:r>
              <w:rPr>
                <w:rFonts w:hint="default" w:ascii="Times New Roman" w:hAnsi="Times New Roman" w:eastAsia="宋体" w:cs="Times New Roman"/>
                <w:color w:val="auto"/>
                <w:kern w:val="0"/>
                <w:lang w:val="en-US" w:eastAsia="zh-CN"/>
              </w:rPr>
              <w:t>）</w:t>
            </w:r>
          </w:p>
        </w:tc>
        <w:tc>
          <w:tcPr>
            <w:tcW w:w="1327"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重复（亿m</w:t>
            </w:r>
            <w:r>
              <w:rPr>
                <w:rFonts w:hint="default" w:ascii="Times New Roman" w:hAnsi="Times New Roman" w:eastAsia="宋体" w:cs="Times New Roman"/>
                <w:color w:val="auto"/>
                <w:kern w:val="0"/>
                <w:vertAlign w:val="superscript"/>
                <w:lang w:val="en-US" w:eastAsia="zh-CN"/>
              </w:rPr>
              <w:t>3</w:t>
            </w:r>
            <w:r>
              <w:rPr>
                <w:rFonts w:hint="default" w:ascii="Times New Roman" w:hAnsi="Times New Roman" w:eastAsia="宋体" w:cs="Times New Roman"/>
                <w:color w:val="auto"/>
                <w:kern w:val="0"/>
                <w:lang w:val="en-US" w:eastAsia="zh-CN"/>
              </w:rPr>
              <w:t>）</w:t>
            </w:r>
          </w:p>
        </w:tc>
        <w:tc>
          <w:tcPr>
            <w:tcW w:w="1327"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水资源总量（亿m</w:t>
            </w:r>
            <w:r>
              <w:rPr>
                <w:rFonts w:hint="default" w:ascii="Times New Roman" w:hAnsi="Times New Roman" w:eastAsia="宋体" w:cs="Times New Roman"/>
                <w:color w:val="auto"/>
                <w:kern w:val="0"/>
                <w:vertAlign w:val="superscript"/>
                <w:lang w:val="en-US" w:eastAsia="zh-CN"/>
              </w:rPr>
              <w:t>3</w:t>
            </w:r>
            <w:r>
              <w:rPr>
                <w:rFonts w:hint="default" w:ascii="Times New Roman" w:hAnsi="Times New Roman" w:eastAsia="宋体" w:cs="Times New Roman"/>
                <w:color w:val="auto"/>
                <w:kern w:val="0"/>
                <w:lang w:val="en-US" w:eastAsia="zh-CN"/>
              </w:rPr>
              <w:t>）</w:t>
            </w:r>
          </w:p>
        </w:tc>
        <w:tc>
          <w:tcPr>
            <w:tcW w:w="1206"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产水系数</w:t>
            </w:r>
          </w:p>
        </w:tc>
        <w:tc>
          <w:tcPr>
            <w:tcW w:w="1448"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产水模数</w:t>
            </w:r>
          </w:p>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（万m</w:t>
            </w:r>
            <w:r>
              <w:rPr>
                <w:rFonts w:hint="default" w:ascii="Times New Roman" w:hAnsi="Times New Roman" w:eastAsia="宋体" w:cs="Times New Roman"/>
                <w:color w:val="auto"/>
                <w:kern w:val="0"/>
                <w:vertAlign w:val="superscript"/>
                <w:lang w:val="en-US" w:eastAsia="zh-CN"/>
              </w:rPr>
              <w:t>3</w:t>
            </w:r>
            <w:r>
              <w:rPr>
                <w:rFonts w:hint="default" w:ascii="Times New Roman" w:hAnsi="Times New Roman" w:eastAsia="宋体" w:cs="Times New Roman"/>
                <w:color w:val="auto"/>
                <w:kern w:val="0"/>
                <w:lang w:val="en-US" w:eastAsia="zh-CN"/>
              </w:rPr>
              <w:t>/km</w:t>
            </w:r>
            <w:r>
              <w:rPr>
                <w:rFonts w:hint="default" w:ascii="Times New Roman" w:hAnsi="Times New Roman" w:eastAsia="宋体" w:cs="Times New Roman"/>
                <w:color w:val="auto"/>
                <w:kern w:val="0"/>
                <w:vertAlign w:val="superscript"/>
                <w:lang w:val="en-US" w:eastAsia="zh-CN"/>
              </w:rPr>
              <w:t>2</w:t>
            </w:r>
            <w:r>
              <w:rPr>
                <w:rFonts w:hint="default" w:ascii="Times New Roman" w:hAnsi="Times New Roman" w:eastAsia="宋体" w:cs="Times New Roman"/>
                <w:color w:val="auto"/>
                <w:kern w:val="0"/>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09"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吴中区</w:t>
            </w:r>
          </w:p>
        </w:tc>
        <w:tc>
          <w:tcPr>
            <w:tcW w:w="1443"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6.679</w:t>
            </w:r>
          </w:p>
        </w:tc>
        <w:tc>
          <w:tcPr>
            <w:tcW w:w="1327"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0.894</w:t>
            </w:r>
          </w:p>
        </w:tc>
        <w:tc>
          <w:tcPr>
            <w:tcW w:w="1327"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0.432</w:t>
            </w:r>
          </w:p>
        </w:tc>
        <w:tc>
          <w:tcPr>
            <w:tcW w:w="1327"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7.141</w:t>
            </w:r>
          </w:p>
        </w:tc>
        <w:tc>
          <w:tcPr>
            <w:tcW w:w="1206"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0.278</w:t>
            </w:r>
          </w:p>
        </w:tc>
        <w:tc>
          <w:tcPr>
            <w:tcW w:w="1448"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32.00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09"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太湖</w:t>
            </w:r>
          </w:p>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（吴中区）</w:t>
            </w:r>
          </w:p>
        </w:tc>
        <w:tc>
          <w:tcPr>
            <w:tcW w:w="1443"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3.250</w:t>
            </w:r>
          </w:p>
        </w:tc>
        <w:tc>
          <w:tcPr>
            <w:tcW w:w="1327"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w:t>
            </w:r>
          </w:p>
        </w:tc>
        <w:tc>
          <w:tcPr>
            <w:tcW w:w="1327"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w:t>
            </w:r>
          </w:p>
        </w:tc>
        <w:tc>
          <w:tcPr>
            <w:tcW w:w="1327"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sz w:val="21"/>
                <w:lang w:val="en-US" w:eastAsia="zh-CN" w:bidi="ar-SA"/>
              </w:rPr>
            </w:pPr>
            <w:r>
              <w:rPr>
                <w:rFonts w:hint="default" w:ascii="Times New Roman" w:hAnsi="Times New Roman" w:eastAsia="宋体" w:cs="Times New Roman"/>
                <w:color w:val="auto"/>
                <w:kern w:val="0"/>
                <w:lang w:val="en-US" w:eastAsia="zh-CN"/>
              </w:rPr>
              <w:t>3.250</w:t>
            </w:r>
          </w:p>
        </w:tc>
        <w:tc>
          <w:tcPr>
            <w:tcW w:w="1206"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sz w:val="21"/>
                <w:lang w:val="en-US" w:eastAsia="zh-CN" w:bidi="ar-SA"/>
              </w:rPr>
            </w:pPr>
            <w:r>
              <w:rPr>
                <w:rFonts w:hint="default" w:ascii="Times New Roman" w:hAnsi="Times New Roman" w:eastAsia="宋体" w:cs="Times New Roman"/>
                <w:color w:val="auto"/>
                <w:kern w:val="0"/>
                <w:lang w:val="en-US" w:eastAsia="zh-CN"/>
              </w:rPr>
              <w:t>0.186</w:t>
            </w:r>
          </w:p>
        </w:tc>
        <w:tc>
          <w:tcPr>
            <w:tcW w:w="1448" w:type="dxa"/>
            <w:tcBorders>
              <w:tl2br w:val="nil"/>
              <w:tr2bl w:val="nil"/>
            </w:tcBorders>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21.86</w:t>
            </w:r>
          </w:p>
        </w:tc>
      </w:tr>
    </w:tbl>
    <w:p>
      <w:pPr>
        <w:widowControl w:val="0"/>
        <w:spacing w:line="480" w:lineRule="exact"/>
        <w:ind w:firstLine="482" w:firstLineChars="200"/>
        <w:jc w:val="both"/>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bCs/>
          <w:color w:val="auto"/>
          <w:lang w:val="en-US" w:eastAsia="zh-CN"/>
        </w:rPr>
        <w:t>水资源开发利用：</w:t>
      </w:r>
      <w:r>
        <w:rPr>
          <w:rFonts w:hint="default" w:ascii="Times New Roman" w:hAnsi="Times New Roman" w:eastAsia="宋体" w:cs="Times New Roman"/>
          <w:b w:val="0"/>
          <w:bCs w:val="0"/>
          <w:color w:val="auto"/>
          <w:lang w:val="en-US" w:eastAsia="zh-CN"/>
        </w:rPr>
        <w:t>2019年苏州全市用水量47.68亿m</w:t>
      </w:r>
      <w:r>
        <w:rPr>
          <w:rFonts w:hint="default" w:ascii="Times New Roman" w:hAnsi="Times New Roman" w:eastAsia="宋体" w:cs="Times New Roman"/>
          <w:b w:val="0"/>
          <w:bCs w:val="0"/>
          <w:color w:val="auto"/>
          <w:vertAlign w:val="superscript"/>
          <w:lang w:val="en-US" w:eastAsia="zh-CN"/>
        </w:rPr>
        <w:t>3</w:t>
      </w:r>
      <w:r>
        <w:rPr>
          <w:rFonts w:hint="default" w:ascii="Times New Roman" w:hAnsi="Times New Roman" w:eastAsia="宋体" w:cs="Times New Roman"/>
          <w:b w:val="0"/>
          <w:bCs w:val="0"/>
          <w:color w:val="auto"/>
          <w:lang w:val="en-US" w:eastAsia="zh-CN"/>
        </w:rPr>
        <w:t>，其中农业用水量为12.36亿m</w:t>
      </w:r>
      <w:r>
        <w:rPr>
          <w:rFonts w:hint="default" w:ascii="Times New Roman" w:hAnsi="Times New Roman" w:eastAsia="宋体" w:cs="Times New Roman"/>
          <w:b w:val="0"/>
          <w:bCs w:val="0"/>
          <w:color w:val="auto"/>
          <w:vertAlign w:val="superscript"/>
          <w:lang w:val="en-US" w:eastAsia="zh-CN"/>
        </w:rPr>
        <w:t>3</w:t>
      </w:r>
      <w:r>
        <w:rPr>
          <w:rFonts w:hint="default" w:ascii="Times New Roman" w:hAnsi="Times New Roman" w:eastAsia="宋体" w:cs="Times New Roman"/>
          <w:b w:val="0"/>
          <w:bCs w:val="0"/>
          <w:color w:val="auto"/>
          <w:lang w:val="en-US" w:eastAsia="zh-CN"/>
        </w:rPr>
        <w:t>，工业用水量为24.52亿m</w:t>
      </w:r>
      <w:r>
        <w:rPr>
          <w:rFonts w:hint="default" w:ascii="Times New Roman" w:hAnsi="Times New Roman" w:eastAsia="宋体" w:cs="Times New Roman"/>
          <w:b w:val="0"/>
          <w:bCs w:val="0"/>
          <w:color w:val="auto"/>
          <w:vertAlign w:val="superscript"/>
          <w:lang w:val="en-US" w:eastAsia="zh-CN"/>
        </w:rPr>
        <w:t>3</w:t>
      </w:r>
      <w:r>
        <w:rPr>
          <w:rFonts w:hint="default" w:ascii="Times New Roman" w:hAnsi="Times New Roman" w:eastAsia="宋体" w:cs="Times New Roman"/>
          <w:b w:val="0"/>
          <w:bCs w:val="0"/>
          <w:color w:val="auto"/>
          <w:lang w:val="en-US" w:eastAsia="zh-CN"/>
        </w:rPr>
        <w:t>，生活用水量为10.40亿m</w:t>
      </w:r>
      <w:r>
        <w:rPr>
          <w:rFonts w:hint="default" w:ascii="Times New Roman" w:hAnsi="Times New Roman" w:eastAsia="宋体" w:cs="Times New Roman"/>
          <w:b w:val="0"/>
          <w:bCs w:val="0"/>
          <w:color w:val="auto"/>
          <w:vertAlign w:val="superscript"/>
          <w:lang w:val="en-US" w:eastAsia="zh-CN"/>
        </w:rPr>
        <w:t>3</w:t>
      </w:r>
      <w:r>
        <w:rPr>
          <w:rFonts w:hint="default" w:ascii="Times New Roman" w:hAnsi="Times New Roman" w:eastAsia="宋体" w:cs="Times New Roman"/>
          <w:b w:val="0"/>
          <w:bCs w:val="0"/>
          <w:color w:val="auto"/>
          <w:lang w:val="en-US" w:eastAsia="zh-CN"/>
        </w:rPr>
        <w:t>，人工生态环境补水量为0.400亿m</w:t>
      </w:r>
      <w:r>
        <w:rPr>
          <w:rFonts w:hint="default" w:ascii="Times New Roman" w:hAnsi="Times New Roman" w:eastAsia="宋体" w:cs="Times New Roman"/>
          <w:b w:val="0"/>
          <w:bCs w:val="0"/>
          <w:color w:val="auto"/>
          <w:vertAlign w:val="superscript"/>
          <w:lang w:val="en-US" w:eastAsia="zh-CN"/>
        </w:rPr>
        <w:t>3</w:t>
      </w:r>
      <w:r>
        <w:rPr>
          <w:rFonts w:hint="default" w:ascii="Times New Roman" w:hAnsi="Times New Roman" w:eastAsia="宋体" w:cs="Times New Roman"/>
          <w:b w:val="0"/>
          <w:bCs w:val="0"/>
          <w:color w:val="auto"/>
          <w:lang w:val="en-US" w:eastAsia="zh-CN"/>
        </w:rPr>
        <w:t>。</w:t>
      </w:r>
    </w:p>
    <w:p>
      <w:pPr>
        <w:widowControl w:val="0"/>
        <w:spacing w:line="480" w:lineRule="exact"/>
        <w:ind w:firstLine="482" w:firstLineChars="200"/>
        <w:jc w:val="both"/>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区域供水水源地水质：</w:t>
      </w:r>
      <w:r>
        <w:rPr>
          <w:rFonts w:hint="default" w:ascii="Times New Roman" w:hAnsi="Times New Roman" w:eastAsia="宋体" w:cs="Times New Roman"/>
          <w:color w:val="auto"/>
          <w:lang w:val="en-US" w:eastAsia="zh-CN"/>
        </w:rPr>
        <w:t>2019年苏州太湖渔洋山源地水质年度综合评价为Ⅱ类。</w:t>
      </w:r>
    </w:p>
    <w:p>
      <w:pPr>
        <w:pStyle w:val="4"/>
        <w:spacing w:before="117" w:after="117"/>
        <w:jc w:val="both"/>
        <w:rPr>
          <w:rFonts w:hint="default" w:ascii="Times New Roman" w:hAnsi="Times New Roman" w:eastAsia="宋体" w:cs="Times New Roman"/>
          <w:color w:val="auto"/>
        </w:rPr>
      </w:pPr>
      <w:bookmarkStart w:id="271" w:name="_Toc492644435"/>
      <w:bookmarkStart w:id="272" w:name="_Toc10797"/>
      <w:r>
        <w:rPr>
          <w:rFonts w:hint="default" w:ascii="Times New Roman" w:hAnsi="Times New Roman" w:eastAsia="宋体" w:cs="Times New Roman"/>
          <w:color w:val="auto"/>
        </w:rPr>
        <w:t>4.2环境现状调查与评价</w:t>
      </w:r>
      <w:bookmarkEnd w:id="271"/>
      <w:bookmarkEnd w:id="272"/>
    </w:p>
    <w:p>
      <w:pPr>
        <w:pStyle w:val="5"/>
        <w:jc w:val="both"/>
        <w:rPr>
          <w:rFonts w:hint="default" w:ascii="Times New Roman" w:hAnsi="Times New Roman" w:eastAsia="宋体" w:cs="Times New Roman"/>
          <w:color w:val="auto"/>
        </w:rPr>
      </w:pPr>
      <w:bookmarkStart w:id="273" w:name="_Toc507334605"/>
      <w:bookmarkStart w:id="274" w:name="_Toc503461613"/>
      <w:bookmarkStart w:id="275" w:name="_Toc492644543"/>
      <w:bookmarkStart w:id="276" w:name="_Toc25691"/>
      <w:r>
        <w:rPr>
          <w:rFonts w:hint="default" w:ascii="Times New Roman" w:hAnsi="Times New Roman" w:eastAsia="宋体" w:cs="Times New Roman"/>
          <w:color w:val="auto"/>
        </w:rPr>
        <w:t>4.2.1</w:t>
      </w:r>
      <w:bookmarkStart w:id="277" w:name="_Toc321684291"/>
      <w:bookmarkStart w:id="278" w:name="_Toc337761086"/>
      <w:bookmarkStart w:id="279" w:name="_Toc424517552"/>
      <w:bookmarkStart w:id="280" w:name="_Toc469907697"/>
      <w:r>
        <w:rPr>
          <w:rFonts w:hint="default" w:ascii="Times New Roman" w:hAnsi="Times New Roman" w:eastAsia="宋体" w:cs="Times New Roman"/>
          <w:color w:val="auto"/>
        </w:rPr>
        <w:t>大气环境现状监测</w:t>
      </w:r>
      <w:bookmarkEnd w:id="277"/>
      <w:bookmarkEnd w:id="278"/>
      <w:r>
        <w:rPr>
          <w:rFonts w:hint="default" w:ascii="Times New Roman" w:hAnsi="Times New Roman" w:eastAsia="宋体" w:cs="Times New Roman"/>
          <w:color w:val="auto"/>
        </w:rPr>
        <w:t>与评价</w:t>
      </w:r>
      <w:bookmarkEnd w:id="273"/>
      <w:bookmarkEnd w:id="274"/>
      <w:bookmarkEnd w:id="275"/>
      <w:bookmarkEnd w:id="276"/>
      <w:bookmarkEnd w:id="279"/>
      <w:bookmarkEnd w:id="280"/>
    </w:p>
    <w:p>
      <w:pPr>
        <w:widowControl w:val="0"/>
        <w:adjustRightInd w:val="0"/>
        <w:spacing w:line="480" w:lineRule="exact"/>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根据《环境影响评价技术导则 大气环境》（HJ2.2-2018），项目所在区域达标情况判定，优先采用国家或地方生态环境主管部门公开发布的评价基准年环境质量公告或环境质量报告中的数据或结论。 </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（1）区域环境质量</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根据苏州市生态环境局发布的《2020年度苏州市生态环境状况公报》，项目所在的苏州市区属于环境空气质量不达标区域，超标因子为O</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，评价结果见下表。</w:t>
      </w:r>
    </w:p>
    <w:p>
      <w:pPr>
        <w:widowControl w:val="0"/>
        <w:spacing w:line="480" w:lineRule="exact"/>
        <w:ind w:firstLine="482" w:firstLineChars="20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 xml:space="preserve">表 </w:t>
      </w:r>
      <w:r>
        <w:rPr>
          <w:rFonts w:hint="eastAsia" w:ascii="Times New Roman" w:hAnsi="Times New Roman" w:eastAsia="宋体" w:cs="Times New Roman"/>
          <w:b/>
          <w:bCs/>
          <w:color w:val="auto"/>
          <w:lang w:val="en-US" w:eastAsia="zh-CN"/>
        </w:rPr>
        <w:t>4.2</w:t>
      </w:r>
      <w:r>
        <w:rPr>
          <w:rFonts w:hint="default" w:ascii="Times New Roman" w:hAnsi="Times New Roman" w:eastAsia="宋体" w:cs="Times New Roman"/>
          <w:b/>
          <w:bCs/>
          <w:color w:val="auto"/>
          <w:lang w:val="en-US" w:eastAsia="zh-CN"/>
        </w:rPr>
        <w:noBreakHyphen/>
      </w:r>
      <w:r>
        <w:rPr>
          <w:rFonts w:hint="default" w:ascii="Times New Roman" w:hAnsi="Times New Roman" w:eastAsia="宋体" w:cs="Times New Roman"/>
          <w:b/>
          <w:bCs/>
          <w:color w:val="auto"/>
          <w:lang w:val="en-US" w:eastAsia="zh-CN"/>
        </w:rPr>
        <w:fldChar w:fldCharType="begin"/>
      </w:r>
      <w:r>
        <w:rPr>
          <w:rFonts w:hint="default" w:ascii="Times New Roman" w:hAnsi="Times New Roman" w:eastAsia="宋体" w:cs="Times New Roman"/>
          <w:b/>
          <w:bCs/>
          <w:color w:val="auto"/>
          <w:lang w:val="en-US" w:eastAsia="zh-CN"/>
        </w:rPr>
        <w:instrText xml:space="preserve"> SEQ 表 \* ARABIC \s 2 </w:instrText>
      </w:r>
      <w:r>
        <w:rPr>
          <w:rFonts w:hint="default" w:ascii="Times New Roman" w:hAnsi="Times New Roman" w:eastAsia="宋体" w:cs="Times New Roman"/>
          <w:b/>
          <w:bCs/>
          <w:color w:val="auto"/>
          <w:lang w:val="en-US" w:eastAsia="zh-CN"/>
        </w:rPr>
        <w:fldChar w:fldCharType="separate"/>
      </w:r>
      <w:r>
        <w:rPr>
          <w:rFonts w:hint="default" w:ascii="Times New Roman" w:hAnsi="Times New Roman" w:eastAsia="宋体" w:cs="Times New Roman"/>
          <w:b/>
          <w:bCs/>
          <w:color w:val="auto"/>
          <w:lang w:val="en-US" w:eastAsia="zh-CN"/>
        </w:rPr>
        <w:t>1</w:t>
      </w:r>
      <w:r>
        <w:rPr>
          <w:rFonts w:hint="default" w:ascii="Times New Roman" w:hAnsi="Times New Roman" w:eastAsia="宋体" w:cs="Times New Roman"/>
          <w:b/>
          <w:bCs/>
          <w:color w:val="auto"/>
          <w:lang w:val="en-US" w:eastAsia="zh-CN"/>
        </w:rPr>
        <w:fldChar w:fldCharType="end"/>
      </w:r>
      <w:r>
        <w:rPr>
          <w:rFonts w:hint="default" w:ascii="Times New Roman" w:hAnsi="Times New Roman" w:eastAsia="宋体" w:cs="Times New Roman"/>
          <w:b/>
          <w:bCs/>
          <w:color w:val="auto"/>
          <w:lang w:val="en-US" w:eastAsia="zh-CN"/>
        </w:rPr>
        <w:t>区域空气质量现状评价表</w:t>
      </w:r>
    </w:p>
    <w:tbl>
      <w:tblPr>
        <w:tblStyle w:val="5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7"/>
        <w:gridCol w:w="2236"/>
        <w:gridCol w:w="1395"/>
        <w:gridCol w:w="1650"/>
        <w:gridCol w:w="1565"/>
        <w:gridCol w:w="14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jc w:val="center"/>
        </w:trPr>
        <w:tc>
          <w:tcPr>
            <w:tcW w:w="496" w:type="pct"/>
            <w:tcBorders>
              <w:bottom w:val="single" w:color="000000" w:sz="6" w:space="0"/>
              <w:right w:val="single" w:color="000000" w:sz="6" w:space="0"/>
              <w:insideH w:val="single" w:sz="6" w:space="0"/>
              <w:insideV w:val="single" w:sz="6" w:space="0"/>
              <w:tl2br w:val="nil"/>
              <w:tr2bl w:val="nil"/>
            </w:tcBorders>
            <w:shd w:val="clear" w:color="auto" w:fill="auto"/>
            <w:vAlign w:val="center"/>
          </w:tcPr>
          <w:p>
            <w:pPr>
              <w:pStyle w:val="421"/>
              <w:widowControl w:val="0"/>
              <w:shd w:val="clear"/>
              <w:textAlignment w:val="baseline"/>
              <w:rPr>
                <w:rFonts w:hint="default" w:ascii="Times New Roman" w:hAnsi="Times New Roman" w:eastAsia="宋体" w:cs="Times New Roman"/>
                <w:b/>
                <w:i w:val="0"/>
                <w:iCs/>
                <w:color w:val="auto"/>
                <w:kern w:val="0"/>
              </w:rPr>
            </w:pPr>
            <w:r>
              <w:rPr>
                <w:rFonts w:hint="default" w:ascii="Times New Roman" w:hAnsi="Times New Roman" w:eastAsia="宋体" w:cs="Times New Roman"/>
                <w:b/>
                <w:i w:val="0"/>
                <w:iCs/>
                <w:color w:val="auto"/>
                <w:kern w:val="0"/>
              </w:rPr>
              <w:t>污染物</w:t>
            </w:r>
          </w:p>
        </w:tc>
        <w:tc>
          <w:tcPr>
            <w:tcW w:w="1209" w:type="pct"/>
            <w:tcBorders>
              <w:bottom w:val="single" w:color="000000" w:sz="6" w:space="0"/>
              <w:insideH w:val="single" w:sz="6" w:space="0"/>
            </w:tcBorders>
            <w:shd w:val="clear" w:color="auto" w:fill="auto"/>
            <w:vAlign w:val="center"/>
          </w:tcPr>
          <w:p>
            <w:pPr>
              <w:pStyle w:val="421"/>
              <w:widowControl w:val="0"/>
              <w:shd w:val="clear"/>
              <w:textAlignment w:val="baseline"/>
              <w:rPr>
                <w:rFonts w:hint="default" w:ascii="Times New Roman" w:hAnsi="Times New Roman" w:eastAsia="宋体" w:cs="Times New Roman"/>
                <w:b/>
                <w:i w:val="0"/>
                <w:iCs/>
                <w:color w:val="auto"/>
                <w:kern w:val="0"/>
              </w:rPr>
            </w:pPr>
            <w:r>
              <w:rPr>
                <w:rFonts w:hint="default" w:ascii="Times New Roman" w:hAnsi="Times New Roman" w:eastAsia="宋体" w:cs="Times New Roman"/>
                <w:b/>
                <w:i w:val="0"/>
                <w:iCs/>
                <w:color w:val="auto"/>
                <w:kern w:val="0"/>
              </w:rPr>
              <w:t>年评价指标</w:t>
            </w:r>
          </w:p>
        </w:tc>
        <w:tc>
          <w:tcPr>
            <w:tcW w:w="754" w:type="pct"/>
            <w:tcBorders>
              <w:bottom w:val="single" w:color="000000" w:sz="6" w:space="0"/>
              <w:insideH w:val="single" w:sz="6" w:space="0"/>
            </w:tcBorders>
            <w:shd w:val="clear" w:color="auto" w:fill="auto"/>
            <w:vAlign w:val="center"/>
          </w:tcPr>
          <w:p>
            <w:pPr>
              <w:pStyle w:val="421"/>
              <w:widowControl w:val="0"/>
              <w:shd w:val="clear"/>
              <w:textAlignment w:val="baseline"/>
              <w:rPr>
                <w:rFonts w:hint="default" w:ascii="Times New Roman" w:hAnsi="Times New Roman" w:eastAsia="宋体" w:cs="Times New Roman"/>
                <w:b/>
                <w:i w:val="0"/>
                <w:iCs/>
                <w:color w:val="auto"/>
                <w:kern w:val="0"/>
              </w:rPr>
            </w:pPr>
            <w:r>
              <w:rPr>
                <w:rFonts w:hint="default" w:ascii="Times New Roman" w:hAnsi="Times New Roman" w:eastAsia="宋体" w:cs="Times New Roman"/>
                <w:b/>
                <w:i w:val="0"/>
                <w:iCs/>
                <w:color w:val="auto"/>
                <w:kern w:val="0"/>
              </w:rPr>
              <w:t>现状浓度/（μg/m</w:t>
            </w:r>
            <w:r>
              <w:rPr>
                <w:rFonts w:hint="default" w:ascii="Times New Roman" w:hAnsi="Times New Roman" w:eastAsia="宋体" w:cs="Times New Roman"/>
                <w:b/>
                <w:i w:val="0"/>
                <w:iCs/>
                <w:color w:val="auto"/>
                <w:kern w:val="0"/>
                <w:vertAlign w:val="superscript"/>
              </w:rPr>
              <w:t>3</w:t>
            </w:r>
            <w:r>
              <w:rPr>
                <w:rFonts w:hint="default" w:ascii="Times New Roman" w:hAnsi="Times New Roman" w:eastAsia="宋体" w:cs="Times New Roman"/>
                <w:b/>
                <w:i w:val="0"/>
                <w:iCs/>
                <w:color w:val="auto"/>
                <w:kern w:val="0"/>
              </w:rPr>
              <w:t>）</w:t>
            </w:r>
          </w:p>
        </w:tc>
        <w:tc>
          <w:tcPr>
            <w:tcW w:w="892" w:type="pct"/>
            <w:tcBorders>
              <w:bottom w:val="single" w:color="000000" w:sz="6" w:space="0"/>
              <w:insideH w:val="single" w:sz="6" w:space="0"/>
            </w:tcBorders>
            <w:shd w:val="clear" w:color="auto" w:fill="auto"/>
            <w:vAlign w:val="center"/>
          </w:tcPr>
          <w:p>
            <w:pPr>
              <w:pStyle w:val="421"/>
              <w:widowControl w:val="0"/>
              <w:shd w:val="clear"/>
              <w:textAlignment w:val="baseline"/>
              <w:rPr>
                <w:rFonts w:hint="default" w:ascii="Times New Roman" w:hAnsi="Times New Roman" w:eastAsia="宋体" w:cs="Times New Roman"/>
                <w:b/>
                <w:i w:val="0"/>
                <w:iCs/>
                <w:color w:val="auto"/>
                <w:kern w:val="0"/>
              </w:rPr>
            </w:pPr>
            <w:r>
              <w:rPr>
                <w:rFonts w:hint="default" w:ascii="Times New Roman" w:hAnsi="Times New Roman" w:eastAsia="宋体" w:cs="Times New Roman"/>
                <w:b/>
                <w:i w:val="0"/>
                <w:iCs/>
                <w:color w:val="auto"/>
                <w:kern w:val="0"/>
              </w:rPr>
              <w:t>标准值/（μg/m</w:t>
            </w:r>
            <w:r>
              <w:rPr>
                <w:rFonts w:hint="default" w:ascii="Times New Roman" w:hAnsi="Times New Roman" w:eastAsia="宋体" w:cs="Times New Roman"/>
                <w:b/>
                <w:i w:val="0"/>
                <w:iCs/>
                <w:color w:val="auto"/>
                <w:kern w:val="0"/>
                <w:vertAlign w:val="superscript"/>
              </w:rPr>
              <w:t>3</w:t>
            </w:r>
            <w:r>
              <w:rPr>
                <w:rFonts w:hint="default" w:ascii="Times New Roman" w:hAnsi="Times New Roman" w:eastAsia="宋体" w:cs="Times New Roman"/>
                <w:b/>
                <w:i w:val="0"/>
                <w:iCs/>
                <w:color w:val="auto"/>
                <w:kern w:val="0"/>
              </w:rPr>
              <w:t>）</w:t>
            </w:r>
          </w:p>
        </w:tc>
        <w:tc>
          <w:tcPr>
            <w:tcW w:w="846" w:type="pct"/>
            <w:tcBorders>
              <w:bottom w:val="single" w:color="000000" w:sz="6" w:space="0"/>
              <w:insideH w:val="single" w:sz="6" w:space="0"/>
            </w:tcBorders>
            <w:shd w:val="clear" w:color="auto" w:fill="auto"/>
            <w:vAlign w:val="center"/>
          </w:tcPr>
          <w:p>
            <w:pPr>
              <w:pStyle w:val="421"/>
              <w:widowControl w:val="0"/>
              <w:shd w:val="clear"/>
              <w:textAlignment w:val="baseline"/>
              <w:rPr>
                <w:rFonts w:hint="default" w:ascii="Times New Roman" w:hAnsi="Times New Roman" w:eastAsia="宋体" w:cs="Times New Roman"/>
                <w:b/>
                <w:i w:val="0"/>
                <w:iCs/>
                <w:color w:val="auto"/>
                <w:kern w:val="0"/>
              </w:rPr>
            </w:pPr>
            <w:r>
              <w:rPr>
                <w:rFonts w:hint="default" w:ascii="Times New Roman" w:hAnsi="Times New Roman" w:eastAsia="宋体" w:cs="Times New Roman"/>
                <w:b/>
                <w:i w:val="0"/>
                <w:iCs/>
                <w:color w:val="auto"/>
                <w:kern w:val="0"/>
              </w:rPr>
              <w:t>占标率/%</w:t>
            </w:r>
          </w:p>
        </w:tc>
        <w:tc>
          <w:tcPr>
            <w:tcW w:w="799" w:type="pct"/>
            <w:tcBorders>
              <w:bottom w:val="single" w:color="000000" w:sz="6" w:space="0"/>
              <w:insideH w:val="single" w:sz="6" w:space="0"/>
            </w:tcBorders>
            <w:shd w:val="clear" w:color="auto" w:fill="auto"/>
            <w:vAlign w:val="center"/>
          </w:tcPr>
          <w:p>
            <w:pPr>
              <w:pStyle w:val="421"/>
              <w:widowControl w:val="0"/>
              <w:shd w:val="clear"/>
              <w:textAlignment w:val="baseline"/>
              <w:rPr>
                <w:rFonts w:hint="default" w:ascii="Times New Roman" w:hAnsi="Times New Roman" w:eastAsia="宋体" w:cs="Times New Roman"/>
                <w:b/>
                <w:i w:val="0"/>
                <w:iCs/>
                <w:color w:val="auto"/>
                <w:kern w:val="0"/>
              </w:rPr>
            </w:pPr>
            <w:r>
              <w:rPr>
                <w:rFonts w:hint="default" w:ascii="Times New Roman" w:hAnsi="Times New Roman" w:eastAsia="宋体" w:cs="Times New Roman"/>
                <w:b/>
                <w:i w:val="0"/>
                <w:iCs/>
                <w:color w:val="auto"/>
                <w:kern w:val="0"/>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96" w:type="pct"/>
            <w:tcBorders>
              <w:right w:val="single" w:color="000000" w:sz="6" w:space="0"/>
              <w:insideV w:val="single" w:sz="6" w:space="0"/>
              <w:tl2br w:val="nil"/>
              <w:tr2bl w:val="nil"/>
            </w:tcBorders>
            <w:shd w:val="clear" w:color="auto" w:fill="auto"/>
            <w:vAlign w:val="center"/>
          </w:tcPr>
          <w:p>
            <w:pPr>
              <w:pStyle w:val="421"/>
              <w:widowControl w:val="0"/>
              <w:shd w:val="clear"/>
              <w:textAlignment w:val="baseline"/>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SO</w:t>
            </w:r>
            <w:r>
              <w:rPr>
                <w:rFonts w:hint="default" w:ascii="Times New Roman" w:hAnsi="Times New Roman" w:eastAsia="宋体" w:cs="Times New Roman"/>
                <w:color w:val="auto"/>
                <w:kern w:val="0"/>
                <w:vertAlign w:val="subscript"/>
              </w:rPr>
              <w:t>2</w:t>
            </w:r>
          </w:p>
        </w:tc>
        <w:tc>
          <w:tcPr>
            <w:tcW w:w="1209" w:type="pct"/>
            <w:shd w:val="clear" w:color="auto" w:fill="auto"/>
            <w:vAlign w:val="center"/>
          </w:tcPr>
          <w:p>
            <w:pPr>
              <w:pStyle w:val="421"/>
              <w:widowControl w:val="0"/>
              <w:shd w:val="clear"/>
              <w:textAlignment w:val="baseline"/>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年平均质量浓度</w:t>
            </w:r>
          </w:p>
        </w:tc>
        <w:tc>
          <w:tcPr>
            <w:tcW w:w="754" w:type="pct"/>
            <w:shd w:val="clear" w:color="auto" w:fill="auto"/>
            <w:vAlign w:val="center"/>
          </w:tcPr>
          <w:p>
            <w:pPr>
              <w:pStyle w:val="421"/>
              <w:widowControl w:val="0"/>
              <w:shd w:val="clear"/>
              <w:textAlignment w:val="baseline"/>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6</w:t>
            </w:r>
          </w:p>
        </w:tc>
        <w:tc>
          <w:tcPr>
            <w:tcW w:w="892" w:type="pct"/>
            <w:shd w:val="clear" w:color="auto" w:fill="auto"/>
            <w:vAlign w:val="center"/>
          </w:tcPr>
          <w:p>
            <w:pPr>
              <w:pStyle w:val="421"/>
              <w:widowControl w:val="0"/>
              <w:shd w:val="clear"/>
              <w:textAlignment w:val="baseline"/>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60</w:t>
            </w:r>
          </w:p>
        </w:tc>
        <w:tc>
          <w:tcPr>
            <w:tcW w:w="846" w:type="pct"/>
            <w:shd w:val="clear" w:color="auto" w:fill="auto"/>
            <w:vAlign w:val="center"/>
          </w:tcPr>
          <w:p>
            <w:pPr>
              <w:pStyle w:val="421"/>
              <w:widowControl w:val="0"/>
              <w:shd w:val="clear"/>
              <w:textAlignment w:val="baseline"/>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10.0</w:t>
            </w:r>
          </w:p>
        </w:tc>
        <w:tc>
          <w:tcPr>
            <w:tcW w:w="799" w:type="pct"/>
            <w:shd w:val="clear" w:color="auto" w:fill="auto"/>
            <w:vAlign w:val="center"/>
          </w:tcPr>
          <w:p>
            <w:pPr>
              <w:pStyle w:val="421"/>
              <w:widowControl w:val="0"/>
              <w:shd w:val="clear"/>
              <w:textAlignment w:val="baseline"/>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96" w:type="pct"/>
            <w:tcBorders>
              <w:right w:val="single" w:color="000000" w:sz="6" w:space="0"/>
              <w:insideV w:val="single" w:sz="6" w:space="0"/>
              <w:tl2br w:val="nil"/>
              <w:tr2bl w:val="nil"/>
            </w:tcBorders>
            <w:shd w:val="clear" w:color="auto" w:fill="auto"/>
            <w:vAlign w:val="center"/>
          </w:tcPr>
          <w:p>
            <w:pPr>
              <w:pStyle w:val="421"/>
              <w:widowControl w:val="0"/>
              <w:shd w:val="clear"/>
              <w:textAlignment w:val="baseline"/>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NO</w:t>
            </w:r>
            <w:r>
              <w:rPr>
                <w:rFonts w:hint="default" w:ascii="Times New Roman" w:hAnsi="Times New Roman" w:eastAsia="宋体" w:cs="Times New Roman"/>
                <w:color w:val="auto"/>
                <w:kern w:val="0"/>
                <w:vertAlign w:val="subscript"/>
              </w:rPr>
              <w:t>2</w:t>
            </w:r>
          </w:p>
        </w:tc>
        <w:tc>
          <w:tcPr>
            <w:tcW w:w="1209" w:type="pct"/>
            <w:shd w:val="clear" w:color="auto" w:fill="auto"/>
            <w:vAlign w:val="center"/>
          </w:tcPr>
          <w:p>
            <w:pPr>
              <w:pStyle w:val="421"/>
              <w:widowControl w:val="0"/>
              <w:shd w:val="clear"/>
              <w:textAlignment w:val="baseline"/>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年平均质量浓度</w:t>
            </w:r>
          </w:p>
        </w:tc>
        <w:tc>
          <w:tcPr>
            <w:tcW w:w="754" w:type="pct"/>
            <w:shd w:val="clear" w:color="auto" w:fill="auto"/>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34</w:t>
            </w:r>
          </w:p>
        </w:tc>
        <w:tc>
          <w:tcPr>
            <w:tcW w:w="892" w:type="pct"/>
            <w:shd w:val="clear" w:color="auto" w:fill="auto"/>
            <w:vAlign w:val="center"/>
          </w:tcPr>
          <w:p>
            <w:pPr>
              <w:pStyle w:val="421"/>
              <w:widowControl w:val="0"/>
              <w:shd w:val="clear"/>
              <w:textAlignment w:val="baseline"/>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40</w:t>
            </w:r>
          </w:p>
        </w:tc>
        <w:tc>
          <w:tcPr>
            <w:tcW w:w="846" w:type="pct"/>
            <w:shd w:val="clear" w:color="auto" w:fill="auto"/>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85</w:t>
            </w:r>
          </w:p>
        </w:tc>
        <w:tc>
          <w:tcPr>
            <w:tcW w:w="799" w:type="pct"/>
            <w:shd w:val="clear" w:color="auto" w:fill="auto"/>
            <w:vAlign w:val="center"/>
          </w:tcPr>
          <w:p>
            <w:pPr>
              <w:pStyle w:val="421"/>
              <w:widowControl w:val="0"/>
              <w:shd w:val="clear"/>
              <w:textAlignment w:val="baseline"/>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96" w:type="pct"/>
            <w:tcBorders>
              <w:right w:val="single" w:color="000000" w:sz="6" w:space="0"/>
              <w:insideV w:val="single" w:sz="6" w:space="0"/>
              <w:tl2br w:val="nil"/>
              <w:tr2bl w:val="nil"/>
            </w:tcBorders>
            <w:shd w:val="clear" w:color="auto" w:fill="auto"/>
            <w:vAlign w:val="center"/>
          </w:tcPr>
          <w:p>
            <w:pPr>
              <w:pStyle w:val="421"/>
              <w:widowControl w:val="0"/>
              <w:shd w:val="clear"/>
              <w:textAlignment w:val="baseline"/>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CO</w:t>
            </w:r>
          </w:p>
        </w:tc>
        <w:tc>
          <w:tcPr>
            <w:tcW w:w="1209" w:type="pct"/>
            <w:shd w:val="clear" w:color="auto" w:fill="auto"/>
            <w:vAlign w:val="center"/>
          </w:tcPr>
          <w:p>
            <w:pPr>
              <w:pStyle w:val="421"/>
              <w:widowControl w:val="0"/>
              <w:shd w:val="clear"/>
              <w:textAlignment w:val="baseline"/>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24小时平均第95百分位数</w:t>
            </w:r>
          </w:p>
        </w:tc>
        <w:tc>
          <w:tcPr>
            <w:tcW w:w="754" w:type="pct"/>
            <w:shd w:val="clear" w:color="auto" w:fill="auto"/>
            <w:vAlign w:val="center"/>
          </w:tcPr>
          <w:p>
            <w:pPr>
              <w:pStyle w:val="421"/>
              <w:widowControl w:val="0"/>
              <w:shd w:val="clear"/>
              <w:textAlignment w:val="baseline"/>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1100</w:t>
            </w:r>
          </w:p>
        </w:tc>
        <w:tc>
          <w:tcPr>
            <w:tcW w:w="892" w:type="pct"/>
            <w:shd w:val="clear" w:color="auto" w:fill="auto"/>
            <w:vAlign w:val="center"/>
          </w:tcPr>
          <w:p>
            <w:pPr>
              <w:pStyle w:val="421"/>
              <w:widowControl w:val="0"/>
              <w:shd w:val="clear"/>
              <w:textAlignment w:val="baseline"/>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4000</w:t>
            </w:r>
          </w:p>
        </w:tc>
        <w:tc>
          <w:tcPr>
            <w:tcW w:w="846" w:type="pct"/>
            <w:shd w:val="clear" w:color="auto" w:fill="auto"/>
            <w:vAlign w:val="center"/>
          </w:tcPr>
          <w:p>
            <w:pPr>
              <w:pStyle w:val="421"/>
              <w:widowControl w:val="0"/>
              <w:shd w:val="clear"/>
              <w:textAlignment w:val="baseline"/>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27.5</w:t>
            </w:r>
          </w:p>
        </w:tc>
        <w:tc>
          <w:tcPr>
            <w:tcW w:w="799" w:type="pct"/>
            <w:shd w:val="clear" w:color="auto" w:fill="auto"/>
            <w:vAlign w:val="center"/>
          </w:tcPr>
          <w:p>
            <w:pPr>
              <w:pStyle w:val="421"/>
              <w:widowControl w:val="0"/>
              <w:shd w:val="clear"/>
              <w:textAlignment w:val="baseline"/>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96" w:type="pct"/>
            <w:tcBorders>
              <w:right w:val="single" w:color="000000" w:sz="6" w:space="0"/>
              <w:insideV w:val="single" w:sz="6" w:space="0"/>
              <w:tl2br w:val="nil"/>
              <w:tr2bl w:val="nil"/>
            </w:tcBorders>
            <w:shd w:val="clear" w:color="auto" w:fill="auto"/>
            <w:vAlign w:val="center"/>
          </w:tcPr>
          <w:p>
            <w:pPr>
              <w:pStyle w:val="421"/>
              <w:widowControl w:val="0"/>
              <w:shd w:val="clear"/>
              <w:textAlignment w:val="baseline"/>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O</w:t>
            </w:r>
            <w:r>
              <w:rPr>
                <w:rFonts w:hint="default" w:ascii="Times New Roman" w:hAnsi="Times New Roman" w:eastAsia="宋体" w:cs="Times New Roman"/>
                <w:color w:val="auto"/>
                <w:kern w:val="0"/>
                <w:vertAlign w:val="subscript"/>
              </w:rPr>
              <w:t>3</w:t>
            </w:r>
          </w:p>
        </w:tc>
        <w:tc>
          <w:tcPr>
            <w:tcW w:w="1209" w:type="pct"/>
            <w:shd w:val="clear" w:color="auto" w:fill="auto"/>
            <w:vAlign w:val="center"/>
          </w:tcPr>
          <w:p>
            <w:pPr>
              <w:pStyle w:val="421"/>
              <w:widowControl w:val="0"/>
              <w:shd w:val="clear"/>
              <w:textAlignment w:val="baseline"/>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日最大8小时平均第90百分位数</w:t>
            </w:r>
          </w:p>
        </w:tc>
        <w:tc>
          <w:tcPr>
            <w:tcW w:w="754" w:type="pct"/>
            <w:shd w:val="clear" w:color="auto" w:fill="auto"/>
            <w:vAlign w:val="center"/>
          </w:tcPr>
          <w:p>
            <w:pPr>
              <w:pStyle w:val="421"/>
              <w:widowControl w:val="0"/>
              <w:shd w:val="clear"/>
              <w:textAlignment w:val="baseline"/>
              <w:rPr>
                <w:rFonts w:hint="default" w:ascii="Times New Roman" w:hAnsi="Times New Roman" w:eastAsia="宋体" w:cs="Times New Roman"/>
                <w:color w:val="auto"/>
                <w:kern w:val="0"/>
                <w:lang w:eastAsia="zh-CN"/>
              </w:rPr>
            </w:pPr>
            <w:r>
              <w:rPr>
                <w:rFonts w:hint="default" w:ascii="Times New Roman" w:hAnsi="Times New Roman" w:eastAsia="宋体" w:cs="Times New Roman"/>
                <w:color w:val="auto"/>
                <w:kern w:val="0"/>
              </w:rPr>
              <w:t>16</w:t>
            </w:r>
            <w:r>
              <w:rPr>
                <w:rFonts w:hint="default" w:ascii="Times New Roman" w:hAnsi="Times New Roman" w:eastAsia="宋体" w:cs="Times New Roman"/>
                <w:color w:val="auto"/>
                <w:kern w:val="0"/>
                <w:lang w:val="en-US" w:eastAsia="zh-CN"/>
              </w:rPr>
              <w:t>2</w:t>
            </w:r>
          </w:p>
        </w:tc>
        <w:tc>
          <w:tcPr>
            <w:tcW w:w="892" w:type="pct"/>
            <w:shd w:val="clear" w:color="auto" w:fill="auto"/>
            <w:vAlign w:val="center"/>
          </w:tcPr>
          <w:p>
            <w:pPr>
              <w:pStyle w:val="421"/>
              <w:widowControl w:val="0"/>
              <w:shd w:val="clear"/>
              <w:textAlignment w:val="baseline"/>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160</w:t>
            </w:r>
          </w:p>
        </w:tc>
        <w:tc>
          <w:tcPr>
            <w:tcW w:w="846" w:type="pct"/>
            <w:shd w:val="clear" w:color="auto" w:fill="auto"/>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101.3</w:t>
            </w:r>
          </w:p>
        </w:tc>
        <w:tc>
          <w:tcPr>
            <w:tcW w:w="799" w:type="pct"/>
            <w:shd w:val="clear" w:color="auto" w:fill="auto"/>
            <w:vAlign w:val="center"/>
          </w:tcPr>
          <w:p>
            <w:pPr>
              <w:pStyle w:val="421"/>
              <w:widowControl w:val="0"/>
              <w:shd w:val="clear"/>
              <w:textAlignment w:val="baseline"/>
              <w:rPr>
                <w:rFonts w:hint="default" w:ascii="Times New Roman" w:hAnsi="Times New Roman" w:eastAsia="宋体" w:cs="Times New Roman"/>
                <w:color w:val="auto"/>
                <w:kern w:val="0"/>
              </w:rPr>
            </w:pPr>
            <w:r>
              <w:rPr>
                <w:rFonts w:hint="default" w:ascii="Times New Roman" w:hAnsi="Times New Roman" w:eastAsia="宋体" w:cs="Times New Roman"/>
                <w:b/>
                <w:bCs/>
                <w:color w:val="auto"/>
                <w:kern w:val="0"/>
              </w:rP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96" w:type="pct"/>
            <w:tcBorders>
              <w:right w:val="single" w:color="000000" w:sz="6" w:space="0"/>
              <w:insideV w:val="single" w:sz="6" w:space="0"/>
              <w:tl2br w:val="nil"/>
              <w:tr2bl w:val="nil"/>
            </w:tcBorders>
            <w:shd w:val="clear" w:color="auto" w:fill="auto"/>
            <w:vAlign w:val="center"/>
          </w:tcPr>
          <w:p>
            <w:pPr>
              <w:pStyle w:val="421"/>
              <w:widowControl w:val="0"/>
              <w:shd w:val="clear"/>
              <w:textAlignment w:val="baseline"/>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PM</w:t>
            </w:r>
            <w:r>
              <w:rPr>
                <w:rFonts w:hint="default" w:ascii="Times New Roman" w:hAnsi="Times New Roman" w:eastAsia="宋体" w:cs="Times New Roman"/>
                <w:color w:val="auto"/>
                <w:kern w:val="0"/>
                <w:vertAlign w:val="subscript"/>
              </w:rPr>
              <w:t>10</w:t>
            </w:r>
          </w:p>
        </w:tc>
        <w:tc>
          <w:tcPr>
            <w:tcW w:w="1209" w:type="pct"/>
            <w:shd w:val="clear" w:color="auto" w:fill="auto"/>
            <w:vAlign w:val="center"/>
          </w:tcPr>
          <w:p>
            <w:pPr>
              <w:pStyle w:val="421"/>
              <w:widowControl w:val="0"/>
              <w:shd w:val="clear"/>
              <w:textAlignment w:val="baseline"/>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年平均质量浓度</w:t>
            </w:r>
          </w:p>
        </w:tc>
        <w:tc>
          <w:tcPr>
            <w:tcW w:w="754" w:type="pct"/>
            <w:shd w:val="clear" w:color="auto" w:fill="auto"/>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47</w:t>
            </w:r>
          </w:p>
        </w:tc>
        <w:tc>
          <w:tcPr>
            <w:tcW w:w="892" w:type="pct"/>
            <w:shd w:val="clear" w:color="auto" w:fill="auto"/>
            <w:vAlign w:val="center"/>
          </w:tcPr>
          <w:p>
            <w:pPr>
              <w:pStyle w:val="421"/>
              <w:widowControl w:val="0"/>
              <w:shd w:val="clear"/>
              <w:textAlignment w:val="baseline"/>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70</w:t>
            </w:r>
          </w:p>
        </w:tc>
        <w:tc>
          <w:tcPr>
            <w:tcW w:w="846" w:type="pct"/>
            <w:shd w:val="clear" w:color="auto" w:fill="auto"/>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67.1</w:t>
            </w:r>
          </w:p>
        </w:tc>
        <w:tc>
          <w:tcPr>
            <w:tcW w:w="799" w:type="pct"/>
            <w:shd w:val="clear" w:color="auto" w:fill="auto"/>
            <w:vAlign w:val="center"/>
          </w:tcPr>
          <w:p>
            <w:pPr>
              <w:pStyle w:val="421"/>
              <w:widowControl w:val="0"/>
              <w:shd w:val="clear"/>
              <w:textAlignment w:val="baseline"/>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96" w:type="pct"/>
            <w:tcBorders>
              <w:right w:val="single" w:color="000000" w:sz="6" w:space="0"/>
              <w:insideV w:val="single" w:sz="6" w:space="0"/>
              <w:tl2br w:val="nil"/>
              <w:tr2bl w:val="nil"/>
            </w:tcBorders>
            <w:shd w:val="clear" w:color="auto" w:fill="auto"/>
            <w:vAlign w:val="center"/>
          </w:tcPr>
          <w:p>
            <w:pPr>
              <w:pStyle w:val="421"/>
              <w:widowControl w:val="0"/>
              <w:shd w:val="clear"/>
              <w:textAlignment w:val="baseline"/>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PM</w:t>
            </w:r>
            <w:r>
              <w:rPr>
                <w:rFonts w:hint="default" w:ascii="Times New Roman" w:hAnsi="Times New Roman" w:eastAsia="宋体" w:cs="Times New Roman"/>
                <w:color w:val="auto"/>
                <w:kern w:val="0"/>
                <w:vertAlign w:val="subscript"/>
              </w:rPr>
              <w:t>2.5</w:t>
            </w:r>
          </w:p>
        </w:tc>
        <w:tc>
          <w:tcPr>
            <w:tcW w:w="1209" w:type="pct"/>
            <w:shd w:val="clear" w:color="auto" w:fill="auto"/>
            <w:vAlign w:val="center"/>
          </w:tcPr>
          <w:p>
            <w:pPr>
              <w:pStyle w:val="421"/>
              <w:widowControl w:val="0"/>
              <w:shd w:val="clear"/>
              <w:textAlignment w:val="baseline"/>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年平均质量浓度</w:t>
            </w:r>
          </w:p>
        </w:tc>
        <w:tc>
          <w:tcPr>
            <w:tcW w:w="754" w:type="pct"/>
            <w:shd w:val="clear" w:color="auto" w:fill="auto"/>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33</w:t>
            </w:r>
          </w:p>
        </w:tc>
        <w:tc>
          <w:tcPr>
            <w:tcW w:w="892" w:type="pct"/>
            <w:shd w:val="clear" w:color="auto" w:fill="auto"/>
            <w:vAlign w:val="center"/>
          </w:tcPr>
          <w:p>
            <w:pPr>
              <w:pStyle w:val="421"/>
              <w:widowControl w:val="0"/>
              <w:shd w:val="clear"/>
              <w:textAlignment w:val="baseline"/>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35</w:t>
            </w:r>
          </w:p>
        </w:tc>
        <w:tc>
          <w:tcPr>
            <w:tcW w:w="846" w:type="pct"/>
            <w:shd w:val="clear" w:color="auto" w:fill="auto"/>
            <w:vAlign w:val="center"/>
          </w:tcPr>
          <w:p>
            <w:pPr>
              <w:pStyle w:val="421"/>
              <w:widowControl w:val="0"/>
              <w:shd w:val="clear"/>
              <w:textAlignment w:val="baseline"/>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94.3</w:t>
            </w:r>
          </w:p>
        </w:tc>
        <w:tc>
          <w:tcPr>
            <w:tcW w:w="799" w:type="pct"/>
            <w:shd w:val="clear" w:color="auto" w:fill="auto"/>
            <w:vAlign w:val="center"/>
          </w:tcPr>
          <w:p>
            <w:pPr>
              <w:pStyle w:val="421"/>
              <w:widowControl w:val="0"/>
              <w:shd w:val="clear"/>
              <w:textAlignment w:val="baseline"/>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达标</w:t>
            </w:r>
          </w:p>
        </w:tc>
      </w:tr>
    </w:tbl>
    <w:p>
      <w:pPr>
        <w:widowControl w:val="0"/>
        <w:spacing w:line="480" w:lineRule="exact"/>
        <w:ind w:firstLine="480" w:firstLineChars="20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由《2020年度苏州市生态环境状况公报》可知项目所在区域空气质量为不达标区。</w:t>
      </w:r>
    </w:p>
    <w:p>
      <w:pPr>
        <w:widowControl w:val="0"/>
        <w:spacing w:line="480" w:lineRule="exact"/>
        <w:ind w:firstLine="480" w:firstLineChars="20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为进一步改善环境质量，《苏州市空气质量改善达标规划(2019～2024)》做出如下规定：到2020年，深化并推进工业锅炉与炉窑整治工作，坚决完成</w:t>
      </w:r>
      <w:r>
        <w:rPr>
          <w:rFonts w:hint="eastAsia" w:cs="Times New Roman"/>
          <w:color w:val="auto"/>
          <w:szCs w:val="21"/>
          <w:lang w:eastAsia="zh-CN"/>
        </w:rPr>
        <w:t>“</w:t>
      </w:r>
      <w:r>
        <w:rPr>
          <w:rFonts w:hint="default" w:ascii="Times New Roman" w:hAnsi="Times New Roman" w:eastAsia="宋体" w:cs="Times New Roman"/>
          <w:color w:val="auto"/>
          <w:szCs w:val="21"/>
        </w:rPr>
        <w:t>散乱污</w:t>
      </w:r>
      <w:r>
        <w:rPr>
          <w:rFonts w:hint="eastAsia" w:cs="Times New Roman"/>
          <w:color w:val="auto"/>
          <w:szCs w:val="21"/>
          <w:lang w:eastAsia="zh-CN"/>
        </w:rPr>
        <w:t>”</w:t>
      </w:r>
      <w:r>
        <w:rPr>
          <w:rFonts w:hint="default" w:ascii="Times New Roman" w:hAnsi="Times New Roman" w:eastAsia="宋体" w:cs="Times New Roman"/>
          <w:color w:val="auto"/>
          <w:szCs w:val="21"/>
        </w:rPr>
        <w:t>治理工作，完成重点行业颗粒物无组织排放深度治理，钢铁行业完成超低排放改造，以港口码头和堆场为重点加强扬尘污染控制，以油品监管、柴油货车综合整治、高排放车辆淘汰及提升新能源汽车占比为重点加强移动源污染防治，从化工、涂装、纺织印染等工业行业挖掘VOCs减排潜力，确保SO</w:t>
      </w:r>
      <w:r>
        <w:rPr>
          <w:rFonts w:hint="default" w:ascii="Times New Roman" w:hAnsi="Times New Roman" w:eastAsia="宋体" w:cs="Times New Roman"/>
          <w:color w:val="auto"/>
          <w:szCs w:val="21"/>
          <w:vertAlign w:val="subscript"/>
        </w:rPr>
        <w:t>2</w:t>
      </w:r>
      <w:r>
        <w:rPr>
          <w:rFonts w:hint="default" w:ascii="Times New Roman" w:hAnsi="Times New Roman" w:eastAsia="宋体" w:cs="Times New Roman"/>
          <w:color w:val="auto"/>
          <w:szCs w:val="21"/>
        </w:rPr>
        <w:t>、NO</w:t>
      </w:r>
      <w:r>
        <w:rPr>
          <w:rFonts w:hint="default" w:ascii="Times New Roman" w:hAnsi="Times New Roman" w:eastAsia="宋体" w:cs="Times New Roman"/>
          <w:color w:val="auto"/>
          <w:szCs w:val="21"/>
          <w:vertAlign w:val="subscript"/>
        </w:rPr>
        <w:t>x</w:t>
      </w:r>
      <w:r>
        <w:rPr>
          <w:rFonts w:hint="default" w:ascii="Times New Roman" w:hAnsi="Times New Roman" w:eastAsia="宋体" w:cs="Times New Roman"/>
          <w:color w:val="auto"/>
          <w:szCs w:val="21"/>
        </w:rPr>
        <w:t>、VOCs排放总量均比2015年下降20%以上，加大VOCs和NO</w:t>
      </w:r>
      <w:r>
        <w:rPr>
          <w:rFonts w:hint="default" w:ascii="Times New Roman" w:hAnsi="Times New Roman" w:eastAsia="宋体" w:cs="Times New Roman"/>
          <w:color w:val="auto"/>
          <w:szCs w:val="21"/>
          <w:vertAlign w:val="subscript"/>
        </w:rPr>
        <w:t>x</w:t>
      </w:r>
      <w:r>
        <w:rPr>
          <w:rFonts w:hint="default" w:ascii="Times New Roman" w:hAnsi="Times New Roman" w:eastAsia="宋体" w:cs="Times New Roman"/>
          <w:color w:val="auto"/>
          <w:szCs w:val="21"/>
        </w:rPr>
        <w:t>协同减排力度，在提前完成</w:t>
      </w:r>
      <w:r>
        <w:rPr>
          <w:rFonts w:hint="eastAsia" w:cs="Times New Roman"/>
          <w:color w:val="auto"/>
          <w:szCs w:val="21"/>
          <w:lang w:eastAsia="zh-CN"/>
        </w:rPr>
        <w:t>“</w:t>
      </w:r>
      <w:r>
        <w:rPr>
          <w:rFonts w:hint="default" w:ascii="Times New Roman" w:hAnsi="Times New Roman" w:eastAsia="宋体" w:cs="Times New Roman"/>
          <w:color w:val="auto"/>
          <w:szCs w:val="21"/>
        </w:rPr>
        <w:t>十三五</w:t>
      </w:r>
      <w:r>
        <w:rPr>
          <w:rFonts w:hint="eastAsia" w:cs="Times New Roman"/>
          <w:color w:val="auto"/>
          <w:szCs w:val="21"/>
          <w:lang w:eastAsia="zh-CN"/>
        </w:rPr>
        <w:t>”</w:t>
      </w:r>
      <w:r>
        <w:rPr>
          <w:rFonts w:hint="default" w:ascii="Times New Roman" w:hAnsi="Times New Roman" w:eastAsia="宋体" w:cs="Times New Roman"/>
          <w:color w:val="auto"/>
          <w:szCs w:val="21"/>
        </w:rPr>
        <w:t>约束性目标的基础上，确保将PM</w:t>
      </w:r>
      <w:r>
        <w:rPr>
          <w:rFonts w:hint="default" w:ascii="Times New Roman" w:hAnsi="Times New Roman" w:eastAsia="宋体" w:cs="Times New Roman"/>
          <w:color w:val="auto"/>
          <w:szCs w:val="21"/>
          <w:vertAlign w:val="subscript"/>
        </w:rPr>
        <w:t>2.5</w:t>
      </w:r>
      <w:r>
        <w:rPr>
          <w:rFonts w:hint="default" w:ascii="Times New Roman" w:hAnsi="Times New Roman" w:eastAsia="宋体" w:cs="Times New Roman"/>
          <w:color w:val="auto"/>
          <w:szCs w:val="21"/>
        </w:rPr>
        <w:t>浓度控制在39微克/立方米以下，空气质量优良天数比率力争达到75%以上，臭氧污染态势得到缓解。</w:t>
      </w:r>
    </w:p>
    <w:p>
      <w:pPr>
        <w:widowControl w:val="0"/>
        <w:spacing w:line="480" w:lineRule="exact"/>
        <w:ind w:firstLine="480" w:firstLineChars="20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到2024年，全面优化产业布局，大幅提升清洁能源使用比例，构建清洁低碳高效能源体系，深挖电力、钢铁行业减排潜力，进一步推进热电整合，完成重点行业低VOCs含量原辅料替代目标。升级工艺技术，优化工艺流程，提高各行业清洁化生产水平。优化调整用地结构，全面推进面源污染治理；优化运输结构，完成高排放车辆与船舶淘汰，大幅提升新能源汽车比例，强化车船排放监管。建立健全监测监控体系。不断完善城市空气质量联合会商、联动执法和跨行政区域联防联控机制，推进PM</w:t>
      </w:r>
      <w:r>
        <w:rPr>
          <w:rFonts w:hint="default" w:ascii="Times New Roman" w:hAnsi="Times New Roman" w:eastAsia="宋体" w:cs="Times New Roman"/>
          <w:color w:val="auto"/>
          <w:szCs w:val="21"/>
          <w:vertAlign w:val="subscript"/>
        </w:rPr>
        <w:t>2.5</w:t>
      </w:r>
      <w:r>
        <w:rPr>
          <w:rFonts w:hint="default" w:ascii="Times New Roman" w:hAnsi="Times New Roman" w:eastAsia="宋体" w:cs="Times New Roman"/>
          <w:color w:val="auto"/>
          <w:szCs w:val="21"/>
        </w:rPr>
        <w:t>和臭氧协同控制，实现除臭氧以外的主要大气污染物全面达标，臭氧浓度不再上升的总体目标。</w:t>
      </w:r>
    </w:p>
    <w:p>
      <w:pPr>
        <w:widowControl w:val="0"/>
        <w:spacing w:line="480" w:lineRule="exact"/>
        <w:ind w:firstLine="480" w:firstLineChars="20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届时，苏州</w:t>
      </w:r>
      <w:r>
        <w:rPr>
          <w:rFonts w:hint="default" w:ascii="Times New Roman" w:hAnsi="Times New Roman" w:eastAsia="宋体" w:cs="Times New Roman"/>
          <w:color w:val="auto"/>
          <w:szCs w:val="21"/>
          <w:lang w:val="en-US" w:eastAsia="zh-CN"/>
        </w:rPr>
        <w:t>市</w:t>
      </w:r>
      <w:r>
        <w:rPr>
          <w:rFonts w:hint="default" w:ascii="Times New Roman" w:hAnsi="Times New Roman" w:eastAsia="宋体" w:cs="Times New Roman"/>
          <w:color w:val="auto"/>
          <w:szCs w:val="21"/>
        </w:rPr>
        <w:t>区的环境空气量将得到极大的改善。</w:t>
      </w:r>
    </w:p>
    <w:p>
      <w:pPr>
        <w:pStyle w:val="5"/>
        <w:jc w:val="both"/>
        <w:rPr>
          <w:rFonts w:hint="default" w:ascii="Times New Roman" w:hAnsi="Times New Roman" w:eastAsia="宋体" w:cs="Times New Roman"/>
          <w:color w:val="auto"/>
        </w:rPr>
      </w:pPr>
      <w:bookmarkStart w:id="281" w:name="_Toc16717"/>
      <w:bookmarkStart w:id="282" w:name="_Toc507334606"/>
      <w:bookmarkStart w:id="283" w:name="_Toc492644544"/>
      <w:bookmarkStart w:id="284" w:name="_Toc503461620"/>
      <w:bookmarkStart w:id="285" w:name="_Toc424517553"/>
      <w:bookmarkStart w:id="286" w:name="_Toc469907698"/>
      <w:r>
        <w:rPr>
          <w:rFonts w:hint="default" w:ascii="Times New Roman" w:hAnsi="Times New Roman" w:eastAsia="宋体" w:cs="Times New Roman"/>
          <w:color w:val="auto"/>
        </w:rPr>
        <w:t>4.2.</w:t>
      </w:r>
      <w:r>
        <w:rPr>
          <w:rFonts w:hint="eastAsia" w:cs="Times New Roman"/>
          <w:color w:val="auto"/>
          <w:lang w:val="en-US" w:eastAsia="zh-CN"/>
        </w:rPr>
        <w:t>2</w:t>
      </w:r>
      <w:r>
        <w:rPr>
          <w:rFonts w:hint="default" w:ascii="Times New Roman" w:hAnsi="Times New Roman" w:eastAsia="宋体" w:cs="Times New Roman"/>
          <w:color w:val="auto"/>
        </w:rPr>
        <w:t>生态现状与评价</w:t>
      </w:r>
      <w:bookmarkEnd w:id="281"/>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根据2013~2018年环太湖区域水生态调查资料，区域生态环境现状情况如下：</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吴中区的路域面积有745km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，同时拥有近3/5的太湖水域面积1486km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，近一半的太湖岸线184km。太湖国家风景名胜区的13个景区中，6个属于吴中区。</w:t>
      </w:r>
    </w:p>
    <w:p>
      <w:pPr>
        <w:widowControl w:val="0"/>
        <w:spacing w:line="480" w:lineRule="exact"/>
        <w:ind w:firstLine="482" w:firstLineChars="200"/>
        <w:jc w:val="both"/>
        <w:rPr>
          <w:rFonts w:hint="default" w:ascii="Times New Roman" w:hAnsi="Times New Roman" w:eastAsia="宋体" w:cs="Times New Roman"/>
          <w:b/>
          <w:bCs/>
          <w:color w:val="auto"/>
        </w:rPr>
      </w:pPr>
      <w:r>
        <w:rPr>
          <w:rFonts w:hint="eastAsia" w:cs="Times New Roman"/>
          <w:b/>
          <w:bCs/>
          <w:color w:val="auto"/>
          <w:lang w:val="en-US" w:eastAsia="zh-CN"/>
        </w:rPr>
        <w:t>1、</w:t>
      </w:r>
      <w:r>
        <w:rPr>
          <w:rFonts w:hint="default" w:ascii="Times New Roman" w:hAnsi="Times New Roman" w:eastAsia="宋体" w:cs="Times New Roman"/>
          <w:b/>
          <w:bCs/>
          <w:color w:val="auto"/>
        </w:rPr>
        <w:t>陆域生态现状</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吴中区是典型的东部水网地区，有22条骨干河道纵横交错，其中京杭大运河贯穿全区；东部以平原为主，由水网平原、低洼圩田平原等构成，西部有低山丘陵，成</w:t>
      </w:r>
      <w:r>
        <w:rPr>
          <w:rFonts w:hint="eastAsia" w:cs="Times New Roman"/>
          <w:color w:val="auto"/>
          <w:lang w:eastAsia="zh-CN"/>
        </w:rPr>
        <w:t>“</w:t>
      </w:r>
      <w:r>
        <w:rPr>
          <w:rFonts w:hint="default" w:ascii="Times New Roman" w:hAnsi="Times New Roman" w:eastAsia="宋体" w:cs="Times New Roman"/>
          <w:color w:val="auto"/>
        </w:rPr>
        <w:t>岛</w:t>
      </w:r>
      <w:r>
        <w:rPr>
          <w:rFonts w:hint="eastAsia" w:cs="Times New Roman"/>
          <w:color w:val="auto"/>
          <w:lang w:eastAsia="zh-CN"/>
        </w:rPr>
        <w:t>”</w:t>
      </w:r>
      <w:r>
        <w:rPr>
          <w:rFonts w:hint="default" w:ascii="Times New Roman" w:hAnsi="Times New Roman" w:eastAsia="宋体" w:cs="Times New Roman"/>
          <w:color w:val="auto"/>
        </w:rPr>
        <w:t>状分布在太湖之中及沿岸镇内，丘陵山体总面积有154km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，占苏州丘陵山体的4/5，森林覆盖率超过30%。</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东太湖的两栖类、爬行类及小型哺乳类动物和鸟类资源相当丰富；植被主要由人工栽培的果树及绿化树木构成。</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①两栖类：分布在太湖周边的两栖类动物共有对数蛙形目的3科7属9种，占全国总数284种的3.17%；其中，国家Ⅱ级重点保护动物1种、江苏省重点保护动物3种。</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②爬行类：爬行动物有24种，包括龟鳖类5种、西一类7种、蛇类12种；其中，国家Ⅰ级重点保护动物1种、江苏省重点保护动物10种。</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③鸟类：在吴中区留居、旅经、繁殖的鸟类16目170种；其中，国家Ⅰ级重点保护鸟类2种、国家Ⅱ级重点保护鸟类24种、江苏省重点保护鸟类78种。</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④哺乳类：太湖地区有兽类33种，占全国兽种的7.5%；其中，国家Ⅱ级重点保护动物5种、江苏省重点保护动物8种。</w:t>
      </w:r>
    </w:p>
    <w:p>
      <w:pPr>
        <w:widowControl w:val="0"/>
        <w:spacing w:line="480" w:lineRule="exact"/>
        <w:ind w:firstLine="482" w:firstLineChars="200"/>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2、水</w:t>
      </w:r>
      <w:r>
        <w:rPr>
          <w:rFonts w:hint="default" w:ascii="Times New Roman" w:hAnsi="Times New Roman" w:eastAsia="宋体" w:cs="Times New Roman"/>
          <w:b/>
          <w:bCs/>
          <w:color w:val="auto"/>
        </w:rPr>
        <w:t>域生态现状</w:t>
      </w:r>
    </w:p>
    <w:p>
      <w:pPr>
        <w:widowControl w:val="0"/>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本次项目所在区域水域生态环境现状引用《苏州太湖国家旅游度假区总体规划环境影响跟踪评价报告书》中水域生态现状调查内容。</w:t>
      </w:r>
    </w:p>
    <w:p>
      <w:pPr>
        <w:widowControl w:val="0"/>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eastAsia="zh-CN"/>
        </w:rPr>
        <w:t>）调查时间</w:t>
      </w:r>
      <w:r>
        <w:rPr>
          <w:rFonts w:hint="default" w:ascii="Times New Roman" w:hAnsi="Times New Roman" w:eastAsia="宋体" w:cs="Times New Roman"/>
          <w:color w:val="auto"/>
          <w:lang w:val="en-US" w:eastAsia="zh-CN"/>
        </w:rPr>
        <w:t>和点位</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2018年5月开展了太湖水生态现状调查，调查范围覆盖包括太湖及吴中区沿岸点位，共布设点位17个，调查点位如图</w:t>
      </w:r>
      <w:r>
        <w:rPr>
          <w:rFonts w:hint="eastAsia" w:cs="Times New Roman"/>
          <w:color w:val="auto"/>
          <w:lang w:val="en-US" w:eastAsia="zh-CN"/>
        </w:rPr>
        <w:t>4.2</w:t>
      </w:r>
      <w:r>
        <w:rPr>
          <w:rFonts w:hint="default" w:ascii="Times New Roman" w:hAnsi="Times New Roman" w:eastAsia="宋体" w:cs="Times New Roman"/>
          <w:color w:val="auto"/>
        </w:rPr>
        <w:t>-</w:t>
      </w:r>
      <w:r>
        <w:rPr>
          <w:rFonts w:hint="eastAsia" w:cs="Times New Roman"/>
          <w:color w:val="auto"/>
          <w:lang w:val="en-US" w:eastAsia="zh-CN"/>
        </w:rPr>
        <w:t>1</w:t>
      </w:r>
      <w:r>
        <w:rPr>
          <w:rFonts w:hint="default" w:ascii="Times New Roman" w:hAnsi="Times New Roman" w:eastAsia="宋体" w:cs="Times New Roman"/>
          <w:color w:val="auto"/>
        </w:rPr>
        <w:t>所示。</w:t>
      </w:r>
    </w:p>
    <w:p>
      <w:pPr>
        <w:widowControl w:val="0"/>
        <w:spacing w:line="480" w:lineRule="exact"/>
        <w:ind w:firstLine="480" w:firstLineChars="200"/>
        <w:rPr>
          <w:rFonts w:hint="default" w:ascii="Times New Roman" w:hAnsi="Times New Roman" w:eastAsia="宋体" w:cs="Times New Roman"/>
          <w:color w:val="auto"/>
        </w:rPr>
      </w:pPr>
    </w:p>
    <w:p>
      <w:pPr>
        <w:widowControl w:val="0"/>
        <w:spacing w:line="480" w:lineRule="exact"/>
        <w:ind w:firstLine="480" w:firstLineChars="200"/>
        <w:rPr>
          <w:rFonts w:hint="default" w:ascii="Times New Roman" w:hAnsi="Times New Roman" w:eastAsia="宋体" w:cs="Times New Roman"/>
          <w:color w:val="auto"/>
        </w:rPr>
      </w:pPr>
    </w:p>
    <w:p>
      <w:pPr>
        <w:widowControl w:val="0"/>
        <w:spacing w:line="480" w:lineRule="exact"/>
        <w:ind w:firstLine="480" w:firstLineChars="200"/>
        <w:rPr>
          <w:rFonts w:hint="default" w:ascii="Times New Roman" w:hAnsi="Times New Roman" w:eastAsia="宋体" w:cs="Times New Roman"/>
          <w:color w:val="auto"/>
        </w:rPr>
      </w:pPr>
    </w:p>
    <w:p>
      <w:pPr>
        <w:widowControl w:val="0"/>
        <w:spacing w:line="480" w:lineRule="exact"/>
        <w:ind w:firstLine="480" w:firstLineChars="200"/>
        <w:rPr>
          <w:rFonts w:hint="default" w:ascii="Times New Roman" w:hAnsi="Times New Roman" w:eastAsia="宋体" w:cs="Times New Roman"/>
          <w:color w:val="auto"/>
        </w:rPr>
      </w:pPr>
    </w:p>
    <w:p>
      <w:pPr>
        <w:widowControl w:val="0"/>
        <w:spacing w:line="480" w:lineRule="exact"/>
        <w:ind w:firstLine="480" w:firstLineChars="200"/>
        <w:rPr>
          <w:rFonts w:hint="default" w:ascii="Times New Roman" w:hAnsi="Times New Roman" w:eastAsia="宋体" w:cs="Times New Roman"/>
          <w:color w:val="auto"/>
        </w:rPr>
      </w:pPr>
    </w:p>
    <w:p>
      <w:pPr>
        <w:widowControl w:val="0"/>
        <w:spacing w:line="480" w:lineRule="exact"/>
        <w:ind w:firstLine="480" w:firstLineChars="200"/>
        <w:rPr>
          <w:rFonts w:hint="default" w:ascii="Times New Roman" w:hAnsi="Times New Roman" w:eastAsia="宋体" w:cs="Times New Roman"/>
          <w:color w:val="auto"/>
        </w:rPr>
      </w:pPr>
    </w:p>
    <w:p>
      <w:pPr>
        <w:widowControl w:val="0"/>
        <w:spacing w:line="480" w:lineRule="exact"/>
        <w:ind w:firstLine="480" w:firstLineChars="200"/>
        <w:rPr>
          <w:rFonts w:hint="default" w:ascii="Times New Roman" w:hAnsi="Times New Roman" w:eastAsia="宋体" w:cs="Times New Roman"/>
          <w:color w:val="auto"/>
        </w:rPr>
      </w:pPr>
    </w:p>
    <w:p>
      <w:pPr>
        <w:widowControl w:val="0"/>
        <w:spacing w:line="480" w:lineRule="exact"/>
        <w:ind w:firstLine="480" w:firstLineChars="200"/>
        <w:rPr>
          <w:rFonts w:hint="default" w:ascii="Times New Roman" w:hAnsi="Times New Roman" w:eastAsia="宋体" w:cs="Times New Roman"/>
          <w:color w:val="auto"/>
        </w:rPr>
      </w:pPr>
      <w:r>
        <w:rPr>
          <w:rFonts w:hint="default" w:ascii="Times New Roman" w:hAnsi="Times New Roman" w:eastAsia="宋体" w:cs="Times New Roman"/>
          <w:kern w:val="0"/>
          <w:szCs w:val="28"/>
        </w:rPr>
        <w:drawing>
          <wp:anchor distT="0" distB="0" distL="0" distR="0" simplePos="0" relativeHeight="251694080" behindDoc="0" locked="0" layoutInCell="1" allowOverlap="1">
            <wp:simplePos x="0" y="0"/>
            <wp:positionH relativeFrom="column">
              <wp:posOffset>1217295</wp:posOffset>
            </wp:positionH>
            <wp:positionV relativeFrom="paragraph">
              <wp:posOffset>-5715</wp:posOffset>
            </wp:positionV>
            <wp:extent cx="3335655" cy="2689860"/>
            <wp:effectExtent l="0" t="0" r="17145" b="15240"/>
            <wp:wrapNone/>
            <wp:docPr id="135" name="图片 231" descr="C:\Users\yyu\Desktop\苏州项目\图\点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31" descr="C:\Users\yyu\Desktop\苏州项目\图\点位.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3335655" cy="2689860"/>
                    </a:xfrm>
                    <a:prstGeom prst="rect">
                      <a:avLst/>
                    </a:prstGeom>
                    <a:noFill/>
                    <a:ln>
                      <a:noFill/>
                    </a:ln>
                  </pic:spPr>
                </pic:pic>
              </a:graphicData>
            </a:graphic>
          </wp:anchor>
        </w:drawing>
      </w:r>
    </w:p>
    <w:p>
      <w:pPr>
        <w:widowControl w:val="0"/>
        <w:spacing w:line="480" w:lineRule="exact"/>
        <w:ind w:firstLine="480" w:firstLineChars="200"/>
        <w:rPr>
          <w:rFonts w:hint="default" w:ascii="Times New Roman" w:hAnsi="Times New Roman" w:eastAsia="宋体" w:cs="Times New Roman"/>
          <w:color w:val="auto"/>
        </w:rPr>
      </w:pPr>
    </w:p>
    <w:p>
      <w:pPr>
        <w:widowControl w:val="0"/>
        <w:spacing w:line="480" w:lineRule="exact"/>
        <w:ind w:firstLine="480" w:firstLineChars="200"/>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widowControl w:val="0"/>
        <w:spacing w:line="480" w:lineRule="exact"/>
        <w:ind w:firstLine="482" w:firstLineChars="200"/>
        <w:jc w:val="center"/>
        <w:rPr>
          <w:rFonts w:hint="default" w:ascii="Times New Roman" w:hAnsi="Times New Roman" w:eastAsia="宋体" w:cs="Times New Roman"/>
          <w:b/>
          <w:bCs/>
          <w:color w:val="auto"/>
          <w:lang w:val="en-US" w:eastAsia="zh-CN"/>
        </w:rPr>
      </w:pPr>
    </w:p>
    <w:p>
      <w:pPr>
        <w:widowControl w:val="0"/>
        <w:spacing w:line="480" w:lineRule="exact"/>
        <w:ind w:firstLine="482" w:firstLineChars="20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图</w:t>
      </w:r>
      <w:r>
        <w:rPr>
          <w:rFonts w:hint="eastAsia" w:cs="Times New Roman"/>
          <w:b/>
          <w:bCs/>
          <w:color w:val="auto"/>
          <w:lang w:val="en-US" w:eastAsia="zh-CN"/>
        </w:rPr>
        <w:t xml:space="preserve">4.2-1 </w:t>
      </w:r>
      <w:r>
        <w:rPr>
          <w:rFonts w:hint="default" w:ascii="Times New Roman" w:hAnsi="Times New Roman" w:eastAsia="宋体" w:cs="Times New Roman"/>
          <w:b/>
          <w:bCs/>
          <w:color w:val="auto"/>
          <w:lang w:val="en-US" w:eastAsia="zh-CN"/>
        </w:rPr>
        <w:t xml:space="preserve"> 调查点位布设</w:t>
      </w:r>
    </w:p>
    <w:p>
      <w:pPr>
        <w:widowControl w:val="0"/>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调查项目</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调查项目主要包括浮游植物、浮游动物、底栖生物、大型水生植物和鱼类。主要测定指标为丰度、生物量、优势种、多样性指数、丰富性指数等。</w:t>
      </w:r>
    </w:p>
    <w:p>
      <w:pPr>
        <w:widowControl w:val="0"/>
        <w:spacing w:line="480" w:lineRule="exact"/>
        <w:ind w:firstLine="480" w:firstLineChars="20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lang w:eastAsia="zh-CN"/>
        </w:rPr>
        <w:t>）鉴定及评价方法</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水生生物采集与分类鉴定主要参考《湖泊生态调查观测与分析》、《淡水浮游生物研究方法》、《淡水微型生物图谱》、《太湖鱼类志》、《中国水生维管束植物图谱》、《湖泊生态安全评估指南》征求意见稿等书籍与期刊。</w:t>
      </w:r>
    </w:p>
    <w:p>
      <w:pPr>
        <w:widowControl w:val="0"/>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现状调查</w:t>
      </w:r>
    </w:p>
    <w:p>
      <w:pPr>
        <w:widowControl w:val="0"/>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1）浮游植物</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太湖区域共鉴定出浮游植物60属126种，分别隶属于蓝藻门11属22种、绿藻门26属52种、硅藻门16属40种、隐藻门1属3种、裸藻门3属6种、甲藻门3属3种。蓝藻门站绝对优势，优势种主要为铜绿微囊藻，占83%；太湖吴中区沿线的绿藻门和硅藻门明显多于湖区，为太湖的5.1和5.8倍；其它湖区蓝藻站绝对优势，水槽茂盛湖区对太湖蓝藻复苏有抑制作用。近年来，太湖浮游植物的生物量逐年波动上升；从分布上基本呈现西北向东南逐步降低的趋势，西部沿岸区域和北部弯区由于营养浓度较高，水文气象条件适宜，导致该区域浮游藻类大量繁殖，由于湖心区、南部沿岸区污染较高，太湖蓝藻水华有从西北部湖区向大太湖扩散的趋势。</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浮游动物：太湖区域共鉴定出浮游动物49种；其中轮虫纲3目25种、枝角类3目14种、桡足类3目10种。轮虫纲站绝对优势。近年来，由于银鱼和小型野杂鱼等一浮游动物为食的鱼类产量增加，太湖浮游动物呈现小型化的趋势。</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底栖动物：太湖区域共鉴定出底栖生物5门9纲24目93种；其中，节肢动物门3纲9目41种、软体动物门2纲5目31种、环节动物门3纲8目19种；吴中区的腹足纲占优势。近年来，太湖底栖动物主要类群构成有所波动，优势种有所变化；底栖生物量总体来说吴中区＞太湖。</w:t>
      </w:r>
    </w:p>
    <w:p>
      <w:pPr>
        <w:widowControl w:val="0"/>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4）水生植物</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太湖区域共采集到水生植物高等23种，隶属13科14属，总体来说，太湖水生植物分布范围少，种类较为单一，主要分布在东太湖及湾区水质较好的岸带，一般透明度小于50cm的点位基本不存在水生植物。挺水植物主要有芦苇、菖蒲、茭白。沉水植物有马来眼子菜、微齿眼子菜、苦草、金鱼藻、等。浮叶植物有水花生、荇菜、金银莲花等。太湖以马来眼子菜、水皮莲、狐尾藻、微齿眼子菜、野菱为优势种，平均生物量为460.3g/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。生物量依次为：湖心&lt;西太湖&lt;竺山湾&lt;南太湖&lt;吴中区沿岸&lt;东太湖。</w:t>
      </w:r>
    </w:p>
    <w:p>
      <w:pPr>
        <w:widowControl w:val="0"/>
        <w:spacing w:line="480" w:lineRule="exact"/>
        <w:ind w:firstLine="482" w:firstLineChars="200"/>
        <w:jc w:val="both"/>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3、渔业资源</w:t>
      </w:r>
    </w:p>
    <w:p>
      <w:pPr>
        <w:widowControl w:val="0"/>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根据水利部太湖流域管理局发布的《太湖健康状态报告》资料显示，</w:t>
      </w:r>
      <w:r>
        <w:rPr>
          <w:rFonts w:hint="default" w:ascii="Times New Roman" w:hAnsi="Times New Roman" w:eastAsia="宋体" w:cs="Times New Roman"/>
        </w:rPr>
        <w:t>太湖湖体鱼类群落结构未发生明显变化，</w:t>
      </w:r>
      <w:r>
        <w:rPr>
          <w:rFonts w:hint="default" w:ascii="Times New Roman" w:hAnsi="Times New Roman" w:eastAsia="宋体" w:cs="Times New Roman"/>
          <w:lang w:val="en-US" w:eastAsia="zh-CN"/>
        </w:rPr>
        <w:t>但</w:t>
      </w:r>
      <w:r>
        <w:rPr>
          <w:rFonts w:hint="default" w:ascii="Times New Roman" w:hAnsi="Times New Roman" w:eastAsia="宋体" w:cs="Times New Roman"/>
          <w:color w:val="auto"/>
          <w:lang w:val="en-US" w:eastAsia="zh-CN"/>
        </w:rPr>
        <w:t>太湖不同生境间的鱼类群落结构差异较大；湖鲚、鲫、鲤为太湖水域湖区的优势鱼类物种；鱼类组成中幼鱼占据较大比例，小型化特征明显。湖鲚产量占比过重，鱼类群落结构不尽合理，湖鲚产量在总捕捞量中占绝对优势，2017年刀鲚渔获量占86%，湖鲚在太湖鱼类群落中的高占比严重影响了太湖其他生物种群的变化。影响湖鲚产量变化的因素很多，比如水体富营养化、捕捞强度以及与翘嘴红鲌、银鱼等主要鱼类之间的食物竞争等。</w:t>
      </w:r>
    </w:p>
    <w:p>
      <w:pPr>
        <w:jc w:val="both"/>
        <w:rPr>
          <w:rFonts w:hint="default" w:ascii="Times New Roman" w:hAnsi="Times New Roman" w:eastAsia="宋体" w:cs="Times New Roman"/>
          <w:color w:val="auto"/>
        </w:rPr>
      </w:pPr>
      <w:r>
        <w:rPr>
          <w:rFonts w:hint="default" w:ascii="Times New Roman" w:hAnsi="Times New Roman" w:eastAsia="宋体" w:cs="Times New Roman"/>
          <w:color w:val="auto"/>
        </w:rPr>
        <w:br w:type="page"/>
      </w:r>
    </w:p>
    <w:p>
      <w:pPr>
        <w:pStyle w:val="5"/>
        <w:jc w:val="both"/>
        <w:rPr>
          <w:rFonts w:hint="default" w:ascii="Times New Roman" w:hAnsi="Times New Roman" w:eastAsia="宋体" w:cs="Times New Roman"/>
          <w:color w:val="auto"/>
        </w:rPr>
      </w:pPr>
      <w:bookmarkStart w:id="287" w:name="_Toc4657"/>
      <w:r>
        <w:rPr>
          <w:rFonts w:hint="default" w:ascii="Times New Roman" w:hAnsi="Times New Roman" w:eastAsia="宋体" w:cs="Times New Roman"/>
          <w:color w:val="auto"/>
        </w:rPr>
        <w:t>4.2.</w:t>
      </w:r>
      <w:r>
        <w:rPr>
          <w:rFonts w:hint="eastAsia" w:cs="Times New Roman"/>
          <w:color w:val="auto"/>
          <w:lang w:val="en-US" w:eastAsia="zh-CN"/>
        </w:rPr>
        <w:t>3</w:t>
      </w:r>
      <w:r>
        <w:rPr>
          <w:rFonts w:hint="default" w:ascii="Times New Roman" w:hAnsi="Times New Roman" w:eastAsia="宋体" w:cs="Times New Roman"/>
          <w:color w:val="auto"/>
        </w:rPr>
        <w:t>地表水环境现状监测与评价</w:t>
      </w:r>
      <w:bookmarkEnd w:id="282"/>
      <w:bookmarkEnd w:id="283"/>
      <w:bookmarkEnd w:id="284"/>
      <w:bookmarkEnd w:id="285"/>
      <w:bookmarkEnd w:id="286"/>
      <w:bookmarkEnd w:id="287"/>
    </w:p>
    <w:p>
      <w:pPr>
        <w:tabs>
          <w:tab w:val="left" w:pos="1666"/>
        </w:tabs>
        <w:spacing w:line="480" w:lineRule="atLeast"/>
        <w:ind w:firstLine="482" w:firstLineChars="200"/>
        <w:jc w:val="both"/>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1、区域水文情势调查</w:t>
      </w:r>
    </w:p>
    <w:p>
      <w:pPr>
        <w:tabs>
          <w:tab w:val="left" w:pos="1666"/>
        </w:tabs>
        <w:spacing w:line="480" w:lineRule="atLeas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太湖流域地处长江三角洲的核心区域，北抵长江，东临东海，南滨钱塘江，西以天目山、茅山为界，流域面积为36895 km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太湖是我国第三大淡水湖泊、流域内最大湖泊，也是流域水资源调蓄和调度的中枢。太湖流域内水系以太湖为中心，分上游水系和下游水系，上游水系包括苕溪水系、南河水系及洮滆水系，发源于西部山丘区，来水汇入太湖后，经太湖调蓄从东部流出，下游水系包括北部沿长江水系、南部杭嘉湖水系、东部黄浦江水系。太湖是典型的平原河网型湖泊，出入河流有230条(其中：江苏省171个，浙江省59个)，太湖与周边河网水量交换频繁，作为流域重要的水源地，自20世纪90年代年以来，太湖流域遭遇了1991、1999和2016年流域性特大洪水，先后启动了一轮、二轮治太工程建设，并在2007年无锡供水危机后开展了水环境综合治理，一系列工程、非工程措施的实施一定程度上改变了环太湖上游入湖、下游出湖的自然格局。且随着太湖流域社会经济的高速发展和城市化进程的加快，城乡生活用水、工业用水日益增长，地区之间水资源竞争不可避免，水资源合理配置成为解决地区水资源日趋紧张的关键。</w:t>
      </w:r>
    </w:p>
    <w:p>
      <w:pPr>
        <w:tabs>
          <w:tab w:val="left" w:pos="1666"/>
        </w:tabs>
        <w:spacing w:line="480" w:lineRule="atLeast"/>
        <w:ind w:firstLine="482" w:firstLineChars="200"/>
        <w:jc w:val="both"/>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2、区域水污染源调查</w:t>
      </w:r>
    </w:p>
    <w:p>
      <w:pPr>
        <w:tabs>
          <w:tab w:val="left" w:pos="1666"/>
        </w:tabs>
        <w:spacing w:line="480" w:lineRule="atLeas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（1）资料来源及计算方法</w:t>
      </w:r>
    </w:p>
    <w:p>
      <w:pPr>
        <w:tabs>
          <w:tab w:val="left" w:pos="1666"/>
        </w:tabs>
        <w:spacing w:line="480" w:lineRule="atLeas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1）资料来源</w:t>
      </w:r>
    </w:p>
    <w:p>
      <w:pPr>
        <w:tabs>
          <w:tab w:val="left" w:pos="1666"/>
        </w:tabs>
        <w:spacing w:line="480" w:lineRule="atLeas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根据苏州市2020年统计年鉴中人口、耕地面积、畜牧业生产情况等相关资料、环境统计资料，得到研究区域工业、污水厂、人口、养殖业、种植业等信息。</w:t>
      </w:r>
    </w:p>
    <w:p>
      <w:pPr>
        <w:tabs>
          <w:tab w:val="left" w:pos="1666"/>
        </w:tabs>
        <w:spacing w:line="480" w:lineRule="atLeas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2）计算方法</w:t>
      </w:r>
    </w:p>
    <w:p>
      <w:pPr>
        <w:tabs>
          <w:tab w:val="left" w:pos="1666"/>
        </w:tabs>
        <w:spacing w:line="480" w:lineRule="atLeas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①区域污染物排放量计算方法</w:t>
      </w:r>
    </w:p>
    <w:p>
      <w:pPr>
        <w:tabs>
          <w:tab w:val="left" w:pos="1666"/>
        </w:tabs>
        <w:spacing w:line="480" w:lineRule="atLeast"/>
        <w:ind w:firstLine="480" w:firstLineChars="20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w:t>
      </w:r>
      <w:r>
        <w:rPr>
          <w:rFonts w:hint="default" w:ascii="Times New Roman" w:hAnsi="Times New Roman" w:eastAsia="宋体" w:cs="Times New Roman"/>
          <w:color w:val="auto"/>
          <w:vertAlign w:val="subscript"/>
          <w:lang w:val="en-US" w:eastAsia="zh-CN"/>
        </w:rPr>
        <w:t>p</w:t>
      </w:r>
      <w:r>
        <w:rPr>
          <w:rFonts w:hint="default" w:ascii="Times New Roman" w:hAnsi="Times New Roman" w:eastAsia="宋体" w:cs="Times New Roman"/>
          <w:color w:val="auto"/>
          <w:lang w:val="en-US" w:eastAsia="zh-CN"/>
        </w:rPr>
        <w:t>=W</w:t>
      </w:r>
      <w:r>
        <w:rPr>
          <w:rFonts w:hint="default" w:ascii="Times New Roman" w:hAnsi="Times New Roman" w:eastAsia="宋体" w:cs="Times New Roman"/>
          <w:color w:val="auto"/>
          <w:vertAlign w:val="subscript"/>
          <w:lang w:val="en-US" w:eastAsia="zh-CN"/>
        </w:rPr>
        <w:t>工p</w:t>
      </w:r>
      <w:r>
        <w:rPr>
          <w:rFonts w:hint="default" w:ascii="Times New Roman" w:hAnsi="Times New Roman" w:eastAsia="宋体" w:cs="Times New Roman"/>
          <w:color w:val="auto"/>
          <w:lang w:val="en-US" w:eastAsia="zh-CN"/>
        </w:rPr>
        <w:t>+ W</w:t>
      </w:r>
      <w:r>
        <w:rPr>
          <w:rFonts w:hint="default" w:ascii="Times New Roman" w:hAnsi="Times New Roman" w:eastAsia="宋体" w:cs="Times New Roman"/>
          <w:color w:val="auto"/>
          <w:vertAlign w:val="subscript"/>
          <w:lang w:val="en-US" w:eastAsia="zh-CN"/>
        </w:rPr>
        <w:t>生1p</w:t>
      </w:r>
      <w:r>
        <w:rPr>
          <w:rFonts w:hint="default" w:ascii="Times New Roman" w:hAnsi="Times New Roman" w:eastAsia="宋体" w:cs="Times New Roman"/>
          <w:color w:val="auto"/>
          <w:lang w:val="en-US" w:eastAsia="zh-CN"/>
        </w:rPr>
        <w:t>+ W</w:t>
      </w:r>
      <w:r>
        <w:rPr>
          <w:rFonts w:hint="default" w:ascii="Times New Roman" w:hAnsi="Times New Roman" w:eastAsia="宋体" w:cs="Times New Roman"/>
          <w:color w:val="auto"/>
          <w:vertAlign w:val="subscript"/>
          <w:lang w:val="en-US" w:eastAsia="zh-CN"/>
        </w:rPr>
        <w:t>生2p</w:t>
      </w:r>
      <w:r>
        <w:rPr>
          <w:rFonts w:hint="default" w:ascii="Times New Roman" w:hAnsi="Times New Roman" w:eastAsia="宋体" w:cs="Times New Roman"/>
          <w:color w:val="auto"/>
          <w:lang w:val="en-US" w:eastAsia="zh-CN"/>
        </w:rPr>
        <w:t>+ W</w:t>
      </w:r>
      <w:r>
        <w:rPr>
          <w:rFonts w:hint="default" w:ascii="Times New Roman" w:hAnsi="Times New Roman" w:eastAsia="宋体" w:cs="Times New Roman"/>
          <w:color w:val="auto"/>
          <w:vertAlign w:val="subscript"/>
          <w:lang w:val="en-US" w:eastAsia="zh-CN"/>
        </w:rPr>
        <w:t>畜禽p</w:t>
      </w:r>
      <w:r>
        <w:rPr>
          <w:rFonts w:hint="default" w:ascii="Times New Roman" w:hAnsi="Times New Roman" w:eastAsia="宋体" w:cs="Times New Roman"/>
          <w:color w:val="auto"/>
          <w:lang w:val="en-US" w:eastAsia="zh-CN"/>
        </w:rPr>
        <w:t>+ W</w:t>
      </w:r>
      <w:r>
        <w:rPr>
          <w:rFonts w:hint="default" w:ascii="Times New Roman" w:hAnsi="Times New Roman" w:eastAsia="宋体" w:cs="Times New Roman"/>
          <w:color w:val="auto"/>
          <w:vertAlign w:val="subscript"/>
          <w:lang w:val="en-US" w:eastAsia="zh-CN"/>
        </w:rPr>
        <w:t>水产p</w:t>
      </w:r>
      <w:r>
        <w:rPr>
          <w:rFonts w:hint="default" w:ascii="Times New Roman" w:hAnsi="Times New Roman" w:eastAsia="宋体" w:cs="Times New Roman"/>
          <w:color w:val="auto"/>
          <w:lang w:val="en-US" w:eastAsia="zh-CN"/>
        </w:rPr>
        <w:t>+ W</w:t>
      </w:r>
      <w:r>
        <w:rPr>
          <w:rFonts w:hint="default" w:ascii="Times New Roman" w:hAnsi="Times New Roman" w:eastAsia="宋体" w:cs="Times New Roman"/>
          <w:color w:val="auto"/>
          <w:vertAlign w:val="subscript"/>
          <w:lang w:val="en-US" w:eastAsia="zh-CN"/>
        </w:rPr>
        <w:t>农p</w:t>
      </w:r>
      <w:r>
        <w:rPr>
          <w:rFonts w:hint="default" w:ascii="Times New Roman" w:hAnsi="Times New Roman" w:eastAsia="宋体" w:cs="Times New Roman"/>
          <w:color w:val="auto"/>
          <w:lang w:val="en-US" w:eastAsia="zh-CN"/>
        </w:rPr>
        <w:tab/>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position w:val="-2"/>
          <w:sz w:val="16"/>
          <w:lang w:val="en-US" w:eastAsia="zh-CN"/>
        </w:rPr>
        <w:t xml:space="preserve"> </w:t>
      </w:r>
    </w:p>
    <w:p>
      <w:pPr>
        <w:tabs>
          <w:tab w:val="left" w:pos="1666"/>
        </w:tabs>
        <w:spacing w:line="480" w:lineRule="atLeas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其中：W</w:t>
      </w:r>
      <w:r>
        <w:rPr>
          <w:rFonts w:hint="default" w:ascii="Times New Roman" w:hAnsi="Times New Roman" w:eastAsia="宋体" w:cs="Times New Roman"/>
          <w:color w:val="auto"/>
          <w:vertAlign w:val="subscript"/>
          <w:lang w:val="en-US" w:eastAsia="zh-CN"/>
        </w:rPr>
        <w:t>工p</w:t>
      </w:r>
      <w:r>
        <w:rPr>
          <w:rFonts w:hint="default" w:ascii="Times New Roman" w:hAnsi="Times New Roman" w:eastAsia="宋体" w:cs="Times New Roman"/>
          <w:color w:val="auto"/>
          <w:lang w:val="en-US" w:eastAsia="zh-CN"/>
        </w:rPr>
        <w:t>为工业污染物排放量；W</w:t>
      </w:r>
      <w:r>
        <w:rPr>
          <w:rFonts w:hint="default" w:ascii="Times New Roman" w:hAnsi="Times New Roman" w:eastAsia="宋体" w:cs="Times New Roman"/>
          <w:color w:val="auto"/>
          <w:vertAlign w:val="subscript"/>
          <w:lang w:val="en-US" w:eastAsia="zh-CN"/>
        </w:rPr>
        <w:t>生1p</w:t>
      </w:r>
      <w:r>
        <w:rPr>
          <w:rFonts w:hint="default" w:ascii="Times New Roman" w:hAnsi="Times New Roman" w:eastAsia="宋体" w:cs="Times New Roman"/>
          <w:color w:val="auto"/>
          <w:lang w:val="en-US" w:eastAsia="zh-CN"/>
        </w:rPr>
        <w:t>为城镇生活污染物排放量；W</w:t>
      </w:r>
      <w:r>
        <w:rPr>
          <w:rFonts w:hint="default" w:ascii="Times New Roman" w:hAnsi="Times New Roman" w:eastAsia="宋体" w:cs="Times New Roman"/>
          <w:color w:val="auto"/>
          <w:vertAlign w:val="subscript"/>
          <w:lang w:val="en-US" w:eastAsia="zh-CN"/>
        </w:rPr>
        <w:t>生2p</w:t>
      </w:r>
      <w:r>
        <w:rPr>
          <w:rFonts w:hint="default" w:ascii="Times New Roman" w:hAnsi="Times New Roman" w:eastAsia="宋体" w:cs="Times New Roman"/>
          <w:color w:val="auto"/>
          <w:lang w:val="en-US" w:eastAsia="zh-CN"/>
        </w:rPr>
        <w:t>为农村生活污染物排放量；W</w:t>
      </w:r>
      <w:r>
        <w:rPr>
          <w:rFonts w:hint="default" w:ascii="Times New Roman" w:hAnsi="Times New Roman" w:eastAsia="宋体" w:cs="Times New Roman"/>
          <w:color w:val="auto"/>
          <w:vertAlign w:val="subscript"/>
          <w:lang w:val="en-US" w:eastAsia="zh-CN"/>
        </w:rPr>
        <w:t>畜禽p</w:t>
      </w:r>
      <w:r>
        <w:rPr>
          <w:rFonts w:hint="default" w:ascii="Times New Roman" w:hAnsi="Times New Roman" w:eastAsia="宋体" w:cs="Times New Roman"/>
          <w:color w:val="auto"/>
          <w:lang w:val="en-US" w:eastAsia="zh-CN"/>
        </w:rPr>
        <w:t>为畜禽养殖污染物排放量；W</w:t>
      </w:r>
      <w:r>
        <w:rPr>
          <w:rFonts w:hint="default" w:ascii="Times New Roman" w:hAnsi="Times New Roman" w:eastAsia="宋体" w:cs="Times New Roman"/>
          <w:color w:val="auto"/>
          <w:vertAlign w:val="subscript"/>
          <w:lang w:val="en-US" w:eastAsia="zh-CN"/>
        </w:rPr>
        <w:t>水产p</w:t>
      </w:r>
      <w:r>
        <w:rPr>
          <w:rFonts w:hint="default" w:ascii="Times New Roman" w:hAnsi="Times New Roman" w:eastAsia="宋体" w:cs="Times New Roman"/>
          <w:color w:val="auto"/>
          <w:lang w:val="en-US" w:eastAsia="zh-CN"/>
        </w:rPr>
        <w:t>为水产养殖污染物排放量；W</w:t>
      </w:r>
      <w:r>
        <w:rPr>
          <w:rFonts w:hint="default" w:ascii="Times New Roman" w:hAnsi="Times New Roman" w:eastAsia="宋体" w:cs="Times New Roman"/>
          <w:color w:val="auto"/>
          <w:vertAlign w:val="subscript"/>
          <w:lang w:val="en-US" w:eastAsia="zh-CN"/>
        </w:rPr>
        <w:t>农p</w:t>
      </w:r>
      <w:r>
        <w:rPr>
          <w:rFonts w:hint="default" w:ascii="Times New Roman" w:hAnsi="Times New Roman" w:eastAsia="宋体" w:cs="Times New Roman"/>
          <w:color w:val="auto"/>
          <w:lang w:val="en-US" w:eastAsia="zh-CN"/>
        </w:rPr>
        <w:t>为农田污染物排放量。</w:t>
      </w:r>
    </w:p>
    <w:p>
      <w:pPr>
        <w:tabs>
          <w:tab w:val="left" w:pos="1666"/>
        </w:tabs>
        <w:spacing w:line="480" w:lineRule="atLeas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Ⅰ、工业污染源排放量计算</w:t>
      </w:r>
    </w:p>
    <w:p>
      <w:pPr>
        <w:tabs>
          <w:tab w:val="left" w:pos="1666"/>
        </w:tabs>
        <w:spacing w:line="480" w:lineRule="atLeast"/>
        <w:ind w:firstLine="480" w:firstLineChars="20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w:t>
      </w:r>
      <w:r>
        <w:rPr>
          <w:rFonts w:hint="default" w:ascii="Times New Roman" w:hAnsi="Times New Roman" w:eastAsia="宋体" w:cs="Times New Roman"/>
          <w:color w:val="auto"/>
          <w:vertAlign w:val="subscript"/>
          <w:lang w:val="en-US" w:eastAsia="zh-CN"/>
        </w:rPr>
        <w:t>工p</w:t>
      </w:r>
      <w:r>
        <w:rPr>
          <w:rFonts w:hint="default" w:ascii="Times New Roman" w:hAnsi="Times New Roman" w:eastAsia="宋体" w:cs="Times New Roman"/>
          <w:color w:val="auto"/>
          <w:lang w:val="en-US" w:eastAsia="zh-CN"/>
        </w:rPr>
        <w:t>= W</w:t>
      </w:r>
      <w:r>
        <w:rPr>
          <w:rFonts w:hint="default" w:ascii="Times New Roman" w:hAnsi="Times New Roman" w:eastAsia="宋体" w:cs="Times New Roman"/>
          <w:color w:val="auto"/>
          <w:vertAlign w:val="subscript"/>
          <w:lang w:val="en-US" w:eastAsia="zh-CN"/>
        </w:rPr>
        <w:t>工zp</w:t>
      </w:r>
      <w:r>
        <w:rPr>
          <w:rFonts w:hint="default" w:ascii="Times New Roman" w:hAnsi="Times New Roman" w:eastAsia="宋体" w:cs="Times New Roman"/>
          <w:color w:val="auto"/>
          <w:lang w:val="en-US" w:eastAsia="zh-CN"/>
        </w:rPr>
        <w:t xml:space="preserve"> +θ</w:t>
      </w:r>
      <w:r>
        <w:rPr>
          <w:rFonts w:hint="default" w:ascii="Times New Roman" w:hAnsi="Times New Roman" w:eastAsia="宋体" w:cs="Times New Roman"/>
          <w:color w:val="auto"/>
          <w:vertAlign w:val="subscript"/>
          <w:lang w:val="en-US" w:eastAsia="zh-CN"/>
        </w:rPr>
        <w:t>1</w:t>
      </w:r>
      <w:r>
        <w:rPr>
          <w:rFonts w:hint="default" w:ascii="Times New Roman" w:hAnsi="Times New Roman" w:eastAsia="宋体" w:cs="Times New Roman"/>
          <w:color w:val="auto"/>
          <w:lang w:val="en-US" w:eastAsia="zh-CN"/>
        </w:rPr>
        <w:tab/>
      </w:r>
      <w:r>
        <w:rPr>
          <w:rFonts w:hint="default" w:ascii="Times New Roman" w:hAnsi="Times New Roman" w:eastAsia="宋体" w:cs="Times New Roman"/>
          <w:color w:val="auto"/>
          <w:lang w:val="en-US" w:eastAsia="zh-CN"/>
        </w:rPr>
        <w:t xml:space="preserve">   </w:t>
      </w:r>
    </w:p>
    <w:p>
      <w:pPr>
        <w:tabs>
          <w:tab w:val="left" w:pos="1666"/>
        </w:tabs>
        <w:spacing w:line="480" w:lineRule="atLeas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其中：</w:t>
      </w:r>
      <w:r>
        <w:rPr>
          <w:rFonts w:hint="default" w:ascii="Times New Roman" w:hAnsi="Times New Roman" w:eastAsia="宋体" w:cs="Times New Roman"/>
          <w:sz w:val="24"/>
        </w:rPr>
        <w:t>W</w:t>
      </w:r>
      <w:r>
        <w:rPr>
          <w:rFonts w:hint="default" w:ascii="Times New Roman" w:hAnsi="Times New Roman" w:eastAsia="宋体" w:cs="Times New Roman"/>
          <w:spacing w:val="-29"/>
          <w:position w:val="-1"/>
          <w:sz w:val="12"/>
          <w:vertAlign w:val="baseline"/>
        </w:rPr>
        <w:t xml:space="preserve"> </w:t>
      </w:r>
      <w:r>
        <w:rPr>
          <w:rFonts w:hint="default" w:ascii="Times New Roman" w:hAnsi="Times New Roman" w:eastAsia="宋体" w:cs="Times New Roman"/>
          <w:position w:val="-1"/>
          <w:sz w:val="12"/>
          <w:lang w:val="en-US" w:eastAsia="zh-CN"/>
        </w:rPr>
        <w:t>工</w:t>
      </w:r>
      <w:r>
        <w:rPr>
          <w:rFonts w:hint="default" w:ascii="Times New Roman" w:hAnsi="Times New Roman" w:eastAsia="宋体" w:cs="Times New Roman"/>
          <w:position w:val="-1"/>
          <w:sz w:val="16"/>
          <w:szCs w:val="16"/>
          <w:lang w:val="en-US" w:eastAsia="zh-CN"/>
        </w:rPr>
        <w:t>zp</w:t>
      </w:r>
      <w:r>
        <w:rPr>
          <w:rFonts w:hint="default" w:ascii="Times New Roman" w:hAnsi="Times New Roman" w:eastAsia="宋体" w:cs="Times New Roman"/>
          <w:color w:val="auto"/>
          <w:lang w:val="en-US" w:eastAsia="zh-CN"/>
        </w:rPr>
        <w:t>为工业污染物直排量；θ</w:t>
      </w:r>
      <w:r>
        <w:rPr>
          <w:rFonts w:hint="default" w:ascii="Times New Roman" w:hAnsi="Times New Roman" w:eastAsia="宋体" w:cs="Times New Roman"/>
          <w:color w:val="auto"/>
          <w:vertAlign w:val="subscript"/>
          <w:lang w:val="en-US" w:eastAsia="zh-CN"/>
        </w:rPr>
        <w:t>1</w:t>
      </w:r>
      <w:r>
        <w:rPr>
          <w:rFonts w:hint="default" w:ascii="Times New Roman" w:hAnsi="Times New Roman" w:eastAsia="宋体" w:cs="Times New Roman"/>
          <w:color w:val="auto"/>
          <w:lang w:val="en-US" w:eastAsia="zh-CN"/>
        </w:rPr>
        <w:t>为污水处理厂工业污染物部分的排放量。</w:t>
      </w:r>
    </w:p>
    <w:p>
      <w:pPr>
        <w:tabs>
          <w:tab w:val="left" w:pos="1666"/>
        </w:tabs>
        <w:spacing w:line="480" w:lineRule="atLeas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Ⅱ、生活污染物排放量计算</w:t>
      </w:r>
    </w:p>
    <w:p>
      <w:pPr>
        <w:tabs>
          <w:tab w:val="left" w:pos="1666"/>
        </w:tabs>
        <w:spacing w:line="480" w:lineRule="atLeas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a.生活污染物产生量</w:t>
      </w:r>
    </w:p>
    <w:p>
      <w:pPr>
        <w:tabs>
          <w:tab w:val="left" w:pos="1666"/>
        </w:tabs>
        <w:spacing w:line="480" w:lineRule="atLeast"/>
        <w:ind w:firstLine="480" w:firstLineChars="20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w:t>
      </w:r>
      <w:r>
        <w:rPr>
          <w:rFonts w:hint="default" w:ascii="Times New Roman" w:hAnsi="Times New Roman" w:eastAsia="宋体" w:cs="Times New Roman"/>
          <w:color w:val="auto"/>
          <w:vertAlign w:val="subscript"/>
          <w:lang w:val="en-US" w:eastAsia="zh-CN"/>
        </w:rPr>
        <w:t>产生1</w:t>
      </w:r>
      <w:r>
        <w:rPr>
          <w:rFonts w:hint="default" w:ascii="Times New Roman" w:hAnsi="Times New Roman" w:eastAsia="宋体" w:cs="Times New Roman"/>
          <w:color w:val="auto"/>
          <w:lang w:val="en-US" w:eastAsia="zh-CN"/>
        </w:rPr>
        <w:t>= N</w:t>
      </w:r>
      <w:r>
        <w:rPr>
          <w:rFonts w:hint="default" w:ascii="Times New Roman" w:hAnsi="Times New Roman" w:eastAsia="宋体" w:cs="Times New Roman"/>
          <w:color w:val="auto"/>
          <w:vertAlign w:val="subscript"/>
          <w:lang w:val="en-US" w:eastAsia="zh-CN"/>
        </w:rPr>
        <w:t>城</w:t>
      </w:r>
      <w:r>
        <w:rPr>
          <w:rFonts w:hint="default" w:ascii="Times New Roman" w:hAnsi="Times New Roman" w:eastAsia="宋体" w:cs="Times New Roman"/>
          <w:color w:val="auto"/>
          <w:lang w:val="en-US" w:eastAsia="zh-CN"/>
        </w:rPr>
        <w:t>×α</w:t>
      </w:r>
      <w:r>
        <w:rPr>
          <w:rFonts w:hint="default" w:ascii="Times New Roman" w:hAnsi="Times New Roman" w:eastAsia="宋体" w:cs="Times New Roman"/>
          <w:color w:val="auto"/>
          <w:vertAlign w:val="subscript"/>
          <w:lang w:val="en-US" w:eastAsia="zh-CN"/>
        </w:rPr>
        <w:t>1</w:t>
      </w:r>
      <w:r>
        <w:rPr>
          <w:rFonts w:hint="default" w:ascii="Times New Roman" w:hAnsi="Times New Roman" w:eastAsia="宋体" w:cs="Times New Roman"/>
          <w:color w:val="auto"/>
          <w:lang w:val="en-US" w:eastAsia="zh-CN"/>
        </w:rPr>
        <w:tab/>
      </w:r>
      <w:r>
        <w:rPr>
          <w:rFonts w:hint="default" w:ascii="Times New Roman" w:hAnsi="Times New Roman" w:eastAsia="宋体" w:cs="Times New Roman"/>
          <w:color w:val="auto"/>
          <w:lang w:val="en-US" w:eastAsia="zh-CN"/>
        </w:rPr>
        <w:t xml:space="preserve"> </w:t>
      </w:r>
    </w:p>
    <w:p>
      <w:pPr>
        <w:tabs>
          <w:tab w:val="left" w:pos="1666"/>
        </w:tabs>
        <w:spacing w:line="480" w:lineRule="atLeas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其中：N</w:t>
      </w:r>
      <w:r>
        <w:rPr>
          <w:rFonts w:hint="default" w:ascii="Times New Roman" w:hAnsi="Times New Roman" w:eastAsia="宋体" w:cs="Times New Roman"/>
          <w:color w:val="auto"/>
          <w:vertAlign w:val="subscript"/>
          <w:lang w:val="en-US" w:eastAsia="zh-CN"/>
        </w:rPr>
        <w:t>城</w:t>
      </w:r>
      <w:r>
        <w:rPr>
          <w:rFonts w:hint="default" w:ascii="Times New Roman" w:hAnsi="Times New Roman" w:eastAsia="宋体" w:cs="Times New Roman"/>
          <w:color w:val="auto"/>
          <w:lang w:val="en-US" w:eastAsia="zh-CN"/>
        </w:rPr>
        <w:t>为城镇人口数；α</w:t>
      </w:r>
      <w:r>
        <w:rPr>
          <w:rFonts w:hint="default" w:ascii="Times New Roman" w:hAnsi="Times New Roman" w:eastAsia="宋体" w:cs="Times New Roman"/>
          <w:color w:val="auto"/>
          <w:vertAlign w:val="subscript"/>
          <w:lang w:val="en-US" w:eastAsia="zh-CN"/>
        </w:rPr>
        <w:t>1</w:t>
      </w:r>
      <w:r>
        <w:rPr>
          <w:rFonts w:hint="default" w:ascii="Times New Roman" w:hAnsi="Times New Roman" w:eastAsia="宋体" w:cs="Times New Roman"/>
          <w:color w:val="auto"/>
          <w:lang w:val="en-US" w:eastAsia="zh-CN"/>
        </w:rPr>
        <w:t>为城镇生活排污系数。根据《城市居民生活用水量标准》（GB/T50331-2002）、《江苏省城市生活与公共用水定额》（2006年），选取城镇居民人均日用水量取160L（/人·天），根据《城市排水工程规划方案》（GB50318-2000）取生活污水排污系数为0.85，人均日干物质排放量COD取110g/（人·天）、氨氮取12.5g/（人·天）、总磷取1.15g/（人·天）。</w:t>
      </w:r>
    </w:p>
    <w:p>
      <w:pPr>
        <w:tabs>
          <w:tab w:val="left" w:pos="1666"/>
        </w:tabs>
        <w:spacing w:line="480" w:lineRule="atLeast"/>
        <w:ind w:firstLine="480" w:firstLineChars="20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w:t>
      </w:r>
      <w:r>
        <w:rPr>
          <w:rFonts w:hint="default" w:ascii="Times New Roman" w:hAnsi="Times New Roman" w:eastAsia="宋体" w:cs="Times New Roman"/>
          <w:color w:val="auto"/>
          <w:vertAlign w:val="subscript"/>
          <w:lang w:val="en-US" w:eastAsia="zh-CN"/>
        </w:rPr>
        <w:t>产生2</w:t>
      </w:r>
      <w:r>
        <w:rPr>
          <w:rFonts w:hint="default" w:ascii="Times New Roman" w:hAnsi="Times New Roman" w:eastAsia="宋体" w:cs="Times New Roman"/>
          <w:color w:val="auto"/>
          <w:lang w:val="en-US" w:eastAsia="zh-CN"/>
        </w:rPr>
        <w:t>=N</w:t>
      </w:r>
      <w:r>
        <w:rPr>
          <w:rFonts w:hint="default" w:ascii="Times New Roman" w:hAnsi="Times New Roman" w:eastAsia="宋体" w:cs="Times New Roman"/>
          <w:color w:val="auto"/>
          <w:vertAlign w:val="subscript"/>
          <w:lang w:val="en-US" w:eastAsia="zh-CN"/>
        </w:rPr>
        <w:t>农</w:t>
      </w:r>
      <w:r>
        <w:rPr>
          <w:rFonts w:hint="default" w:ascii="Times New Roman" w:hAnsi="Times New Roman" w:eastAsia="宋体" w:cs="Times New Roman"/>
          <w:color w:val="auto"/>
          <w:lang w:val="en-US" w:eastAsia="zh-CN"/>
        </w:rPr>
        <w:t>×α</w:t>
      </w:r>
      <w:r>
        <w:rPr>
          <w:rFonts w:hint="default" w:ascii="Times New Roman" w:hAnsi="Times New Roman" w:eastAsia="宋体" w:cs="Times New Roman"/>
          <w:color w:val="auto"/>
          <w:vertAlign w:val="subscript"/>
          <w:lang w:val="en-US" w:eastAsia="zh-CN"/>
        </w:rPr>
        <w:t xml:space="preserve">2 </w:t>
      </w:r>
      <w:r>
        <w:rPr>
          <w:rFonts w:hint="default" w:ascii="Times New Roman" w:hAnsi="Times New Roman" w:eastAsia="宋体" w:cs="Times New Roman"/>
          <w:color w:val="auto"/>
          <w:lang w:val="en-US" w:eastAsia="zh-CN"/>
        </w:rPr>
        <w:t xml:space="preserve">  </w:t>
      </w:r>
    </w:p>
    <w:p>
      <w:pPr>
        <w:tabs>
          <w:tab w:val="left" w:pos="1666"/>
        </w:tabs>
        <w:spacing w:line="480" w:lineRule="atLeas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其中：N</w:t>
      </w:r>
      <w:r>
        <w:rPr>
          <w:rFonts w:hint="default" w:ascii="Times New Roman" w:hAnsi="Times New Roman" w:eastAsia="宋体" w:cs="Times New Roman"/>
          <w:color w:val="auto"/>
          <w:vertAlign w:val="subscript"/>
          <w:lang w:val="en-US" w:eastAsia="zh-CN"/>
        </w:rPr>
        <w:t>农</w:t>
      </w:r>
      <w:r>
        <w:rPr>
          <w:rFonts w:hint="default" w:ascii="Times New Roman" w:hAnsi="Times New Roman" w:eastAsia="宋体" w:cs="Times New Roman"/>
          <w:color w:val="auto"/>
          <w:lang w:val="en-US" w:eastAsia="zh-CN"/>
        </w:rPr>
        <w:t>为农村人口数；α</w:t>
      </w:r>
      <w:r>
        <w:rPr>
          <w:rFonts w:hint="default" w:ascii="Times New Roman" w:hAnsi="Times New Roman" w:eastAsia="宋体" w:cs="Times New Roman"/>
          <w:color w:val="auto"/>
          <w:vertAlign w:val="subscript"/>
          <w:lang w:val="en-US" w:eastAsia="zh-CN"/>
        </w:rPr>
        <w:t>2</w:t>
      </w:r>
      <w:r>
        <w:rPr>
          <w:rFonts w:hint="default" w:ascii="Times New Roman" w:hAnsi="Times New Roman" w:eastAsia="宋体" w:cs="Times New Roman"/>
          <w:color w:val="auto"/>
          <w:lang w:val="en-US" w:eastAsia="zh-CN"/>
        </w:rPr>
        <w:t>为农村生活排污系数。根据《城市居民生活用水量标准》（GB/T50331-2002）、《江苏省城市生活与公共用水定额》（2006年），选取农村居民人均日用水量取80L（/人▪天），根据《城市排水工程规划方案》（GB50318-2000）取生活污水排污系数为0.85，人均日干物质排放量COD 取60g/（人·天）、氨氮取5.2g/（人·天）、总磷取0.45g/（人•天）。</w:t>
      </w:r>
    </w:p>
    <w:p>
      <w:pPr>
        <w:tabs>
          <w:tab w:val="left" w:pos="1666"/>
        </w:tabs>
        <w:spacing w:line="480" w:lineRule="atLeas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b.生活污水处理率</w:t>
      </w:r>
    </w:p>
    <w:p>
      <w:pPr>
        <w:tabs>
          <w:tab w:val="left" w:pos="1666"/>
        </w:tabs>
        <w:spacing w:line="480" w:lineRule="atLeas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城镇生活污水集中处理率=污水厂接管城镇生活污水量/城镇生活污水产生量；根据对农村生活污水处理设施及处理效率的调研情况，项目区域农村生活污水处理率约为10%，污染物去除率约为60%。</w:t>
      </w:r>
    </w:p>
    <w:p>
      <w:pPr>
        <w:tabs>
          <w:tab w:val="left" w:pos="1666"/>
        </w:tabs>
        <w:spacing w:line="480" w:lineRule="atLeas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c.城镇生活、农村生活污染物排放量</w:t>
      </w:r>
    </w:p>
    <w:p>
      <w:pPr>
        <w:tabs>
          <w:tab w:val="left" w:pos="1666"/>
        </w:tabs>
        <w:spacing w:line="480" w:lineRule="atLeast"/>
        <w:ind w:firstLine="480" w:firstLineChars="20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w:t>
      </w:r>
      <w:r>
        <w:rPr>
          <w:rFonts w:hint="default" w:ascii="Times New Roman" w:hAnsi="Times New Roman" w:eastAsia="宋体" w:cs="Times New Roman"/>
          <w:color w:val="auto"/>
          <w:vertAlign w:val="subscript"/>
          <w:lang w:val="en-US" w:eastAsia="zh-CN"/>
        </w:rPr>
        <w:t>生1p</w:t>
      </w:r>
      <w:r>
        <w:rPr>
          <w:rFonts w:hint="default" w:ascii="Times New Roman" w:hAnsi="Times New Roman" w:eastAsia="宋体" w:cs="Times New Roman"/>
          <w:color w:val="auto"/>
          <w:lang w:val="en-US" w:eastAsia="zh-CN"/>
        </w:rPr>
        <w:t>=W</w:t>
      </w:r>
      <w:r>
        <w:rPr>
          <w:rFonts w:hint="default" w:ascii="Times New Roman" w:hAnsi="Times New Roman" w:eastAsia="宋体" w:cs="Times New Roman"/>
          <w:color w:val="auto"/>
          <w:vertAlign w:val="subscript"/>
          <w:lang w:val="en-US" w:eastAsia="zh-CN"/>
        </w:rPr>
        <w:t>产生1</w:t>
      </w:r>
      <w:r>
        <w:rPr>
          <w:rFonts w:hint="default" w:ascii="Times New Roman" w:hAnsi="Times New Roman" w:eastAsia="宋体" w:cs="Times New Roman"/>
          <w:color w:val="auto"/>
          <w:lang w:val="en-US" w:eastAsia="zh-CN"/>
        </w:rPr>
        <w:t>×（1-城镇生活污水集中处理率）+θ</w:t>
      </w:r>
      <w:r>
        <w:rPr>
          <w:rFonts w:hint="default" w:ascii="Times New Roman" w:hAnsi="Times New Roman" w:eastAsia="宋体" w:cs="Times New Roman"/>
          <w:color w:val="auto"/>
          <w:vertAlign w:val="subscript"/>
          <w:lang w:val="en-US" w:eastAsia="zh-CN"/>
        </w:rPr>
        <w:t xml:space="preserve">2 </w:t>
      </w:r>
      <w:r>
        <w:rPr>
          <w:rFonts w:hint="default" w:ascii="Times New Roman" w:hAnsi="Times New Roman" w:eastAsia="宋体" w:cs="Times New Roman"/>
          <w:color w:val="auto"/>
          <w:lang w:val="en-US" w:eastAsia="zh-CN"/>
        </w:rPr>
        <w:t xml:space="preserve">    </w:t>
      </w:r>
    </w:p>
    <w:p>
      <w:pPr>
        <w:tabs>
          <w:tab w:val="left" w:pos="1666"/>
        </w:tabs>
        <w:spacing w:line="480" w:lineRule="atLeas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其中：θ</w:t>
      </w:r>
      <w:r>
        <w:rPr>
          <w:rFonts w:hint="default" w:ascii="Times New Roman" w:hAnsi="Times New Roman" w:eastAsia="宋体" w:cs="Times New Roman"/>
          <w:color w:val="auto"/>
          <w:vertAlign w:val="subscript"/>
          <w:lang w:val="en-US" w:eastAsia="zh-CN"/>
        </w:rPr>
        <w:t>2</w:t>
      </w:r>
      <w:r>
        <w:rPr>
          <w:rFonts w:hint="default" w:ascii="Times New Roman" w:hAnsi="Times New Roman" w:eastAsia="宋体" w:cs="Times New Roman"/>
          <w:color w:val="auto"/>
          <w:lang w:val="en-US" w:eastAsia="zh-CN"/>
        </w:rPr>
        <w:t>为污水处理厂生活污染物部分的排放量。</w:t>
      </w:r>
    </w:p>
    <w:p>
      <w:pPr>
        <w:tabs>
          <w:tab w:val="left" w:pos="1666"/>
        </w:tabs>
        <w:spacing w:line="480" w:lineRule="atLeast"/>
        <w:ind w:firstLine="480" w:firstLineChars="20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w:t>
      </w:r>
      <w:r>
        <w:rPr>
          <w:rFonts w:hint="default" w:ascii="Times New Roman" w:hAnsi="Times New Roman" w:eastAsia="宋体" w:cs="Times New Roman"/>
          <w:color w:val="auto"/>
          <w:vertAlign w:val="subscript"/>
          <w:lang w:val="en-US" w:eastAsia="zh-CN"/>
        </w:rPr>
        <w:t>升2p</w:t>
      </w:r>
      <w:r>
        <w:rPr>
          <w:rFonts w:hint="default" w:ascii="Times New Roman" w:hAnsi="Times New Roman" w:eastAsia="宋体" w:cs="Times New Roman"/>
          <w:color w:val="auto"/>
          <w:lang w:val="en-US" w:eastAsia="zh-CN"/>
        </w:rPr>
        <w:t>=W</w:t>
      </w:r>
      <w:r>
        <w:rPr>
          <w:rFonts w:hint="default" w:ascii="Times New Roman" w:hAnsi="Times New Roman" w:eastAsia="宋体" w:cs="Times New Roman"/>
          <w:color w:val="auto"/>
          <w:vertAlign w:val="subscript"/>
          <w:lang w:val="en-US" w:eastAsia="zh-CN"/>
        </w:rPr>
        <w:t>产生2</w:t>
      </w:r>
      <w:r>
        <w:rPr>
          <w:rFonts w:hint="default" w:ascii="Times New Roman" w:hAnsi="Times New Roman" w:eastAsia="宋体" w:cs="Times New Roman"/>
          <w:color w:val="auto"/>
          <w:lang w:val="en-US" w:eastAsia="zh-CN"/>
        </w:rPr>
        <w:t xml:space="preserve">×（1-农村生活污水处理率×1-污染物去除率））  </w:t>
      </w:r>
      <w:r>
        <w:rPr>
          <w:rFonts w:hint="default" w:ascii="Times New Roman" w:hAnsi="Times New Roman" w:eastAsia="宋体" w:cs="Times New Roman"/>
          <w:color w:val="000000"/>
          <w:sz w:val="23"/>
          <w:szCs w:val="24"/>
          <w:lang w:val="en-US" w:eastAsia="zh-CN"/>
        </w:rPr>
        <w:t xml:space="preserve"> </w:t>
      </w:r>
    </w:p>
    <w:p>
      <w:pPr>
        <w:tabs>
          <w:tab w:val="left" w:pos="1666"/>
        </w:tabs>
        <w:spacing w:line="480" w:lineRule="atLeas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Ⅲ、禽养殖污染物排放量计算</w:t>
      </w:r>
    </w:p>
    <w:p>
      <w:pPr>
        <w:tabs>
          <w:tab w:val="left" w:pos="1666"/>
        </w:tabs>
        <w:spacing w:line="480" w:lineRule="atLeast"/>
        <w:ind w:firstLine="480" w:firstLineChars="20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w:t>
      </w:r>
      <w:r>
        <w:rPr>
          <w:rFonts w:hint="default" w:ascii="Times New Roman" w:hAnsi="Times New Roman" w:eastAsia="宋体" w:cs="Times New Roman"/>
          <w:color w:val="auto"/>
          <w:vertAlign w:val="subscript"/>
          <w:lang w:val="en-US" w:eastAsia="zh-CN"/>
        </w:rPr>
        <w:t>畜禽p</w:t>
      </w:r>
      <w:r>
        <w:rPr>
          <w:rFonts w:hint="default" w:ascii="Times New Roman" w:hAnsi="Times New Roman" w:eastAsia="宋体" w:cs="Times New Roman"/>
          <w:color w:val="auto"/>
          <w:lang w:val="en-US" w:eastAsia="zh-CN"/>
        </w:rPr>
        <w:t>=N</w:t>
      </w:r>
      <w:r>
        <w:rPr>
          <w:rFonts w:hint="default" w:ascii="Times New Roman" w:hAnsi="Times New Roman" w:eastAsia="宋体" w:cs="Times New Roman"/>
          <w:color w:val="auto"/>
          <w:vertAlign w:val="subscript"/>
          <w:lang w:val="en-US" w:eastAsia="zh-CN"/>
        </w:rPr>
        <w:t>畜禽</w:t>
      </w:r>
      <w:r>
        <w:rPr>
          <w:rFonts w:hint="default" w:ascii="Times New Roman" w:hAnsi="Times New Roman" w:eastAsia="宋体" w:cs="Times New Roman"/>
          <w:color w:val="auto"/>
          <w:lang w:val="en-US" w:eastAsia="zh-CN"/>
        </w:rPr>
        <w:t>×α</w:t>
      </w:r>
      <w:r>
        <w:rPr>
          <w:rFonts w:hint="default" w:ascii="Times New Roman" w:hAnsi="Times New Roman" w:eastAsia="宋体" w:cs="Times New Roman"/>
          <w:color w:val="auto"/>
          <w:vertAlign w:val="subscript"/>
          <w:lang w:val="en-US" w:eastAsia="zh-CN"/>
        </w:rPr>
        <w:t>3</w:t>
      </w:r>
      <w:r>
        <w:rPr>
          <w:rFonts w:hint="default" w:ascii="Times New Roman" w:hAnsi="Times New Roman" w:eastAsia="宋体" w:cs="Times New Roman"/>
          <w:color w:val="auto"/>
          <w:lang w:val="en-US" w:eastAsia="zh-CN"/>
        </w:rPr>
        <w:t xml:space="preserve">     </w:t>
      </w:r>
    </w:p>
    <w:p>
      <w:pPr>
        <w:tabs>
          <w:tab w:val="left" w:pos="1666"/>
        </w:tabs>
        <w:spacing w:line="480" w:lineRule="atLeas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其中：N</w:t>
      </w:r>
      <w:r>
        <w:rPr>
          <w:rFonts w:hint="default" w:ascii="Times New Roman" w:hAnsi="Times New Roman" w:eastAsia="宋体" w:cs="Times New Roman"/>
          <w:color w:val="auto"/>
          <w:vertAlign w:val="subscript"/>
          <w:lang w:val="en-US" w:eastAsia="zh-CN"/>
        </w:rPr>
        <w:t>畜禽</w:t>
      </w:r>
      <w:r>
        <w:rPr>
          <w:rFonts w:hint="default" w:ascii="Times New Roman" w:hAnsi="Times New Roman" w:eastAsia="宋体" w:cs="Times New Roman"/>
          <w:color w:val="auto"/>
          <w:lang w:val="en-US" w:eastAsia="zh-CN"/>
        </w:rPr>
        <w:t>为饲养数，α</w:t>
      </w:r>
      <w:r>
        <w:rPr>
          <w:rFonts w:hint="default" w:ascii="Times New Roman" w:hAnsi="Times New Roman" w:eastAsia="宋体" w:cs="Times New Roman"/>
          <w:color w:val="auto"/>
          <w:vertAlign w:val="subscript"/>
          <w:lang w:val="en-US" w:eastAsia="zh-CN"/>
        </w:rPr>
        <w:t>3</w:t>
      </w:r>
      <w:r>
        <w:rPr>
          <w:rFonts w:hint="default" w:ascii="Times New Roman" w:hAnsi="Times New Roman" w:eastAsia="宋体" w:cs="Times New Roman"/>
          <w:color w:val="auto"/>
          <w:lang w:val="en-US" w:eastAsia="zh-CN"/>
        </w:rPr>
        <w:t>为畜禽排污系数（见表4.2-</w:t>
      </w:r>
      <w:r>
        <w:rPr>
          <w:rFonts w:hint="eastAsia" w:cs="Times New Roman"/>
          <w:color w:val="auto"/>
          <w:lang w:val="en-US" w:eastAsia="zh-CN"/>
        </w:rPr>
        <w:t>2</w:t>
      </w:r>
      <w:r>
        <w:rPr>
          <w:rFonts w:hint="default" w:ascii="Times New Roman" w:hAnsi="Times New Roman" w:eastAsia="宋体" w:cs="Times New Roman"/>
          <w:color w:val="auto"/>
          <w:lang w:val="en-US" w:eastAsia="zh-CN"/>
        </w:rPr>
        <w:t>）。对畜禽废渣以回收等方式进行处理的污染源，按产生量的12%计算污染物流失量。</w:t>
      </w:r>
    </w:p>
    <w:p>
      <w:pPr>
        <w:tabs>
          <w:tab w:val="left" w:pos="1666"/>
        </w:tabs>
        <w:spacing w:line="480" w:lineRule="atLeast"/>
        <w:ind w:firstLine="482" w:firstLineChars="20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表4.2-</w:t>
      </w:r>
      <w:r>
        <w:rPr>
          <w:rFonts w:hint="eastAsia" w:cs="Times New Roman"/>
          <w:b/>
          <w:bCs/>
          <w:color w:val="auto"/>
          <w:lang w:val="en-US" w:eastAsia="zh-CN"/>
        </w:rPr>
        <w:t>2</w:t>
      </w:r>
      <w:r>
        <w:rPr>
          <w:rFonts w:hint="default" w:ascii="Times New Roman" w:hAnsi="Times New Roman" w:eastAsia="宋体" w:cs="Times New Roman"/>
          <w:b/>
          <w:bCs/>
          <w:color w:val="auto"/>
          <w:lang w:val="en-US" w:eastAsia="zh-CN"/>
        </w:rPr>
        <w:t xml:space="preserve"> 畜禽排污系数表</w:t>
      </w:r>
    </w:p>
    <w:tbl>
      <w:tblPr>
        <w:tblStyle w:val="5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83"/>
        <w:gridCol w:w="2010"/>
        <w:gridCol w:w="1847"/>
        <w:gridCol w:w="1847"/>
        <w:gridCol w:w="18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1" w:type="pct"/>
            <w:tcBorders>
              <w:tl2br w:val="nil"/>
              <w:tr2bl w:val="nil"/>
            </w:tcBorders>
            <w:vAlign w:val="center"/>
          </w:tcPr>
          <w:p>
            <w:pPr>
              <w:widowControl w:val="0"/>
              <w:shd w:val="clear"/>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类别</w:t>
            </w:r>
          </w:p>
        </w:tc>
        <w:tc>
          <w:tcPr>
            <w:tcW w:w="1088" w:type="pct"/>
            <w:tcBorders>
              <w:tl2br w:val="nil"/>
              <w:tr2bl w:val="nil"/>
            </w:tcBorders>
            <w:vAlign w:val="center"/>
          </w:tcPr>
          <w:p>
            <w:pPr>
              <w:widowControl w:val="0"/>
              <w:shd w:val="clear"/>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单位</w:t>
            </w:r>
          </w:p>
        </w:tc>
        <w:tc>
          <w:tcPr>
            <w:tcW w:w="1000" w:type="pct"/>
            <w:tcBorders>
              <w:tl2br w:val="nil"/>
              <w:tr2bl w:val="nil"/>
            </w:tcBorders>
            <w:vAlign w:val="center"/>
          </w:tcPr>
          <w:p>
            <w:pPr>
              <w:widowControl w:val="0"/>
              <w:shd w:val="clear"/>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氨氮</w:t>
            </w:r>
          </w:p>
        </w:tc>
        <w:tc>
          <w:tcPr>
            <w:tcW w:w="1000" w:type="pct"/>
            <w:tcBorders>
              <w:tl2br w:val="nil"/>
              <w:tr2bl w:val="nil"/>
            </w:tcBorders>
            <w:vAlign w:val="center"/>
          </w:tcPr>
          <w:p>
            <w:pPr>
              <w:widowControl w:val="0"/>
              <w:shd w:val="clear"/>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COD</w:t>
            </w:r>
          </w:p>
        </w:tc>
        <w:tc>
          <w:tcPr>
            <w:tcW w:w="1000" w:type="pct"/>
            <w:tcBorders>
              <w:tl2br w:val="nil"/>
              <w:tr2bl w:val="nil"/>
            </w:tcBorders>
            <w:vAlign w:val="center"/>
          </w:tcPr>
          <w:p>
            <w:pPr>
              <w:widowControl w:val="0"/>
              <w:shd w:val="clear"/>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总磷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1" w:type="pct"/>
            <w:tcBorders>
              <w:tl2br w:val="nil"/>
              <w:tr2bl w:val="nil"/>
            </w:tcBorders>
            <w:vAlign w:val="center"/>
          </w:tcPr>
          <w:p>
            <w:pPr>
              <w:widowControl w:val="0"/>
              <w:shd w:val="clear"/>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猪</w:t>
            </w:r>
          </w:p>
        </w:tc>
        <w:tc>
          <w:tcPr>
            <w:tcW w:w="1088" w:type="pct"/>
            <w:tcBorders>
              <w:tl2br w:val="nil"/>
              <w:tr2bl w:val="nil"/>
            </w:tcBorders>
            <w:vAlign w:val="center"/>
          </w:tcPr>
          <w:p>
            <w:pPr>
              <w:widowControl w:val="0"/>
              <w:shd w:val="clear"/>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kg/年·头</w:t>
            </w:r>
          </w:p>
        </w:tc>
        <w:tc>
          <w:tcPr>
            <w:tcW w:w="1000" w:type="pct"/>
            <w:tcBorders>
              <w:tl2br w:val="nil"/>
              <w:tr2bl w:val="nil"/>
            </w:tcBorders>
            <w:vAlign w:val="center"/>
          </w:tcPr>
          <w:p>
            <w:pPr>
              <w:widowControl w:val="0"/>
              <w:shd w:val="clear"/>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1.62</w:t>
            </w:r>
          </w:p>
        </w:tc>
        <w:tc>
          <w:tcPr>
            <w:tcW w:w="1000" w:type="pct"/>
            <w:tcBorders>
              <w:tl2br w:val="nil"/>
              <w:tr2bl w:val="nil"/>
            </w:tcBorders>
            <w:vAlign w:val="center"/>
          </w:tcPr>
          <w:p>
            <w:pPr>
              <w:widowControl w:val="0"/>
              <w:shd w:val="clear"/>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20.06</w:t>
            </w:r>
          </w:p>
        </w:tc>
        <w:tc>
          <w:tcPr>
            <w:tcW w:w="1000" w:type="pct"/>
            <w:tcBorders>
              <w:tl2br w:val="nil"/>
              <w:tr2bl w:val="nil"/>
            </w:tcBorders>
            <w:vAlign w:val="center"/>
          </w:tcPr>
          <w:p>
            <w:pPr>
              <w:widowControl w:val="0"/>
              <w:shd w:val="clear"/>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1" w:type="pct"/>
            <w:tcBorders>
              <w:tl2br w:val="nil"/>
              <w:tr2bl w:val="nil"/>
            </w:tcBorders>
            <w:vAlign w:val="center"/>
          </w:tcPr>
          <w:p>
            <w:pPr>
              <w:widowControl w:val="0"/>
              <w:shd w:val="clear"/>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家禽</w:t>
            </w:r>
          </w:p>
        </w:tc>
        <w:tc>
          <w:tcPr>
            <w:tcW w:w="1088" w:type="pct"/>
            <w:tcBorders>
              <w:tl2br w:val="nil"/>
              <w:tr2bl w:val="nil"/>
            </w:tcBorders>
            <w:vAlign w:val="center"/>
          </w:tcPr>
          <w:p>
            <w:pPr>
              <w:widowControl w:val="0"/>
              <w:shd w:val="clear"/>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kg/年·头</w:t>
            </w:r>
          </w:p>
        </w:tc>
        <w:tc>
          <w:tcPr>
            <w:tcW w:w="1000" w:type="pct"/>
            <w:tcBorders>
              <w:tl2br w:val="nil"/>
              <w:tr2bl w:val="nil"/>
            </w:tcBorders>
            <w:vAlign w:val="center"/>
          </w:tcPr>
          <w:p>
            <w:pPr>
              <w:widowControl w:val="0"/>
              <w:shd w:val="clear"/>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0.029</w:t>
            </w:r>
          </w:p>
        </w:tc>
        <w:tc>
          <w:tcPr>
            <w:tcW w:w="1000" w:type="pct"/>
            <w:tcBorders>
              <w:tl2br w:val="nil"/>
              <w:tr2bl w:val="nil"/>
            </w:tcBorders>
            <w:vAlign w:val="center"/>
          </w:tcPr>
          <w:p>
            <w:pPr>
              <w:widowControl w:val="0"/>
              <w:shd w:val="clear"/>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0.27</w:t>
            </w:r>
          </w:p>
        </w:tc>
        <w:tc>
          <w:tcPr>
            <w:tcW w:w="1000" w:type="pct"/>
            <w:tcBorders>
              <w:tl2br w:val="nil"/>
              <w:tr2bl w:val="nil"/>
            </w:tcBorders>
            <w:vAlign w:val="center"/>
          </w:tcPr>
          <w:p>
            <w:pPr>
              <w:widowControl w:val="0"/>
              <w:shd w:val="clear"/>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1" w:type="pct"/>
            <w:tcBorders>
              <w:tl2br w:val="nil"/>
              <w:tr2bl w:val="nil"/>
            </w:tcBorders>
            <w:vAlign w:val="center"/>
          </w:tcPr>
          <w:p>
            <w:pPr>
              <w:widowControl w:val="0"/>
              <w:shd w:val="clear"/>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羊</w:t>
            </w:r>
          </w:p>
        </w:tc>
        <w:tc>
          <w:tcPr>
            <w:tcW w:w="1088" w:type="pct"/>
            <w:tcBorders>
              <w:tl2br w:val="nil"/>
              <w:tr2bl w:val="nil"/>
            </w:tcBorders>
            <w:vAlign w:val="center"/>
          </w:tcPr>
          <w:p>
            <w:pPr>
              <w:widowControl w:val="0"/>
              <w:shd w:val="clear"/>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kg/年·头</w:t>
            </w:r>
          </w:p>
        </w:tc>
        <w:tc>
          <w:tcPr>
            <w:tcW w:w="1000" w:type="pct"/>
            <w:tcBorders>
              <w:tl2br w:val="nil"/>
              <w:tr2bl w:val="nil"/>
            </w:tcBorders>
            <w:vAlign w:val="center"/>
          </w:tcPr>
          <w:p>
            <w:pPr>
              <w:widowControl w:val="0"/>
              <w:shd w:val="clear"/>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0.57</w:t>
            </w:r>
          </w:p>
        </w:tc>
        <w:tc>
          <w:tcPr>
            <w:tcW w:w="1000" w:type="pct"/>
            <w:tcBorders>
              <w:tl2br w:val="nil"/>
              <w:tr2bl w:val="nil"/>
            </w:tcBorders>
            <w:vAlign w:val="center"/>
          </w:tcPr>
          <w:p>
            <w:pPr>
              <w:widowControl w:val="0"/>
              <w:shd w:val="clear"/>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4.40</w:t>
            </w:r>
          </w:p>
        </w:tc>
        <w:tc>
          <w:tcPr>
            <w:tcW w:w="1000" w:type="pct"/>
            <w:tcBorders>
              <w:tl2br w:val="nil"/>
              <w:tr2bl w:val="nil"/>
            </w:tcBorders>
            <w:vAlign w:val="center"/>
          </w:tcPr>
          <w:p>
            <w:pPr>
              <w:widowControl w:val="0"/>
              <w:shd w:val="clear"/>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0.38</w:t>
            </w:r>
          </w:p>
        </w:tc>
      </w:tr>
    </w:tbl>
    <w:p>
      <w:pPr>
        <w:tabs>
          <w:tab w:val="left" w:pos="1666"/>
        </w:tabs>
        <w:spacing w:line="480" w:lineRule="atLeas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Ⅳ、水产养殖污染物排放量计算</w:t>
      </w:r>
    </w:p>
    <w:p>
      <w:pPr>
        <w:tabs>
          <w:tab w:val="left" w:pos="1666"/>
        </w:tabs>
        <w:spacing w:line="480" w:lineRule="atLeast"/>
        <w:ind w:firstLine="480" w:firstLineChars="20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w:t>
      </w:r>
      <w:r>
        <w:rPr>
          <w:rFonts w:hint="default" w:ascii="Times New Roman" w:hAnsi="Times New Roman" w:eastAsia="宋体" w:cs="Times New Roman"/>
          <w:color w:val="auto"/>
          <w:vertAlign w:val="subscript"/>
          <w:lang w:val="en-US" w:eastAsia="zh-CN"/>
        </w:rPr>
        <w:t>水产p</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bscript"/>
          <w:lang w:val="en-US" w:eastAsia="zh-CN"/>
        </w:rPr>
        <w:t>水产</w:t>
      </w:r>
      <w:r>
        <w:rPr>
          <w:rFonts w:hint="default" w:ascii="Times New Roman" w:hAnsi="Times New Roman" w:eastAsia="宋体" w:cs="Times New Roman"/>
          <w:color w:val="auto"/>
          <w:lang w:val="en-US" w:eastAsia="zh-CN"/>
        </w:rPr>
        <w:t>×α</w:t>
      </w:r>
      <w:r>
        <w:rPr>
          <w:rFonts w:hint="default" w:ascii="Times New Roman" w:hAnsi="Times New Roman" w:eastAsia="宋体" w:cs="Times New Roman"/>
          <w:color w:val="auto"/>
          <w:vertAlign w:val="subscript"/>
          <w:lang w:val="en-US" w:eastAsia="zh-CN"/>
        </w:rPr>
        <w:t>4</w:t>
      </w:r>
      <w:r>
        <w:rPr>
          <w:rFonts w:hint="default" w:ascii="Times New Roman" w:hAnsi="Times New Roman" w:eastAsia="宋体" w:cs="Times New Roman"/>
          <w:color w:val="auto"/>
          <w:lang w:val="en-US" w:eastAsia="zh-CN"/>
        </w:rPr>
        <w:t xml:space="preserve">     </w:t>
      </w:r>
    </w:p>
    <w:p>
      <w:pPr>
        <w:tabs>
          <w:tab w:val="left" w:pos="1666"/>
        </w:tabs>
        <w:spacing w:line="480" w:lineRule="atLeas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其中：M</w:t>
      </w:r>
      <w:r>
        <w:rPr>
          <w:rFonts w:hint="default" w:ascii="Times New Roman" w:hAnsi="Times New Roman" w:eastAsia="宋体" w:cs="Times New Roman"/>
          <w:color w:val="auto"/>
          <w:vertAlign w:val="subscript"/>
          <w:lang w:val="en-US" w:eastAsia="zh-CN"/>
        </w:rPr>
        <w:t>水产</w:t>
      </w:r>
      <w:r>
        <w:rPr>
          <w:rFonts w:hint="default" w:ascii="Times New Roman" w:hAnsi="Times New Roman" w:eastAsia="宋体" w:cs="Times New Roman"/>
          <w:color w:val="auto"/>
          <w:lang w:val="en-US" w:eastAsia="zh-CN"/>
        </w:rPr>
        <w:t>为水产养殖面积；α</w:t>
      </w:r>
      <w:r>
        <w:rPr>
          <w:rFonts w:hint="default" w:ascii="Times New Roman" w:hAnsi="Times New Roman" w:eastAsia="宋体" w:cs="Times New Roman"/>
          <w:color w:val="auto"/>
          <w:vertAlign w:val="subscript"/>
          <w:lang w:val="en-US" w:eastAsia="zh-CN"/>
        </w:rPr>
        <w:t>4</w:t>
      </w:r>
      <w:r>
        <w:rPr>
          <w:rFonts w:hint="default" w:ascii="Times New Roman" w:hAnsi="Times New Roman" w:eastAsia="宋体" w:cs="Times New Roman"/>
          <w:color w:val="auto"/>
          <w:lang w:val="en-US" w:eastAsia="zh-CN"/>
        </w:rPr>
        <w:t>为水产养殖排污系数。依据经验，COD排污系数取74.5kg/hm·a，氨氮排污系数取7.5kg/hm·a，总磷排污系数取2.85kg/hm·a。</w:t>
      </w:r>
    </w:p>
    <w:p>
      <w:pPr>
        <w:tabs>
          <w:tab w:val="left" w:pos="1666"/>
        </w:tabs>
        <w:spacing w:line="480" w:lineRule="atLeas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Ⅴ、农田污染物排放量计算</w:t>
      </w:r>
    </w:p>
    <w:p>
      <w:pPr>
        <w:tabs>
          <w:tab w:val="left" w:pos="1666"/>
        </w:tabs>
        <w:spacing w:line="480" w:lineRule="atLeast"/>
        <w:ind w:firstLine="480" w:firstLineChars="20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w:t>
      </w:r>
      <w:r>
        <w:rPr>
          <w:rFonts w:hint="default" w:ascii="Times New Roman" w:hAnsi="Times New Roman" w:eastAsia="宋体" w:cs="Times New Roman"/>
          <w:color w:val="auto"/>
          <w:vertAlign w:val="subscript"/>
          <w:lang w:val="en-US" w:eastAsia="zh-CN"/>
        </w:rPr>
        <w:t>农p</w:t>
      </w:r>
      <w:r>
        <w:rPr>
          <w:rFonts w:hint="default" w:ascii="Times New Roman" w:hAnsi="Times New Roman" w:eastAsia="宋体" w:cs="Times New Roman"/>
          <w:color w:val="auto"/>
          <w:lang w:val="en-US" w:eastAsia="zh-CN"/>
        </w:rPr>
        <w:t>=M×α</w:t>
      </w:r>
      <w:r>
        <w:rPr>
          <w:rFonts w:hint="default" w:ascii="Times New Roman" w:hAnsi="Times New Roman" w:eastAsia="宋体" w:cs="Times New Roman"/>
          <w:color w:val="auto"/>
          <w:vertAlign w:val="subscript"/>
          <w:lang w:val="en-US" w:eastAsia="zh-CN"/>
        </w:rPr>
        <w:t xml:space="preserve">5 </w:t>
      </w:r>
      <w:r>
        <w:rPr>
          <w:rFonts w:hint="default" w:ascii="Times New Roman" w:hAnsi="Times New Roman" w:eastAsia="宋体" w:cs="Times New Roman"/>
          <w:color w:val="auto"/>
          <w:lang w:val="en-US" w:eastAsia="zh-CN"/>
        </w:rPr>
        <w:t xml:space="preserve">    </w:t>
      </w:r>
    </w:p>
    <w:p>
      <w:pPr>
        <w:tabs>
          <w:tab w:val="left" w:pos="1666"/>
        </w:tabs>
        <w:spacing w:line="480" w:lineRule="atLeas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其中：M为耕地面积，α</w:t>
      </w:r>
      <w:r>
        <w:rPr>
          <w:rFonts w:hint="default" w:ascii="Times New Roman" w:hAnsi="Times New Roman" w:eastAsia="宋体" w:cs="Times New Roman"/>
          <w:color w:val="auto"/>
          <w:vertAlign w:val="subscript"/>
          <w:lang w:val="en-US" w:eastAsia="zh-CN"/>
        </w:rPr>
        <w:t>5</w:t>
      </w:r>
      <w:r>
        <w:rPr>
          <w:rFonts w:hint="default" w:ascii="Times New Roman" w:hAnsi="Times New Roman" w:eastAsia="宋体" w:cs="Times New Roman"/>
          <w:color w:val="auto"/>
          <w:lang w:val="en-US" w:eastAsia="zh-CN"/>
        </w:rPr>
        <w:t>为农田排污系数（见表4.2-</w:t>
      </w:r>
      <w:r>
        <w:rPr>
          <w:rFonts w:hint="eastAsia" w:cs="Times New Roman"/>
          <w:color w:val="auto"/>
          <w:lang w:val="en-US" w:eastAsia="zh-CN"/>
        </w:rPr>
        <w:t>3</w:t>
      </w:r>
      <w:r>
        <w:rPr>
          <w:rFonts w:hint="default" w:ascii="Times New Roman" w:hAnsi="Times New Roman" w:eastAsia="宋体" w:cs="Times New Roman"/>
          <w:color w:val="auto"/>
          <w:lang w:val="en-US" w:eastAsia="zh-CN"/>
        </w:rPr>
        <w:t>）。</w:t>
      </w:r>
    </w:p>
    <w:p>
      <w:pPr>
        <w:tabs>
          <w:tab w:val="left" w:pos="1666"/>
        </w:tabs>
        <w:spacing w:line="480" w:lineRule="atLeast"/>
        <w:ind w:firstLine="482" w:firstLineChars="20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表4.2-3 农田排污系数单位：kg/亩·年</w:t>
      </w:r>
    </w:p>
    <w:tbl>
      <w:tblPr>
        <w:tblStyle w:val="5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2513"/>
        <w:gridCol w:w="2313"/>
        <w:gridCol w:w="23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6" w:type="pct"/>
            <w:vMerge w:val="restart"/>
            <w:tcBorders>
              <w:tl2br w:val="nil"/>
              <w:tr2bl w:val="nil"/>
            </w:tcBorders>
            <w:vAlign w:val="center"/>
          </w:tcPr>
          <w:p>
            <w:pPr>
              <w:widowControl w:val="0"/>
              <w:shd w:val="clear"/>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COD</w:t>
            </w:r>
          </w:p>
        </w:tc>
        <w:tc>
          <w:tcPr>
            <w:tcW w:w="2612" w:type="pct"/>
            <w:gridSpan w:val="2"/>
            <w:tcBorders>
              <w:tl2br w:val="nil"/>
              <w:tr2bl w:val="nil"/>
            </w:tcBorders>
            <w:vAlign w:val="center"/>
          </w:tcPr>
          <w:p>
            <w:pPr>
              <w:widowControl w:val="0"/>
              <w:shd w:val="clear"/>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氨氮</w:t>
            </w:r>
          </w:p>
        </w:tc>
        <w:tc>
          <w:tcPr>
            <w:tcW w:w="1250" w:type="pct"/>
            <w:vMerge w:val="restart"/>
            <w:tcBorders>
              <w:tl2br w:val="nil"/>
              <w:tr2bl w:val="nil"/>
            </w:tcBorders>
            <w:vAlign w:val="center"/>
          </w:tcPr>
          <w:p>
            <w:pPr>
              <w:widowControl w:val="0"/>
              <w:shd w:val="clear"/>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6" w:type="pct"/>
            <w:vMerge w:val="continue"/>
            <w:tcBorders>
              <w:tl2br w:val="nil"/>
              <w:tr2bl w:val="nil"/>
            </w:tcBorders>
            <w:vAlign w:val="center"/>
          </w:tcPr>
          <w:p>
            <w:pPr>
              <w:widowControl w:val="0"/>
              <w:shd w:val="clear"/>
              <w:jc w:val="center"/>
              <w:textAlignment w:val="baseline"/>
              <w:rPr>
                <w:rFonts w:hint="default" w:ascii="Times New Roman" w:hAnsi="Times New Roman" w:eastAsia="宋体" w:cs="Times New Roman"/>
                <w:color w:val="auto"/>
                <w:kern w:val="0"/>
                <w:sz w:val="21"/>
                <w:szCs w:val="21"/>
                <w:lang w:val="en-US" w:eastAsia="zh-CN" w:bidi="ar-SA"/>
              </w:rPr>
            </w:pPr>
          </w:p>
        </w:tc>
        <w:tc>
          <w:tcPr>
            <w:tcW w:w="1360" w:type="pct"/>
            <w:tcBorders>
              <w:tl2br w:val="nil"/>
              <w:tr2bl w:val="nil"/>
            </w:tcBorders>
            <w:vAlign w:val="center"/>
          </w:tcPr>
          <w:p>
            <w:pPr>
              <w:widowControl w:val="0"/>
              <w:shd w:val="clear"/>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旱田</w:t>
            </w:r>
          </w:p>
        </w:tc>
        <w:tc>
          <w:tcPr>
            <w:tcW w:w="1252" w:type="pct"/>
            <w:tcBorders>
              <w:tl2br w:val="nil"/>
              <w:tr2bl w:val="nil"/>
            </w:tcBorders>
            <w:vAlign w:val="center"/>
          </w:tcPr>
          <w:p>
            <w:pPr>
              <w:widowControl w:val="0"/>
              <w:shd w:val="clear"/>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农田</w:t>
            </w:r>
          </w:p>
        </w:tc>
        <w:tc>
          <w:tcPr>
            <w:tcW w:w="1250" w:type="pct"/>
            <w:vMerge w:val="continue"/>
            <w:tcBorders>
              <w:tl2br w:val="nil"/>
              <w:tr2bl w:val="nil"/>
            </w:tcBorders>
            <w:vAlign w:val="center"/>
          </w:tcPr>
          <w:p>
            <w:pPr>
              <w:widowControl w:val="0"/>
              <w:shd w:val="clear"/>
              <w:jc w:val="center"/>
              <w:textAlignment w:val="baseline"/>
              <w:rPr>
                <w:rFonts w:hint="default" w:ascii="Times New Roman" w:hAnsi="Times New Roman" w:eastAsia="宋体" w:cs="Times New Roman"/>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6" w:type="pct"/>
            <w:tcBorders>
              <w:tl2br w:val="nil"/>
              <w:tr2bl w:val="nil"/>
            </w:tcBorders>
            <w:vAlign w:val="center"/>
          </w:tcPr>
          <w:p>
            <w:pPr>
              <w:widowControl w:val="0"/>
              <w:shd w:val="clear"/>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1360" w:type="pct"/>
            <w:tcBorders>
              <w:tl2br w:val="nil"/>
              <w:tr2bl w:val="nil"/>
            </w:tcBorders>
            <w:vAlign w:val="center"/>
          </w:tcPr>
          <w:p>
            <w:pPr>
              <w:widowControl w:val="0"/>
              <w:shd w:val="clear"/>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2.1</w:t>
            </w:r>
          </w:p>
        </w:tc>
        <w:tc>
          <w:tcPr>
            <w:tcW w:w="1252" w:type="pct"/>
            <w:tcBorders>
              <w:tl2br w:val="nil"/>
              <w:tr2bl w:val="nil"/>
            </w:tcBorders>
            <w:vAlign w:val="center"/>
          </w:tcPr>
          <w:p>
            <w:pPr>
              <w:widowControl w:val="0"/>
              <w:shd w:val="clear"/>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2.8</w:t>
            </w:r>
          </w:p>
        </w:tc>
        <w:tc>
          <w:tcPr>
            <w:tcW w:w="1250" w:type="pct"/>
            <w:tcBorders>
              <w:tl2br w:val="nil"/>
              <w:tr2bl w:val="nil"/>
            </w:tcBorders>
            <w:vAlign w:val="center"/>
          </w:tcPr>
          <w:p>
            <w:pPr>
              <w:widowControl w:val="0"/>
              <w:shd w:val="clear"/>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0.5</w:t>
            </w:r>
          </w:p>
        </w:tc>
      </w:tr>
    </w:tbl>
    <w:p>
      <w:pPr>
        <w:tabs>
          <w:tab w:val="left" w:pos="1666"/>
        </w:tabs>
        <w:spacing w:line="480" w:lineRule="atLeas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（2）污染源统计</w:t>
      </w:r>
    </w:p>
    <w:p>
      <w:pPr>
        <w:tabs>
          <w:tab w:val="left" w:pos="1666"/>
        </w:tabs>
        <w:spacing w:line="480" w:lineRule="atLeas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1）点源污染</w:t>
      </w:r>
    </w:p>
    <w:p>
      <w:pPr>
        <w:tabs>
          <w:tab w:val="left" w:pos="1666"/>
        </w:tabs>
        <w:spacing w:line="480" w:lineRule="atLeas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工业污染源现状：经统计，20</w:t>
      </w:r>
      <w:r>
        <w:rPr>
          <w:rFonts w:hint="eastAsia" w:cs="Times New Roman"/>
          <w:color w:val="auto"/>
          <w:lang w:val="en-US" w:eastAsia="zh-CN"/>
        </w:rPr>
        <w:t>20</w:t>
      </w:r>
      <w:r>
        <w:rPr>
          <w:rFonts w:hint="default" w:ascii="Times New Roman" w:hAnsi="Times New Roman" w:eastAsia="宋体" w:cs="Times New Roman"/>
          <w:color w:val="auto"/>
          <w:lang w:val="en-US" w:eastAsia="zh-CN"/>
        </w:rPr>
        <w:t>年苏州吴中区无直排企业，无工业废水排入太湖。</w:t>
      </w:r>
    </w:p>
    <w:p>
      <w:pPr>
        <w:tabs>
          <w:tab w:val="left" w:pos="1666"/>
        </w:tabs>
        <w:spacing w:line="480" w:lineRule="atLeas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生活污染源现状：由于苏州吴中区位于太湖下游，区内无生活污水排入太湖。</w:t>
      </w:r>
    </w:p>
    <w:p>
      <w:pPr>
        <w:tabs>
          <w:tab w:val="left" w:pos="1666"/>
        </w:tabs>
        <w:spacing w:line="480" w:lineRule="atLeas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2）农业面源污染</w:t>
      </w:r>
    </w:p>
    <w:p>
      <w:pPr>
        <w:tabs>
          <w:tab w:val="left" w:pos="1666"/>
        </w:tabs>
        <w:spacing w:line="480" w:lineRule="atLeas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苏州吴中区位于太湖下游，苏州吴中区内畜禽养殖、水产养殖、农田种植污染不会排入太湖。</w:t>
      </w:r>
    </w:p>
    <w:p>
      <w:pPr>
        <w:tabs>
          <w:tab w:val="left" w:pos="1666"/>
        </w:tabs>
        <w:spacing w:line="480" w:lineRule="atLeast"/>
        <w:ind w:firstLine="482" w:firstLineChars="200"/>
        <w:jc w:val="both"/>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3、水环境质量现状调查</w:t>
      </w:r>
    </w:p>
    <w:p>
      <w:pPr>
        <w:tabs>
          <w:tab w:val="left" w:pos="1666"/>
        </w:tabs>
        <w:spacing w:line="480" w:lineRule="atLeast"/>
        <w:ind w:firstLine="480" w:firstLineChars="200"/>
        <w:jc w:val="both"/>
        <w:rPr>
          <w:rFonts w:hint="default" w:ascii="Times New Roman" w:hAnsi="Times New Roman" w:eastAsia="宋体" w:cs="Times New Roman"/>
          <w:color w:val="auto"/>
          <w:lang w:val="en-US" w:eastAsia="zh-CN"/>
        </w:rPr>
        <w:sectPr>
          <w:pgSz w:w="11905" w:h="16838"/>
          <w:pgMar w:top="1797" w:right="1440" w:bottom="1797" w:left="1440" w:header="850" w:footer="992" w:gutter="0"/>
          <w:pgBorders>
            <w:top w:val="none" w:sz="0" w:space="0"/>
            <w:left w:val="none" w:sz="0" w:space="0"/>
            <w:bottom w:val="none" w:sz="0" w:space="0"/>
            <w:right w:val="none" w:sz="0" w:space="0"/>
          </w:pgBorders>
          <w:pgNumType w:fmt="decimal"/>
          <w:cols w:space="0" w:num="1"/>
          <w:docGrid w:type="lines" w:linePitch="392" w:charSpace="0"/>
        </w:sectPr>
      </w:pPr>
      <w:r>
        <w:rPr>
          <w:rFonts w:hint="default" w:ascii="Times New Roman" w:hAnsi="Times New Roman" w:eastAsia="宋体" w:cs="Times New Roman"/>
          <w:color w:val="auto"/>
          <w:lang w:val="en-US" w:eastAsia="zh-CN"/>
        </w:rPr>
        <w:t>（1）调查情况</w:t>
      </w:r>
    </w:p>
    <w:p>
      <w:pPr>
        <w:tabs>
          <w:tab w:val="left" w:pos="1666"/>
        </w:tabs>
        <w:spacing w:line="480" w:lineRule="atLeast"/>
        <w:ind w:firstLine="480" w:firstLineChars="200"/>
        <w:jc w:val="both"/>
        <w:rPr>
          <w:rFonts w:hint="default" w:cs="Times New Roman"/>
          <w:color w:val="auto"/>
          <w:lang w:val="en-US" w:eastAsia="zh-CN"/>
        </w:rPr>
      </w:pPr>
      <w:r>
        <w:rPr>
          <w:rFonts w:hint="eastAsia" w:cs="Times New Roman"/>
          <w:color w:val="auto"/>
          <w:lang w:val="en-US" w:eastAsia="zh-CN"/>
        </w:rPr>
        <w:t>本次评价渔洋山水源地地表水环境质量现状引用渔洋山水源地自2018年1月1日~2020年11月27日连续3年的现状监测数据，监测结果见下表：</w:t>
      </w:r>
    </w:p>
    <w:p>
      <w:pPr>
        <w:tabs>
          <w:tab w:val="left" w:pos="1666"/>
        </w:tabs>
        <w:spacing w:line="480" w:lineRule="exact"/>
        <w:ind w:firstLine="482" w:firstLineChars="200"/>
        <w:jc w:val="center"/>
        <w:rPr>
          <w:rFonts w:hint="default" w:ascii="Times New Roman" w:hAnsi="Times New Roman" w:eastAsia="宋体" w:cs="Times New Roman"/>
          <w:b/>
          <w:bCs/>
          <w:color w:val="0000FF"/>
        </w:rPr>
      </w:pPr>
      <w:r>
        <w:rPr>
          <w:rFonts w:hint="default" w:ascii="Times New Roman" w:hAnsi="Times New Roman" w:eastAsia="宋体" w:cs="Times New Roman"/>
          <w:b/>
          <w:bCs/>
          <w:color w:val="auto"/>
        </w:rPr>
        <w:t>表4.2-</w:t>
      </w:r>
      <w:r>
        <w:rPr>
          <w:rFonts w:hint="eastAsia" w:cs="Times New Roman"/>
          <w:b/>
          <w:bCs/>
          <w:color w:val="auto"/>
          <w:lang w:val="en-US" w:eastAsia="zh-CN"/>
        </w:rPr>
        <w:t>4</w:t>
      </w:r>
      <w:r>
        <w:rPr>
          <w:rFonts w:hint="default" w:ascii="Times New Roman" w:hAnsi="Times New Roman" w:eastAsia="宋体" w:cs="Times New Roman"/>
          <w:b/>
          <w:bCs/>
          <w:color w:val="auto"/>
        </w:rPr>
        <w:t xml:space="preserve">  </w:t>
      </w:r>
      <w:r>
        <w:rPr>
          <w:rFonts w:hint="eastAsia" w:ascii="Times New Roman" w:hAnsi="Times New Roman" w:cs="Times New Roman"/>
          <w:b/>
          <w:bCs/>
          <w:color w:val="auto"/>
          <w:lang w:val="en-US" w:eastAsia="zh-CN"/>
        </w:rPr>
        <w:t>渔洋山水源地现状</w:t>
      </w:r>
      <w:r>
        <w:rPr>
          <w:rFonts w:hint="default" w:ascii="Times New Roman" w:hAnsi="Times New Roman" w:eastAsia="宋体" w:cs="Times New Roman"/>
          <w:b/>
          <w:bCs/>
          <w:color w:val="auto"/>
        </w:rPr>
        <w:t xml:space="preserve">监测结果汇总 </w:t>
      </w:r>
      <w:r>
        <w:rPr>
          <w:rFonts w:hint="eastAsia" w:ascii="Times New Roman" w:hAnsi="Times New Roman" w:cs="Times New Roman"/>
          <w:b/>
          <w:bCs/>
          <w:color w:val="auto"/>
          <w:lang w:val="en-US" w:eastAsia="zh-CN"/>
        </w:rPr>
        <w:t xml:space="preserve"> 单位：mg/L</w:t>
      </w:r>
      <w:r>
        <w:rPr>
          <w:rFonts w:hint="default" w:ascii="Times New Roman" w:hAnsi="Times New Roman" w:eastAsia="宋体" w:cs="Times New Roman"/>
          <w:b/>
          <w:bCs/>
          <w:color w:val="auto"/>
        </w:rPr>
        <w:t xml:space="preserve"> </w:t>
      </w:r>
    </w:p>
    <w:tbl>
      <w:tblPr>
        <w:tblStyle w:val="55"/>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1"/>
        <w:gridCol w:w="667"/>
        <w:gridCol w:w="1169"/>
        <w:gridCol w:w="1122"/>
        <w:gridCol w:w="1295"/>
        <w:gridCol w:w="1160"/>
        <w:gridCol w:w="1315"/>
        <w:gridCol w:w="1400"/>
        <w:gridCol w:w="1183"/>
        <w:gridCol w:w="1239"/>
        <w:gridCol w:w="994"/>
        <w:gridCol w:w="1000"/>
        <w:gridCol w:w="1150"/>
        <w:gridCol w:w="11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444" w:type="pct"/>
            <w:gridSpan w:val="2"/>
            <w:vMerge w:val="restart"/>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监测时间</w:t>
            </w:r>
          </w:p>
        </w:tc>
        <w:tc>
          <w:tcPr>
            <w:tcW w:w="4555" w:type="pct"/>
            <w:gridSpan w:val="12"/>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 xml:space="preserve">监测项目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444" w:type="pct"/>
            <w:gridSpan w:val="2"/>
            <w:vMerge w:val="continue"/>
            <w:vAlign w:val="center"/>
          </w:tcPr>
          <w:p>
            <w:pPr>
              <w:snapToGrid w:val="0"/>
              <w:spacing w:line="280" w:lineRule="exact"/>
              <w:jc w:val="center"/>
            </w:pPr>
          </w:p>
        </w:tc>
        <w:tc>
          <w:tcPr>
            <w:tcW w:w="374" w:type="pct"/>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溶解氧</w:t>
            </w:r>
          </w:p>
        </w:tc>
        <w:tc>
          <w:tcPr>
            <w:tcW w:w="359" w:type="pct"/>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水温（℃）</w:t>
            </w:r>
          </w:p>
        </w:tc>
        <w:tc>
          <w:tcPr>
            <w:tcW w:w="415" w:type="pct"/>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浊度(NTU)</w:t>
            </w:r>
          </w:p>
        </w:tc>
        <w:tc>
          <w:tcPr>
            <w:tcW w:w="371" w:type="pct"/>
            <w:vAlign w:val="center"/>
          </w:tcPr>
          <w:p>
            <w:pPr>
              <w:snapToGrid w:val="0"/>
              <w:spacing w:line="280" w:lineRule="exact"/>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pH值</w:t>
            </w:r>
          </w:p>
          <w:p>
            <w:pPr>
              <w:snapToGrid w:val="0"/>
              <w:spacing w:line="280" w:lineRule="exact"/>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(无量纲)</w:t>
            </w:r>
          </w:p>
        </w:tc>
        <w:tc>
          <w:tcPr>
            <w:tcW w:w="421" w:type="pct"/>
            <w:vAlign w:val="center"/>
          </w:tcPr>
          <w:p>
            <w:pPr>
              <w:snapToGrid w:val="0"/>
              <w:spacing w:line="280" w:lineRule="exact"/>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电导率</w:t>
            </w:r>
          </w:p>
          <w:p>
            <w:pPr>
              <w:snapToGrid w:val="0"/>
              <w:spacing w:line="280" w:lineRule="exact"/>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(μs/cm)</w:t>
            </w:r>
          </w:p>
        </w:tc>
        <w:tc>
          <w:tcPr>
            <w:tcW w:w="448" w:type="pct"/>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叶绿素a</w:t>
            </w:r>
          </w:p>
        </w:tc>
        <w:tc>
          <w:tcPr>
            <w:tcW w:w="379" w:type="pct"/>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氨氮</w:t>
            </w:r>
          </w:p>
        </w:tc>
        <w:tc>
          <w:tcPr>
            <w:tcW w:w="397" w:type="pct"/>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总氮</w:t>
            </w:r>
          </w:p>
        </w:tc>
        <w:tc>
          <w:tcPr>
            <w:tcW w:w="318" w:type="pct"/>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高锰酸盐指数</w:t>
            </w:r>
          </w:p>
        </w:tc>
        <w:tc>
          <w:tcPr>
            <w:tcW w:w="320" w:type="pct"/>
            <w:vAlign w:val="center"/>
          </w:tcPr>
          <w:p>
            <w:pPr>
              <w:snapToGrid w:val="0"/>
              <w:spacing w:line="280" w:lineRule="exact"/>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藻密度</w:t>
            </w:r>
          </w:p>
          <w:p>
            <w:pPr>
              <w:snapToGrid w:val="0"/>
              <w:spacing w:line="280" w:lineRule="exact"/>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(万个/L)</w:t>
            </w:r>
          </w:p>
        </w:tc>
        <w:tc>
          <w:tcPr>
            <w:tcW w:w="368" w:type="pct"/>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总磷</w:t>
            </w:r>
          </w:p>
        </w:tc>
        <w:tc>
          <w:tcPr>
            <w:tcW w:w="379" w:type="pct"/>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氟化物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31" w:type="pct"/>
            <w:vMerge w:val="restar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2018</w:t>
            </w:r>
          </w:p>
        </w:tc>
        <w:tc>
          <w:tcPr>
            <w:tcW w:w="213"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1月</w:t>
            </w:r>
          </w:p>
        </w:tc>
        <w:tc>
          <w:tcPr>
            <w:tcW w:w="374"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11.72~14.08</w:t>
            </w:r>
          </w:p>
        </w:tc>
        <w:tc>
          <w:tcPr>
            <w:tcW w:w="35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2.2~8.4</w:t>
            </w:r>
          </w:p>
        </w:tc>
        <w:tc>
          <w:tcPr>
            <w:tcW w:w="415"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21.1~362.6</w:t>
            </w:r>
          </w:p>
        </w:tc>
        <w:tc>
          <w:tcPr>
            <w:tcW w:w="37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7.98~8.3</w:t>
            </w:r>
          </w:p>
        </w:tc>
        <w:tc>
          <w:tcPr>
            <w:tcW w:w="42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431.6~466.5</w:t>
            </w:r>
          </w:p>
        </w:tc>
        <w:tc>
          <w:tcPr>
            <w:tcW w:w="448"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0.005~0.136</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0.113~0.198</w:t>
            </w:r>
          </w:p>
        </w:tc>
        <w:tc>
          <w:tcPr>
            <w:tcW w:w="397"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1.403~4.053</w:t>
            </w:r>
          </w:p>
        </w:tc>
        <w:tc>
          <w:tcPr>
            <w:tcW w:w="31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3.93~8.22</w:t>
            </w:r>
          </w:p>
        </w:tc>
        <w:tc>
          <w:tcPr>
            <w:tcW w:w="320"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916~3028</w:t>
            </w:r>
          </w:p>
        </w:tc>
        <w:tc>
          <w:tcPr>
            <w:tcW w:w="36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0.016~0.123</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0.022~0.667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1" w:type="pct"/>
            <w:vMerge w:val="continue"/>
            <w:vAlign w:val="center"/>
          </w:tcPr>
          <w:p>
            <w:pPr>
              <w:snapToGrid w:val="0"/>
              <w:spacing w:line="280" w:lineRule="exact"/>
              <w:jc w:val="center"/>
              <w:rPr>
                <w:rFonts w:hint="default" w:ascii="Times New Roman" w:hAnsi="Times New Roman" w:eastAsia="宋体" w:cs="Times New Roman"/>
                <w:color w:val="auto"/>
                <w:sz w:val="18"/>
                <w:szCs w:val="18"/>
              </w:rPr>
            </w:pPr>
          </w:p>
        </w:tc>
        <w:tc>
          <w:tcPr>
            <w:tcW w:w="213" w:type="pct"/>
            <w:vAlign w:val="center"/>
          </w:tcPr>
          <w:p>
            <w:pPr>
              <w:snapToGrid w:val="0"/>
              <w:spacing w:line="280" w:lineRule="exact"/>
              <w:jc w:val="center"/>
              <w:rPr>
                <w:rFonts w:hint="default" w:ascii="Times New Roman" w:hAnsi="Times New Roman" w:eastAsia="宋体" w:cs="Times New Roman"/>
                <w:color w:val="auto"/>
                <w:sz w:val="18"/>
                <w:szCs w:val="18"/>
              </w:rPr>
            </w:pPr>
            <w:r>
              <w:rPr>
                <w:rFonts w:hint="eastAsia" w:ascii="Times New Roman" w:hAnsi="Times New Roman" w:cs="Times New Roman"/>
                <w:color w:val="auto"/>
                <w:sz w:val="18"/>
                <w:szCs w:val="18"/>
                <w:lang w:val="en-US" w:eastAsia="zh-CN"/>
              </w:rPr>
              <w:t>2月</w:t>
            </w:r>
          </w:p>
        </w:tc>
        <w:tc>
          <w:tcPr>
            <w:tcW w:w="374" w:type="pct"/>
            <w:vAlign w:val="center"/>
          </w:tcPr>
          <w:p>
            <w:pPr>
              <w:snapToGrid w:val="0"/>
              <w:spacing w:line="28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11.1~14.2</w:t>
            </w:r>
          </w:p>
        </w:tc>
        <w:tc>
          <w:tcPr>
            <w:tcW w:w="359" w:type="pct"/>
            <w:vAlign w:val="center"/>
          </w:tcPr>
          <w:p>
            <w:pPr>
              <w:snapToGrid w:val="0"/>
              <w:spacing w:line="28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2.2~10.9</w:t>
            </w:r>
          </w:p>
        </w:tc>
        <w:tc>
          <w:tcPr>
            <w:tcW w:w="415" w:type="pct"/>
            <w:vAlign w:val="center"/>
          </w:tcPr>
          <w:p>
            <w:pPr>
              <w:snapToGrid w:val="0"/>
              <w:spacing w:line="28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23~94.5</w:t>
            </w:r>
          </w:p>
        </w:tc>
        <w:tc>
          <w:tcPr>
            <w:tcW w:w="371" w:type="pct"/>
            <w:vAlign w:val="center"/>
          </w:tcPr>
          <w:p>
            <w:pPr>
              <w:snapToGrid w:val="0"/>
              <w:spacing w:line="28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8.03~8.29</w:t>
            </w:r>
          </w:p>
        </w:tc>
        <w:tc>
          <w:tcPr>
            <w:tcW w:w="421" w:type="pct"/>
            <w:vAlign w:val="center"/>
          </w:tcPr>
          <w:p>
            <w:pPr>
              <w:snapToGrid w:val="0"/>
              <w:spacing w:line="28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450.2~571.7</w:t>
            </w:r>
          </w:p>
        </w:tc>
        <w:tc>
          <w:tcPr>
            <w:tcW w:w="448" w:type="pct"/>
            <w:vAlign w:val="center"/>
          </w:tcPr>
          <w:p>
            <w:pPr>
              <w:snapToGrid w:val="0"/>
              <w:spacing w:line="28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0.0118~0.0235</w:t>
            </w:r>
          </w:p>
        </w:tc>
        <w:tc>
          <w:tcPr>
            <w:tcW w:w="379" w:type="pct"/>
            <w:vAlign w:val="center"/>
          </w:tcPr>
          <w:p>
            <w:pPr>
              <w:snapToGrid w:val="0"/>
              <w:spacing w:line="28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0.056~0.185</w:t>
            </w:r>
          </w:p>
        </w:tc>
        <w:tc>
          <w:tcPr>
            <w:tcW w:w="397" w:type="pct"/>
            <w:shd w:val="clear" w:color="auto" w:fill="DADADA" w:themeFill="accent3" w:themeFillTint="66"/>
            <w:vAlign w:val="center"/>
          </w:tcPr>
          <w:p>
            <w:pPr>
              <w:snapToGrid w:val="0"/>
              <w:spacing w:line="28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1.71~4.131</w:t>
            </w:r>
          </w:p>
        </w:tc>
        <w:tc>
          <w:tcPr>
            <w:tcW w:w="318" w:type="pct"/>
            <w:shd w:val="clear" w:color="auto" w:fill="DADADA" w:themeFill="accent3" w:themeFillTint="66"/>
            <w:vAlign w:val="center"/>
          </w:tcPr>
          <w:p>
            <w:pPr>
              <w:snapToGrid w:val="0"/>
              <w:spacing w:line="28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4.06~6</w:t>
            </w:r>
          </w:p>
        </w:tc>
        <w:tc>
          <w:tcPr>
            <w:tcW w:w="320" w:type="pct"/>
            <w:vAlign w:val="center"/>
          </w:tcPr>
          <w:p>
            <w:pPr>
              <w:snapToGrid w:val="0"/>
              <w:spacing w:line="28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208~910</w:t>
            </w:r>
          </w:p>
        </w:tc>
        <w:tc>
          <w:tcPr>
            <w:tcW w:w="368" w:type="pct"/>
            <w:shd w:val="clear" w:color="auto" w:fill="DADADA" w:themeFill="accent3" w:themeFillTint="66"/>
            <w:vAlign w:val="center"/>
          </w:tcPr>
          <w:p>
            <w:pPr>
              <w:snapToGrid w:val="0"/>
              <w:spacing w:line="28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0.037~0.142</w:t>
            </w:r>
          </w:p>
        </w:tc>
        <w:tc>
          <w:tcPr>
            <w:tcW w:w="379" w:type="pct"/>
            <w:vAlign w:val="center"/>
          </w:tcPr>
          <w:p>
            <w:pPr>
              <w:snapToGrid w:val="0"/>
              <w:spacing w:line="28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0.501~0.668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1" w:type="pct"/>
            <w:vMerge w:val="continue"/>
            <w:vAlign w:val="center"/>
          </w:tcPr>
          <w:p>
            <w:pPr>
              <w:widowControl w:val="0"/>
              <w:spacing w:line="320" w:lineRule="exact"/>
              <w:jc w:val="center"/>
              <w:rPr>
                <w:rFonts w:hint="default" w:ascii="Times New Roman" w:hAnsi="Times New Roman" w:eastAsia="宋体" w:cs="Times New Roman"/>
                <w:color w:val="auto"/>
                <w:sz w:val="18"/>
                <w:szCs w:val="18"/>
              </w:rPr>
            </w:pPr>
          </w:p>
        </w:tc>
        <w:tc>
          <w:tcPr>
            <w:tcW w:w="213" w:type="pct"/>
            <w:vAlign w:val="center"/>
          </w:tcPr>
          <w:p>
            <w:pPr>
              <w:widowControl w:val="0"/>
              <w:spacing w:line="320" w:lineRule="exact"/>
              <w:jc w:val="center"/>
              <w:rPr>
                <w:rFonts w:hint="default" w:ascii="Times New Roman" w:hAnsi="Times New Roman" w:eastAsia="宋体" w:cs="Times New Roman"/>
                <w:color w:val="auto"/>
                <w:sz w:val="18"/>
                <w:szCs w:val="18"/>
              </w:rPr>
            </w:pPr>
            <w:r>
              <w:rPr>
                <w:rFonts w:hint="eastAsia" w:ascii="Times New Roman" w:hAnsi="Times New Roman" w:cs="Times New Roman"/>
                <w:color w:val="auto"/>
                <w:sz w:val="18"/>
                <w:szCs w:val="18"/>
                <w:lang w:val="en-US" w:eastAsia="zh-CN"/>
              </w:rPr>
              <w:t>3月</w:t>
            </w:r>
          </w:p>
        </w:tc>
        <w:tc>
          <w:tcPr>
            <w:tcW w:w="374"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9.06~11.44</w:t>
            </w:r>
          </w:p>
        </w:tc>
        <w:tc>
          <w:tcPr>
            <w:tcW w:w="35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9.5~18.8</w:t>
            </w:r>
          </w:p>
        </w:tc>
        <w:tc>
          <w:tcPr>
            <w:tcW w:w="415"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17.3~293.2</w:t>
            </w:r>
          </w:p>
        </w:tc>
        <w:tc>
          <w:tcPr>
            <w:tcW w:w="37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7.81~8.45</w:t>
            </w:r>
          </w:p>
        </w:tc>
        <w:tc>
          <w:tcPr>
            <w:tcW w:w="42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443.5~466.3</w:t>
            </w:r>
          </w:p>
        </w:tc>
        <w:tc>
          <w:tcPr>
            <w:tcW w:w="448"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0.0025~0.0185</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0.092~0.192</w:t>
            </w:r>
          </w:p>
        </w:tc>
        <w:tc>
          <w:tcPr>
            <w:tcW w:w="397"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1.187~3.55</w:t>
            </w:r>
          </w:p>
        </w:tc>
        <w:tc>
          <w:tcPr>
            <w:tcW w:w="31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2.64~6.76</w:t>
            </w:r>
          </w:p>
        </w:tc>
        <w:tc>
          <w:tcPr>
            <w:tcW w:w="320"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134~1268</w:t>
            </w:r>
          </w:p>
        </w:tc>
        <w:tc>
          <w:tcPr>
            <w:tcW w:w="36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0.012~0.163</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0.373~0.587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1" w:type="pct"/>
            <w:vMerge w:val="continue"/>
            <w:vAlign w:val="center"/>
          </w:tcPr>
          <w:p>
            <w:pPr>
              <w:widowControl w:val="0"/>
              <w:spacing w:line="320" w:lineRule="exact"/>
              <w:jc w:val="center"/>
              <w:rPr>
                <w:rFonts w:hint="default" w:ascii="Times New Roman" w:hAnsi="Times New Roman" w:eastAsia="宋体" w:cs="Times New Roman"/>
                <w:color w:val="auto"/>
                <w:sz w:val="18"/>
                <w:szCs w:val="18"/>
              </w:rPr>
            </w:pPr>
          </w:p>
        </w:tc>
        <w:tc>
          <w:tcPr>
            <w:tcW w:w="213" w:type="pct"/>
            <w:vAlign w:val="center"/>
          </w:tcPr>
          <w:p>
            <w:pPr>
              <w:widowControl w:val="0"/>
              <w:spacing w:line="320" w:lineRule="exact"/>
              <w:jc w:val="center"/>
              <w:rPr>
                <w:rFonts w:hint="default" w:ascii="Times New Roman" w:hAnsi="Times New Roman" w:eastAsia="宋体" w:cs="Times New Roman"/>
                <w:color w:val="auto"/>
                <w:sz w:val="18"/>
                <w:szCs w:val="18"/>
              </w:rPr>
            </w:pPr>
            <w:r>
              <w:rPr>
                <w:rFonts w:hint="eastAsia" w:ascii="Times New Roman" w:hAnsi="Times New Roman" w:cs="Times New Roman"/>
                <w:color w:val="auto"/>
                <w:sz w:val="18"/>
                <w:szCs w:val="18"/>
                <w:lang w:val="en-US" w:eastAsia="zh-CN"/>
              </w:rPr>
              <w:t>4月</w:t>
            </w:r>
          </w:p>
        </w:tc>
        <w:tc>
          <w:tcPr>
            <w:tcW w:w="374"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8.09~10.18</w:t>
            </w:r>
          </w:p>
        </w:tc>
        <w:tc>
          <w:tcPr>
            <w:tcW w:w="35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14~23.6</w:t>
            </w:r>
          </w:p>
        </w:tc>
        <w:tc>
          <w:tcPr>
            <w:tcW w:w="415"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22.2~298.5</w:t>
            </w:r>
          </w:p>
        </w:tc>
        <w:tc>
          <w:tcPr>
            <w:tcW w:w="37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8.03~8.26</w:t>
            </w:r>
          </w:p>
        </w:tc>
        <w:tc>
          <w:tcPr>
            <w:tcW w:w="42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456.8~527.4</w:t>
            </w:r>
          </w:p>
        </w:tc>
        <w:tc>
          <w:tcPr>
            <w:tcW w:w="448"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0.001~0.0155</w:t>
            </w:r>
          </w:p>
        </w:tc>
        <w:tc>
          <w:tcPr>
            <w:tcW w:w="379"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0.059~0.515</w:t>
            </w:r>
          </w:p>
        </w:tc>
        <w:tc>
          <w:tcPr>
            <w:tcW w:w="397"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1.417~4.892</w:t>
            </w:r>
          </w:p>
        </w:tc>
        <w:tc>
          <w:tcPr>
            <w:tcW w:w="31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2.54~4.76</w:t>
            </w:r>
          </w:p>
        </w:tc>
        <w:tc>
          <w:tcPr>
            <w:tcW w:w="320"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33~1115</w:t>
            </w:r>
          </w:p>
        </w:tc>
        <w:tc>
          <w:tcPr>
            <w:tcW w:w="36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0.013~0.175</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0.36~0.642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1" w:type="pct"/>
            <w:vMerge w:val="continue"/>
            <w:vAlign w:val="center"/>
          </w:tcPr>
          <w:p>
            <w:pPr>
              <w:widowControl w:val="0"/>
              <w:spacing w:line="320" w:lineRule="exact"/>
              <w:jc w:val="center"/>
              <w:rPr>
                <w:rFonts w:hint="default" w:ascii="Times New Roman" w:hAnsi="Times New Roman" w:eastAsia="宋体" w:cs="Times New Roman"/>
                <w:color w:val="auto"/>
                <w:sz w:val="18"/>
                <w:szCs w:val="18"/>
              </w:rPr>
            </w:pPr>
          </w:p>
        </w:tc>
        <w:tc>
          <w:tcPr>
            <w:tcW w:w="213" w:type="pct"/>
            <w:vAlign w:val="center"/>
          </w:tcPr>
          <w:p>
            <w:pPr>
              <w:widowControl w:val="0"/>
              <w:spacing w:line="320" w:lineRule="exact"/>
              <w:jc w:val="center"/>
              <w:rPr>
                <w:rFonts w:hint="default" w:ascii="Times New Roman" w:hAnsi="Times New Roman" w:eastAsia="宋体" w:cs="Times New Roman"/>
                <w:color w:val="auto"/>
                <w:sz w:val="18"/>
                <w:szCs w:val="18"/>
              </w:rPr>
            </w:pPr>
            <w:r>
              <w:rPr>
                <w:rFonts w:hint="eastAsia" w:ascii="Times New Roman" w:hAnsi="Times New Roman" w:cs="Times New Roman"/>
                <w:color w:val="auto"/>
                <w:sz w:val="18"/>
                <w:szCs w:val="18"/>
                <w:lang w:val="en-US" w:eastAsia="zh-CN"/>
              </w:rPr>
              <w:t>5月</w:t>
            </w:r>
          </w:p>
        </w:tc>
        <w:tc>
          <w:tcPr>
            <w:tcW w:w="374"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6.78~8.97</w:t>
            </w:r>
          </w:p>
        </w:tc>
        <w:tc>
          <w:tcPr>
            <w:tcW w:w="35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20.9~29.6</w:t>
            </w:r>
          </w:p>
        </w:tc>
        <w:tc>
          <w:tcPr>
            <w:tcW w:w="415"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24.5~98.3</w:t>
            </w:r>
          </w:p>
        </w:tc>
        <w:tc>
          <w:tcPr>
            <w:tcW w:w="37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7.95~8.37</w:t>
            </w:r>
          </w:p>
        </w:tc>
        <w:tc>
          <w:tcPr>
            <w:tcW w:w="42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483.5~509.7</w:t>
            </w:r>
          </w:p>
        </w:tc>
        <w:tc>
          <w:tcPr>
            <w:tcW w:w="448"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0.0015~0.0045</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0.044~0.461</w:t>
            </w:r>
          </w:p>
        </w:tc>
        <w:tc>
          <w:tcPr>
            <w:tcW w:w="397"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1.273~4.442</w:t>
            </w:r>
          </w:p>
        </w:tc>
        <w:tc>
          <w:tcPr>
            <w:tcW w:w="318"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2.48~3.98</w:t>
            </w:r>
          </w:p>
        </w:tc>
        <w:tc>
          <w:tcPr>
            <w:tcW w:w="320"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148~1228</w:t>
            </w:r>
          </w:p>
        </w:tc>
        <w:tc>
          <w:tcPr>
            <w:tcW w:w="36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0.036~0.13</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0.477~0.603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1" w:type="pct"/>
            <w:vMerge w:val="continue"/>
            <w:vAlign w:val="center"/>
          </w:tcPr>
          <w:p>
            <w:pPr>
              <w:widowControl w:val="0"/>
              <w:spacing w:line="320" w:lineRule="exact"/>
              <w:jc w:val="center"/>
              <w:rPr>
                <w:rFonts w:hint="default" w:ascii="Times New Roman" w:hAnsi="Times New Roman" w:eastAsia="宋体" w:cs="Times New Roman"/>
                <w:color w:val="auto"/>
                <w:sz w:val="18"/>
                <w:szCs w:val="18"/>
              </w:rPr>
            </w:pPr>
          </w:p>
        </w:tc>
        <w:tc>
          <w:tcPr>
            <w:tcW w:w="213" w:type="pct"/>
            <w:vAlign w:val="center"/>
          </w:tcPr>
          <w:p>
            <w:pPr>
              <w:widowControl w:val="0"/>
              <w:spacing w:line="320" w:lineRule="exact"/>
              <w:jc w:val="center"/>
              <w:rPr>
                <w:rFonts w:hint="default" w:ascii="Times New Roman" w:hAnsi="Times New Roman" w:eastAsia="宋体" w:cs="Times New Roman"/>
                <w:color w:val="auto"/>
                <w:sz w:val="18"/>
                <w:szCs w:val="18"/>
              </w:rPr>
            </w:pPr>
            <w:r>
              <w:rPr>
                <w:rFonts w:hint="eastAsia" w:ascii="Times New Roman" w:hAnsi="Times New Roman" w:cs="Times New Roman"/>
                <w:color w:val="auto"/>
                <w:sz w:val="18"/>
                <w:szCs w:val="18"/>
                <w:lang w:val="en-US" w:eastAsia="zh-CN"/>
              </w:rPr>
              <w:t>6月</w:t>
            </w:r>
          </w:p>
        </w:tc>
        <w:tc>
          <w:tcPr>
            <w:tcW w:w="374"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6.13~7.7</w:t>
            </w:r>
          </w:p>
        </w:tc>
        <w:tc>
          <w:tcPr>
            <w:tcW w:w="35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24.5~30.5</w:t>
            </w:r>
          </w:p>
        </w:tc>
        <w:tc>
          <w:tcPr>
            <w:tcW w:w="415"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21.2~43.5</w:t>
            </w:r>
          </w:p>
        </w:tc>
        <w:tc>
          <w:tcPr>
            <w:tcW w:w="37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7.9~8.42</w:t>
            </w:r>
          </w:p>
        </w:tc>
        <w:tc>
          <w:tcPr>
            <w:tcW w:w="42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493.8~520.2</w:t>
            </w:r>
          </w:p>
        </w:tc>
        <w:tc>
          <w:tcPr>
            <w:tcW w:w="448"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0.001~0.0027</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0.08~0.195</w:t>
            </w:r>
          </w:p>
        </w:tc>
        <w:tc>
          <w:tcPr>
            <w:tcW w:w="397"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1.718~2.933</w:t>
            </w:r>
          </w:p>
        </w:tc>
        <w:tc>
          <w:tcPr>
            <w:tcW w:w="31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3.74~4.39</w:t>
            </w:r>
          </w:p>
        </w:tc>
        <w:tc>
          <w:tcPr>
            <w:tcW w:w="320"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88~660</w:t>
            </w:r>
          </w:p>
        </w:tc>
        <w:tc>
          <w:tcPr>
            <w:tcW w:w="36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0.036~0.076</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0.45~0.705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1" w:type="pct"/>
            <w:vMerge w:val="continue"/>
            <w:vAlign w:val="center"/>
          </w:tcPr>
          <w:p>
            <w:pPr>
              <w:widowControl w:val="0"/>
              <w:spacing w:line="320" w:lineRule="exact"/>
              <w:jc w:val="center"/>
              <w:rPr>
                <w:rFonts w:hint="default" w:ascii="Times New Roman" w:hAnsi="Times New Roman" w:eastAsia="宋体" w:cs="Times New Roman"/>
                <w:color w:val="auto"/>
                <w:sz w:val="18"/>
                <w:szCs w:val="18"/>
              </w:rPr>
            </w:pPr>
          </w:p>
        </w:tc>
        <w:tc>
          <w:tcPr>
            <w:tcW w:w="213" w:type="pct"/>
            <w:vAlign w:val="center"/>
          </w:tcPr>
          <w:p>
            <w:pPr>
              <w:widowControl w:val="0"/>
              <w:spacing w:line="320" w:lineRule="exact"/>
              <w:jc w:val="center"/>
              <w:rPr>
                <w:rFonts w:hint="default" w:ascii="Times New Roman" w:hAnsi="Times New Roman" w:eastAsia="宋体" w:cs="Times New Roman"/>
                <w:color w:val="auto"/>
                <w:sz w:val="18"/>
                <w:szCs w:val="18"/>
              </w:rPr>
            </w:pPr>
            <w:r>
              <w:rPr>
                <w:rFonts w:hint="eastAsia" w:ascii="Times New Roman" w:hAnsi="Times New Roman" w:cs="Times New Roman"/>
                <w:color w:val="auto"/>
                <w:sz w:val="18"/>
                <w:szCs w:val="18"/>
                <w:lang w:val="en-US" w:eastAsia="zh-CN"/>
              </w:rPr>
              <w:t>7月</w:t>
            </w:r>
          </w:p>
        </w:tc>
        <w:tc>
          <w:tcPr>
            <w:tcW w:w="374"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6.11~7.04</w:t>
            </w:r>
          </w:p>
        </w:tc>
        <w:tc>
          <w:tcPr>
            <w:tcW w:w="35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27.9~32.7</w:t>
            </w:r>
          </w:p>
        </w:tc>
        <w:tc>
          <w:tcPr>
            <w:tcW w:w="415"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23.7~134.7</w:t>
            </w:r>
          </w:p>
        </w:tc>
        <w:tc>
          <w:tcPr>
            <w:tcW w:w="37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7.85~8.12</w:t>
            </w:r>
          </w:p>
        </w:tc>
        <w:tc>
          <w:tcPr>
            <w:tcW w:w="42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444.8~496.8</w:t>
            </w:r>
          </w:p>
        </w:tc>
        <w:tc>
          <w:tcPr>
            <w:tcW w:w="448"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0.001~0.0052</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0.079~0.255</w:t>
            </w:r>
          </w:p>
        </w:tc>
        <w:tc>
          <w:tcPr>
            <w:tcW w:w="397"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1.03~3.578</w:t>
            </w:r>
          </w:p>
        </w:tc>
        <w:tc>
          <w:tcPr>
            <w:tcW w:w="31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3.27~5.91</w:t>
            </w:r>
          </w:p>
        </w:tc>
        <w:tc>
          <w:tcPr>
            <w:tcW w:w="320"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77~733</w:t>
            </w:r>
          </w:p>
        </w:tc>
        <w:tc>
          <w:tcPr>
            <w:tcW w:w="36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0.014~0.104</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0.422~0.695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1" w:type="pct"/>
            <w:vMerge w:val="continue"/>
            <w:vAlign w:val="center"/>
          </w:tcPr>
          <w:p>
            <w:pPr>
              <w:widowControl w:val="0"/>
              <w:spacing w:line="320" w:lineRule="exact"/>
              <w:jc w:val="center"/>
              <w:rPr>
                <w:rFonts w:hint="default" w:ascii="Times New Roman" w:hAnsi="Times New Roman" w:eastAsia="宋体" w:cs="Times New Roman"/>
                <w:color w:val="auto"/>
                <w:sz w:val="18"/>
                <w:szCs w:val="18"/>
              </w:rPr>
            </w:pPr>
          </w:p>
        </w:tc>
        <w:tc>
          <w:tcPr>
            <w:tcW w:w="213" w:type="pct"/>
            <w:vAlign w:val="center"/>
          </w:tcPr>
          <w:p>
            <w:pPr>
              <w:widowControl w:val="0"/>
              <w:spacing w:line="320" w:lineRule="exact"/>
              <w:jc w:val="center"/>
              <w:rPr>
                <w:rFonts w:hint="default" w:ascii="Times New Roman" w:hAnsi="Times New Roman" w:eastAsia="宋体" w:cs="Times New Roman"/>
                <w:color w:val="auto"/>
                <w:sz w:val="18"/>
                <w:szCs w:val="18"/>
              </w:rPr>
            </w:pPr>
            <w:r>
              <w:rPr>
                <w:rFonts w:hint="eastAsia" w:ascii="Times New Roman" w:hAnsi="Times New Roman" w:cs="Times New Roman"/>
                <w:color w:val="auto"/>
                <w:sz w:val="18"/>
                <w:szCs w:val="18"/>
                <w:lang w:val="en-US" w:eastAsia="zh-CN"/>
              </w:rPr>
              <w:t>8月</w:t>
            </w:r>
          </w:p>
        </w:tc>
        <w:tc>
          <w:tcPr>
            <w:tcW w:w="374"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5.73~7.15</w:t>
            </w:r>
          </w:p>
        </w:tc>
        <w:tc>
          <w:tcPr>
            <w:tcW w:w="35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27.7~32.6</w:t>
            </w:r>
          </w:p>
        </w:tc>
        <w:tc>
          <w:tcPr>
            <w:tcW w:w="415"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18.3~107.2</w:t>
            </w:r>
          </w:p>
        </w:tc>
        <w:tc>
          <w:tcPr>
            <w:tcW w:w="37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7.91~8.27</w:t>
            </w:r>
          </w:p>
        </w:tc>
        <w:tc>
          <w:tcPr>
            <w:tcW w:w="42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455.2~496.2</w:t>
            </w:r>
          </w:p>
        </w:tc>
        <w:tc>
          <w:tcPr>
            <w:tcW w:w="448"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0.0015~0.0088</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0.084~0.314</w:t>
            </w:r>
          </w:p>
        </w:tc>
        <w:tc>
          <w:tcPr>
            <w:tcW w:w="397"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0.82~3.808</w:t>
            </w:r>
          </w:p>
        </w:tc>
        <w:tc>
          <w:tcPr>
            <w:tcW w:w="31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2.78~4.06</w:t>
            </w:r>
          </w:p>
        </w:tc>
        <w:tc>
          <w:tcPr>
            <w:tcW w:w="320"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36~812</w:t>
            </w:r>
          </w:p>
        </w:tc>
        <w:tc>
          <w:tcPr>
            <w:tcW w:w="36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0.022~0.106</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0.408~0.67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1" w:type="pct"/>
            <w:vMerge w:val="continue"/>
            <w:vAlign w:val="center"/>
          </w:tcPr>
          <w:p>
            <w:pPr>
              <w:widowControl w:val="0"/>
              <w:spacing w:line="320" w:lineRule="exact"/>
              <w:jc w:val="center"/>
              <w:rPr>
                <w:rFonts w:hint="default" w:ascii="Times New Roman" w:hAnsi="Times New Roman" w:eastAsia="宋体" w:cs="Times New Roman"/>
                <w:color w:val="auto"/>
                <w:sz w:val="18"/>
                <w:szCs w:val="18"/>
              </w:rPr>
            </w:pPr>
          </w:p>
        </w:tc>
        <w:tc>
          <w:tcPr>
            <w:tcW w:w="213" w:type="pct"/>
            <w:vAlign w:val="center"/>
          </w:tcPr>
          <w:p>
            <w:pPr>
              <w:widowControl w:val="0"/>
              <w:spacing w:line="320" w:lineRule="exact"/>
              <w:jc w:val="center"/>
              <w:rPr>
                <w:rFonts w:hint="default" w:ascii="Times New Roman" w:hAnsi="Times New Roman" w:eastAsia="宋体" w:cs="Times New Roman"/>
                <w:color w:val="auto"/>
                <w:sz w:val="18"/>
                <w:szCs w:val="18"/>
              </w:rPr>
            </w:pPr>
            <w:r>
              <w:rPr>
                <w:rFonts w:hint="eastAsia" w:ascii="Times New Roman" w:hAnsi="Times New Roman" w:cs="Times New Roman"/>
                <w:color w:val="auto"/>
                <w:sz w:val="18"/>
                <w:szCs w:val="18"/>
                <w:lang w:val="en-US" w:eastAsia="zh-CN"/>
              </w:rPr>
              <w:t>9月</w:t>
            </w:r>
          </w:p>
        </w:tc>
        <w:tc>
          <w:tcPr>
            <w:tcW w:w="374"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6.24~8.06</w:t>
            </w:r>
          </w:p>
        </w:tc>
        <w:tc>
          <w:tcPr>
            <w:tcW w:w="35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23.9~30.6</w:t>
            </w:r>
          </w:p>
        </w:tc>
        <w:tc>
          <w:tcPr>
            <w:tcW w:w="415"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16.5~43.2</w:t>
            </w:r>
          </w:p>
        </w:tc>
        <w:tc>
          <w:tcPr>
            <w:tcW w:w="37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8.12~8.65</w:t>
            </w:r>
          </w:p>
        </w:tc>
        <w:tc>
          <w:tcPr>
            <w:tcW w:w="42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464.2~481.3</w:t>
            </w:r>
          </w:p>
        </w:tc>
        <w:tc>
          <w:tcPr>
            <w:tcW w:w="448"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0.002~0.0078</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0.048~0.184</w:t>
            </w:r>
          </w:p>
        </w:tc>
        <w:tc>
          <w:tcPr>
            <w:tcW w:w="397"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0.603~1.862</w:t>
            </w:r>
          </w:p>
        </w:tc>
        <w:tc>
          <w:tcPr>
            <w:tcW w:w="318"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2.56~3.6</w:t>
            </w:r>
          </w:p>
        </w:tc>
        <w:tc>
          <w:tcPr>
            <w:tcW w:w="320"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139~588</w:t>
            </w:r>
          </w:p>
        </w:tc>
        <w:tc>
          <w:tcPr>
            <w:tcW w:w="36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0.033~0.077</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0.5~0.833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1" w:type="pct"/>
            <w:vMerge w:val="continue"/>
            <w:vAlign w:val="center"/>
          </w:tcPr>
          <w:p>
            <w:pPr>
              <w:widowControl w:val="0"/>
              <w:spacing w:line="320" w:lineRule="exact"/>
              <w:jc w:val="center"/>
              <w:rPr>
                <w:rFonts w:hint="default" w:ascii="Times New Roman" w:hAnsi="Times New Roman" w:eastAsia="宋体" w:cs="Times New Roman"/>
                <w:color w:val="auto"/>
                <w:sz w:val="18"/>
                <w:szCs w:val="18"/>
              </w:rPr>
            </w:pPr>
          </w:p>
        </w:tc>
        <w:tc>
          <w:tcPr>
            <w:tcW w:w="213" w:type="pct"/>
            <w:vAlign w:val="center"/>
          </w:tcPr>
          <w:p>
            <w:pPr>
              <w:widowControl w:val="0"/>
              <w:spacing w:line="320" w:lineRule="exact"/>
              <w:jc w:val="center"/>
              <w:rPr>
                <w:rFonts w:hint="default" w:ascii="Times New Roman" w:hAnsi="Times New Roman" w:eastAsia="宋体" w:cs="Times New Roman"/>
                <w:color w:val="auto"/>
                <w:sz w:val="18"/>
                <w:szCs w:val="18"/>
              </w:rPr>
            </w:pPr>
            <w:r>
              <w:rPr>
                <w:rFonts w:hint="eastAsia" w:ascii="Times New Roman" w:hAnsi="Times New Roman" w:cs="Times New Roman"/>
                <w:color w:val="auto"/>
                <w:sz w:val="18"/>
                <w:szCs w:val="18"/>
                <w:lang w:val="en-US" w:eastAsia="zh-CN"/>
              </w:rPr>
              <w:t>10月</w:t>
            </w:r>
          </w:p>
        </w:tc>
        <w:tc>
          <w:tcPr>
            <w:tcW w:w="374"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7.97~9.72</w:t>
            </w:r>
          </w:p>
        </w:tc>
        <w:tc>
          <w:tcPr>
            <w:tcW w:w="35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18.2~23.4</w:t>
            </w:r>
          </w:p>
        </w:tc>
        <w:tc>
          <w:tcPr>
            <w:tcW w:w="415"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18.3~85.2</w:t>
            </w:r>
          </w:p>
        </w:tc>
        <w:tc>
          <w:tcPr>
            <w:tcW w:w="37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7.92~8.5</w:t>
            </w:r>
          </w:p>
        </w:tc>
        <w:tc>
          <w:tcPr>
            <w:tcW w:w="42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469.8~485.8</w:t>
            </w:r>
          </w:p>
        </w:tc>
        <w:tc>
          <w:tcPr>
            <w:tcW w:w="448"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0.0022~0.0067</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0.119~0.174</w:t>
            </w:r>
          </w:p>
        </w:tc>
        <w:tc>
          <w:tcPr>
            <w:tcW w:w="397"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1.65~3.942</w:t>
            </w:r>
          </w:p>
        </w:tc>
        <w:tc>
          <w:tcPr>
            <w:tcW w:w="31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2.99~5.42</w:t>
            </w:r>
          </w:p>
        </w:tc>
        <w:tc>
          <w:tcPr>
            <w:tcW w:w="320"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315~866</w:t>
            </w:r>
          </w:p>
        </w:tc>
        <w:tc>
          <w:tcPr>
            <w:tcW w:w="36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0.031~0.113</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0.42~0.885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1" w:type="pct"/>
            <w:vMerge w:val="continue"/>
            <w:vAlign w:val="center"/>
          </w:tcPr>
          <w:p>
            <w:pPr>
              <w:widowControl w:val="0"/>
              <w:spacing w:line="320" w:lineRule="exact"/>
              <w:jc w:val="center"/>
              <w:rPr>
                <w:rFonts w:hint="default" w:ascii="Times New Roman" w:hAnsi="Times New Roman" w:eastAsia="宋体" w:cs="Times New Roman"/>
                <w:color w:val="auto"/>
                <w:sz w:val="18"/>
                <w:szCs w:val="18"/>
              </w:rPr>
            </w:pPr>
          </w:p>
        </w:tc>
        <w:tc>
          <w:tcPr>
            <w:tcW w:w="213" w:type="pct"/>
            <w:vAlign w:val="center"/>
          </w:tcPr>
          <w:p>
            <w:pPr>
              <w:widowControl w:val="0"/>
              <w:spacing w:line="320" w:lineRule="exact"/>
              <w:jc w:val="center"/>
              <w:rPr>
                <w:rFonts w:hint="default" w:ascii="Times New Roman" w:hAnsi="Times New Roman" w:eastAsia="宋体" w:cs="Times New Roman"/>
                <w:color w:val="auto"/>
                <w:sz w:val="18"/>
                <w:szCs w:val="18"/>
              </w:rPr>
            </w:pPr>
            <w:r>
              <w:rPr>
                <w:rFonts w:hint="eastAsia" w:ascii="Times New Roman" w:hAnsi="Times New Roman" w:cs="Times New Roman"/>
                <w:color w:val="auto"/>
                <w:sz w:val="18"/>
                <w:szCs w:val="18"/>
                <w:lang w:val="en-US" w:eastAsia="zh-CN"/>
              </w:rPr>
              <w:t>11月</w:t>
            </w:r>
          </w:p>
        </w:tc>
        <w:tc>
          <w:tcPr>
            <w:tcW w:w="374"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9.12~11.6</w:t>
            </w:r>
          </w:p>
        </w:tc>
        <w:tc>
          <w:tcPr>
            <w:tcW w:w="359" w:type="pct"/>
            <w:vAlign w:val="center"/>
          </w:tcPr>
          <w:p>
            <w:pPr>
              <w:widowControl w:val="0"/>
              <w:spacing w:line="320" w:lineRule="exact"/>
              <w:jc w:val="center"/>
              <w:rPr>
                <w:rFonts w:hint="default" w:ascii="Times New Roman" w:hAnsi="Times New Roman" w:eastAsia="宋体" w:cs="Times New Roman"/>
                <w:color w:val="auto"/>
                <w:sz w:val="18"/>
                <w:szCs w:val="18"/>
                <w:lang w:val="en-US"/>
              </w:rPr>
            </w:pPr>
            <w:r>
              <w:rPr>
                <w:rFonts w:hint="eastAsia" w:ascii="Times New Roman" w:hAnsi="Times New Roman" w:cs="Times New Roman"/>
                <w:color w:val="auto"/>
                <w:sz w:val="18"/>
                <w:szCs w:val="18"/>
                <w:lang w:val="en-US" w:eastAsia="zh-CN"/>
              </w:rPr>
              <w:t>13.1~17.9</w:t>
            </w:r>
          </w:p>
        </w:tc>
        <w:tc>
          <w:tcPr>
            <w:tcW w:w="415"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19.7~151.3</w:t>
            </w:r>
          </w:p>
        </w:tc>
        <w:tc>
          <w:tcPr>
            <w:tcW w:w="37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7.92~8.34</w:t>
            </w:r>
          </w:p>
        </w:tc>
        <w:tc>
          <w:tcPr>
            <w:tcW w:w="42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465.7~490.7</w:t>
            </w:r>
          </w:p>
        </w:tc>
        <w:tc>
          <w:tcPr>
            <w:tcW w:w="448"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0.0028~0.0073</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0.075~0.196</w:t>
            </w:r>
          </w:p>
        </w:tc>
        <w:tc>
          <w:tcPr>
            <w:tcW w:w="397"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1.168~3.518</w:t>
            </w:r>
          </w:p>
        </w:tc>
        <w:tc>
          <w:tcPr>
            <w:tcW w:w="31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2.74~4.71</w:t>
            </w:r>
          </w:p>
        </w:tc>
        <w:tc>
          <w:tcPr>
            <w:tcW w:w="320"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262~1141</w:t>
            </w:r>
          </w:p>
        </w:tc>
        <w:tc>
          <w:tcPr>
            <w:tcW w:w="36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0.015~0.06</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0.452~0.75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1" w:type="pct"/>
            <w:vMerge w:val="continue"/>
            <w:vAlign w:val="center"/>
          </w:tcPr>
          <w:p>
            <w:pPr>
              <w:widowControl w:val="0"/>
              <w:spacing w:line="320" w:lineRule="exact"/>
              <w:jc w:val="center"/>
              <w:rPr>
                <w:rFonts w:hint="default" w:ascii="Times New Roman" w:hAnsi="Times New Roman" w:eastAsia="宋体" w:cs="Times New Roman"/>
                <w:color w:val="auto"/>
                <w:sz w:val="18"/>
                <w:szCs w:val="18"/>
              </w:rPr>
            </w:pPr>
          </w:p>
        </w:tc>
        <w:tc>
          <w:tcPr>
            <w:tcW w:w="213" w:type="pct"/>
            <w:vAlign w:val="center"/>
          </w:tcPr>
          <w:p>
            <w:pPr>
              <w:widowControl w:val="0"/>
              <w:spacing w:line="320" w:lineRule="exact"/>
              <w:jc w:val="center"/>
              <w:rPr>
                <w:rFonts w:hint="default" w:ascii="Times New Roman" w:hAnsi="Times New Roman" w:eastAsia="宋体" w:cs="Times New Roman"/>
                <w:color w:val="auto"/>
                <w:sz w:val="18"/>
                <w:szCs w:val="18"/>
              </w:rPr>
            </w:pPr>
            <w:r>
              <w:rPr>
                <w:rFonts w:hint="eastAsia" w:ascii="Times New Roman" w:hAnsi="Times New Roman" w:cs="Times New Roman"/>
                <w:color w:val="auto"/>
                <w:sz w:val="18"/>
                <w:szCs w:val="18"/>
                <w:lang w:val="en-US" w:eastAsia="zh-CN"/>
              </w:rPr>
              <w:t>12月</w:t>
            </w:r>
          </w:p>
        </w:tc>
        <w:tc>
          <w:tcPr>
            <w:tcW w:w="374"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9.33~13.8</w:t>
            </w:r>
          </w:p>
        </w:tc>
        <w:tc>
          <w:tcPr>
            <w:tcW w:w="35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4.7~14.7</w:t>
            </w:r>
          </w:p>
        </w:tc>
        <w:tc>
          <w:tcPr>
            <w:tcW w:w="415"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27.2~125.3</w:t>
            </w:r>
          </w:p>
        </w:tc>
        <w:tc>
          <w:tcPr>
            <w:tcW w:w="37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8.11~8.4</w:t>
            </w:r>
          </w:p>
        </w:tc>
        <w:tc>
          <w:tcPr>
            <w:tcW w:w="42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446.8~471.5</w:t>
            </w:r>
          </w:p>
        </w:tc>
        <w:tc>
          <w:tcPr>
            <w:tcW w:w="448"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0.0035~0.0096</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0.089~0.203</w:t>
            </w:r>
          </w:p>
        </w:tc>
        <w:tc>
          <w:tcPr>
            <w:tcW w:w="397"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0.888~5.86</w:t>
            </w:r>
          </w:p>
        </w:tc>
        <w:tc>
          <w:tcPr>
            <w:tcW w:w="31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3.13~4.41</w:t>
            </w:r>
          </w:p>
        </w:tc>
        <w:tc>
          <w:tcPr>
            <w:tcW w:w="320"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546~2539</w:t>
            </w:r>
          </w:p>
        </w:tc>
        <w:tc>
          <w:tcPr>
            <w:tcW w:w="36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0.007~0.088</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0.59~0.8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1" w:type="pct"/>
            <w:vMerge w:val="restar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2019</w:t>
            </w:r>
          </w:p>
        </w:tc>
        <w:tc>
          <w:tcPr>
            <w:tcW w:w="213"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rPr>
              <w:t>1月</w:t>
            </w:r>
          </w:p>
        </w:tc>
        <w:tc>
          <w:tcPr>
            <w:tcW w:w="374"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12.23~13.46</w:t>
            </w:r>
          </w:p>
        </w:tc>
        <w:tc>
          <w:tcPr>
            <w:tcW w:w="35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4.8~6.7</w:t>
            </w:r>
          </w:p>
        </w:tc>
        <w:tc>
          <w:tcPr>
            <w:tcW w:w="415"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27.8~98.3</w:t>
            </w:r>
          </w:p>
        </w:tc>
        <w:tc>
          <w:tcPr>
            <w:tcW w:w="37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8.12~8.63</w:t>
            </w:r>
          </w:p>
        </w:tc>
        <w:tc>
          <w:tcPr>
            <w:tcW w:w="42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435~454.2</w:t>
            </w:r>
          </w:p>
        </w:tc>
        <w:tc>
          <w:tcPr>
            <w:tcW w:w="448"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0.0071~0.0122</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0.086~0.182</w:t>
            </w:r>
          </w:p>
        </w:tc>
        <w:tc>
          <w:tcPr>
            <w:tcW w:w="397"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0.977~3.307</w:t>
            </w:r>
          </w:p>
        </w:tc>
        <w:tc>
          <w:tcPr>
            <w:tcW w:w="31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3.1~4.74</w:t>
            </w:r>
          </w:p>
        </w:tc>
        <w:tc>
          <w:tcPr>
            <w:tcW w:w="320"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832~1896</w:t>
            </w:r>
          </w:p>
        </w:tc>
        <w:tc>
          <w:tcPr>
            <w:tcW w:w="36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0.009~0.072</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0.51~3.35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1" w:type="pct"/>
            <w:vMerge w:val="continue"/>
            <w:vAlign w:val="center"/>
          </w:tcPr>
          <w:p>
            <w:pPr>
              <w:widowControl w:val="0"/>
              <w:spacing w:line="320" w:lineRule="exact"/>
              <w:jc w:val="center"/>
              <w:rPr>
                <w:rFonts w:hint="default" w:ascii="Times New Roman" w:hAnsi="Times New Roman" w:eastAsia="宋体" w:cs="Times New Roman"/>
                <w:color w:val="auto"/>
                <w:sz w:val="18"/>
                <w:szCs w:val="18"/>
              </w:rPr>
            </w:pPr>
          </w:p>
        </w:tc>
        <w:tc>
          <w:tcPr>
            <w:tcW w:w="213" w:type="pct"/>
            <w:vAlign w:val="center"/>
          </w:tcPr>
          <w:p>
            <w:pPr>
              <w:snapToGrid w:val="0"/>
              <w:spacing w:line="280" w:lineRule="exact"/>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rPr>
              <w:t>2月</w:t>
            </w:r>
          </w:p>
        </w:tc>
        <w:tc>
          <w:tcPr>
            <w:tcW w:w="374"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11.42~13.47</w:t>
            </w:r>
          </w:p>
        </w:tc>
        <w:tc>
          <w:tcPr>
            <w:tcW w:w="35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5~13.3</w:t>
            </w:r>
          </w:p>
        </w:tc>
        <w:tc>
          <w:tcPr>
            <w:tcW w:w="415"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24.5~81.2</w:t>
            </w:r>
          </w:p>
        </w:tc>
        <w:tc>
          <w:tcPr>
            <w:tcW w:w="37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8.1~8.25</w:t>
            </w:r>
          </w:p>
        </w:tc>
        <w:tc>
          <w:tcPr>
            <w:tcW w:w="42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433.3~474.5</w:t>
            </w:r>
          </w:p>
        </w:tc>
        <w:tc>
          <w:tcPr>
            <w:tcW w:w="448"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0.0088~0.013</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0.07~0.353</w:t>
            </w:r>
          </w:p>
        </w:tc>
        <w:tc>
          <w:tcPr>
            <w:tcW w:w="397"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0.839~3.629</w:t>
            </w:r>
          </w:p>
        </w:tc>
        <w:tc>
          <w:tcPr>
            <w:tcW w:w="318"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2.78~3.74</w:t>
            </w:r>
          </w:p>
        </w:tc>
        <w:tc>
          <w:tcPr>
            <w:tcW w:w="320"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425~1909</w:t>
            </w:r>
          </w:p>
        </w:tc>
        <w:tc>
          <w:tcPr>
            <w:tcW w:w="36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0.012~0.086</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0.242~0.536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1" w:type="pct"/>
            <w:vMerge w:val="continue"/>
            <w:vAlign w:val="center"/>
          </w:tcPr>
          <w:p>
            <w:pPr>
              <w:widowControl w:val="0"/>
              <w:spacing w:line="320" w:lineRule="exact"/>
              <w:jc w:val="center"/>
              <w:rPr>
                <w:rFonts w:hint="default" w:ascii="Times New Roman" w:hAnsi="Times New Roman" w:eastAsia="宋体" w:cs="Times New Roman"/>
                <w:color w:val="auto"/>
                <w:sz w:val="18"/>
                <w:szCs w:val="18"/>
              </w:rPr>
            </w:pPr>
          </w:p>
        </w:tc>
        <w:tc>
          <w:tcPr>
            <w:tcW w:w="213"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rPr>
              <w:t>3月</w:t>
            </w:r>
          </w:p>
        </w:tc>
        <w:tc>
          <w:tcPr>
            <w:tcW w:w="374"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9.95~13.04</w:t>
            </w:r>
          </w:p>
        </w:tc>
        <w:tc>
          <w:tcPr>
            <w:tcW w:w="35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7.9~16.2</w:t>
            </w:r>
          </w:p>
        </w:tc>
        <w:tc>
          <w:tcPr>
            <w:tcW w:w="415"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17.6~86.1</w:t>
            </w:r>
          </w:p>
        </w:tc>
        <w:tc>
          <w:tcPr>
            <w:tcW w:w="37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8.01~8.26</w:t>
            </w:r>
          </w:p>
        </w:tc>
        <w:tc>
          <w:tcPr>
            <w:tcW w:w="42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427.7~473.8</w:t>
            </w:r>
          </w:p>
        </w:tc>
        <w:tc>
          <w:tcPr>
            <w:tcW w:w="448"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0.0043~0.0152</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0.179~0.211</w:t>
            </w:r>
          </w:p>
        </w:tc>
        <w:tc>
          <w:tcPr>
            <w:tcW w:w="397"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1.067~3.093</w:t>
            </w:r>
          </w:p>
        </w:tc>
        <w:tc>
          <w:tcPr>
            <w:tcW w:w="31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2.97~4.06</w:t>
            </w:r>
          </w:p>
        </w:tc>
        <w:tc>
          <w:tcPr>
            <w:tcW w:w="320"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58~718</w:t>
            </w:r>
          </w:p>
        </w:tc>
        <w:tc>
          <w:tcPr>
            <w:tcW w:w="36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0.012~0.08</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0.323~0.422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1" w:type="pct"/>
            <w:vMerge w:val="continue"/>
            <w:vAlign w:val="center"/>
          </w:tcPr>
          <w:p>
            <w:pPr>
              <w:widowControl w:val="0"/>
              <w:spacing w:line="320" w:lineRule="exact"/>
              <w:jc w:val="center"/>
              <w:rPr>
                <w:rFonts w:hint="default" w:ascii="Times New Roman" w:hAnsi="Times New Roman" w:eastAsia="宋体" w:cs="Times New Roman"/>
                <w:color w:val="auto"/>
                <w:sz w:val="18"/>
                <w:szCs w:val="18"/>
              </w:rPr>
            </w:pPr>
          </w:p>
        </w:tc>
        <w:tc>
          <w:tcPr>
            <w:tcW w:w="213"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rPr>
              <w:t>4月</w:t>
            </w:r>
          </w:p>
        </w:tc>
        <w:tc>
          <w:tcPr>
            <w:tcW w:w="374"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7.53~10.36</w:t>
            </w:r>
          </w:p>
        </w:tc>
        <w:tc>
          <w:tcPr>
            <w:tcW w:w="35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15.1~22.8</w:t>
            </w:r>
          </w:p>
        </w:tc>
        <w:tc>
          <w:tcPr>
            <w:tcW w:w="415"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16.3~242.3</w:t>
            </w:r>
          </w:p>
        </w:tc>
        <w:tc>
          <w:tcPr>
            <w:tcW w:w="37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7.91~8.27</w:t>
            </w:r>
          </w:p>
        </w:tc>
        <w:tc>
          <w:tcPr>
            <w:tcW w:w="42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459.1~469.3</w:t>
            </w:r>
          </w:p>
        </w:tc>
        <w:tc>
          <w:tcPr>
            <w:tcW w:w="448"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0.0023~0.0105</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0.098~0.219</w:t>
            </w:r>
          </w:p>
        </w:tc>
        <w:tc>
          <w:tcPr>
            <w:tcW w:w="397"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1.413~3.146</w:t>
            </w:r>
          </w:p>
        </w:tc>
        <w:tc>
          <w:tcPr>
            <w:tcW w:w="31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2.73~5.43</w:t>
            </w:r>
          </w:p>
        </w:tc>
        <w:tc>
          <w:tcPr>
            <w:tcW w:w="320"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94~813</w:t>
            </w:r>
          </w:p>
        </w:tc>
        <w:tc>
          <w:tcPr>
            <w:tcW w:w="36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0.014~0.064</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0.33~0.485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1" w:type="pct"/>
            <w:vMerge w:val="continue"/>
            <w:vAlign w:val="center"/>
          </w:tcPr>
          <w:p>
            <w:pPr>
              <w:widowControl w:val="0"/>
              <w:spacing w:line="320" w:lineRule="exact"/>
              <w:jc w:val="center"/>
              <w:rPr>
                <w:rFonts w:hint="default" w:ascii="Times New Roman" w:hAnsi="Times New Roman" w:eastAsia="宋体" w:cs="Times New Roman"/>
                <w:color w:val="auto"/>
                <w:sz w:val="18"/>
                <w:szCs w:val="18"/>
              </w:rPr>
            </w:pPr>
          </w:p>
        </w:tc>
        <w:tc>
          <w:tcPr>
            <w:tcW w:w="213"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rPr>
              <w:t>5月</w:t>
            </w:r>
          </w:p>
        </w:tc>
        <w:tc>
          <w:tcPr>
            <w:tcW w:w="374"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7.1~8.33</w:t>
            </w:r>
          </w:p>
        </w:tc>
        <w:tc>
          <w:tcPr>
            <w:tcW w:w="35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19.1~25.8</w:t>
            </w:r>
          </w:p>
        </w:tc>
        <w:tc>
          <w:tcPr>
            <w:tcW w:w="415"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18~49.4</w:t>
            </w:r>
          </w:p>
        </w:tc>
        <w:tc>
          <w:tcPr>
            <w:tcW w:w="37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7.95~8.32</w:t>
            </w:r>
          </w:p>
        </w:tc>
        <w:tc>
          <w:tcPr>
            <w:tcW w:w="42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459.9~476.5</w:t>
            </w:r>
          </w:p>
        </w:tc>
        <w:tc>
          <w:tcPr>
            <w:tcW w:w="448"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0.0018~0.0042</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0.076~0.284</w:t>
            </w:r>
          </w:p>
        </w:tc>
        <w:tc>
          <w:tcPr>
            <w:tcW w:w="397"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1.074~3.14</w:t>
            </w:r>
          </w:p>
        </w:tc>
        <w:tc>
          <w:tcPr>
            <w:tcW w:w="31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3~5.64</w:t>
            </w:r>
          </w:p>
        </w:tc>
        <w:tc>
          <w:tcPr>
            <w:tcW w:w="320"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91~1568</w:t>
            </w:r>
          </w:p>
        </w:tc>
        <w:tc>
          <w:tcPr>
            <w:tcW w:w="36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0.006~0.059</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0.34~0.53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1" w:type="pct"/>
            <w:vMerge w:val="continue"/>
            <w:vAlign w:val="center"/>
          </w:tcPr>
          <w:p>
            <w:pPr>
              <w:widowControl w:val="0"/>
              <w:spacing w:line="320" w:lineRule="exact"/>
              <w:jc w:val="center"/>
              <w:rPr>
                <w:rFonts w:hint="default" w:ascii="Times New Roman" w:hAnsi="Times New Roman" w:eastAsia="宋体" w:cs="Times New Roman"/>
                <w:color w:val="auto"/>
                <w:sz w:val="18"/>
                <w:szCs w:val="18"/>
              </w:rPr>
            </w:pPr>
          </w:p>
        </w:tc>
        <w:tc>
          <w:tcPr>
            <w:tcW w:w="213"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rPr>
              <w:t>6月</w:t>
            </w:r>
          </w:p>
        </w:tc>
        <w:tc>
          <w:tcPr>
            <w:tcW w:w="374"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6.27~7.57</w:t>
            </w:r>
          </w:p>
        </w:tc>
        <w:tc>
          <w:tcPr>
            <w:tcW w:w="35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23.2~27.5</w:t>
            </w:r>
          </w:p>
        </w:tc>
        <w:tc>
          <w:tcPr>
            <w:tcW w:w="415"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20.6~149.9</w:t>
            </w:r>
          </w:p>
        </w:tc>
        <w:tc>
          <w:tcPr>
            <w:tcW w:w="37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7.97~8.26</w:t>
            </w:r>
          </w:p>
        </w:tc>
        <w:tc>
          <w:tcPr>
            <w:tcW w:w="42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455.6~487.8</w:t>
            </w:r>
          </w:p>
        </w:tc>
        <w:tc>
          <w:tcPr>
            <w:tcW w:w="448"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0.0023~0.0082</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0.164~0.196</w:t>
            </w:r>
          </w:p>
        </w:tc>
        <w:tc>
          <w:tcPr>
            <w:tcW w:w="397"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0.634~2.662</w:t>
            </w:r>
          </w:p>
        </w:tc>
        <w:tc>
          <w:tcPr>
            <w:tcW w:w="31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3.2~5.14</w:t>
            </w:r>
          </w:p>
        </w:tc>
        <w:tc>
          <w:tcPr>
            <w:tcW w:w="320"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74~850</w:t>
            </w:r>
          </w:p>
        </w:tc>
        <w:tc>
          <w:tcPr>
            <w:tcW w:w="36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0.01~0.054</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0.375~0.533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1" w:type="pct"/>
            <w:vMerge w:val="continue"/>
            <w:vAlign w:val="center"/>
          </w:tcPr>
          <w:p>
            <w:pPr>
              <w:widowControl w:val="0"/>
              <w:spacing w:line="320" w:lineRule="exact"/>
              <w:jc w:val="center"/>
              <w:rPr>
                <w:rFonts w:hint="default" w:ascii="Times New Roman" w:hAnsi="Times New Roman" w:eastAsia="宋体" w:cs="Times New Roman"/>
                <w:color w:val="auto"/>
                <w:sz w:val="18"/>
                <w:szCs w:val="18"/>
              </w:rPr>
            </w:pPr>
          </w:p>
        </w:tc>
        <w:tc>
          <w:tcPr>
            <w:tcW w:w="213"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rPr>
              <w:t>7月</w:t>
            </w:r>
          </w:p>
        </w:tc>
        <w:tc>
          <w:tcPr>
            <w:tcW w:w="374"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5.49~7.58</w:t>
            </w:r>
          </w:p>
        </w:tc>
        <w:tc>
          <w:tcPr>
            <w:tcW w:w="35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25.5~33.6</w:t>
            </w:r>
          </w:p>
        </w:tc>
        <w:tc>
          <w:tcPr>
            <w:tcW w:w="415"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14.1~49.6</w:t>
            </w:r>
          </w:p>
        </w:tc>
        <w:tc>
          <w:tcPr>
            <w:tcW w:w="37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8.02~8.69</w:t>
            </w:r>
          </w:p>
        </w:tc>
        <w:tc>
          <w:tcPr>
            <w:tcW w:w="42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422.1~458.2</w:t>
            </w:r>
          </w:p>
        </w:tc>
        <w:tc>
          <w:tcPr>
            <w:tcW w:w="448"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0.0018~0.008</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0.152~0.219</w:t>
            </w:r>
          </w:p>
        </w:tc>
        <w:tc>
          <w:tcPr>
            <w:tcW w:w="397"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0.868~2.026</w:t>
            </w:r>
          </w:p>
        </w:tc>
        <w:tc>
          <w:tcPr>
            <w:tcW w:w="31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3.08~4.88</w:t>
            </w:r>
          </w:p>
        </w:tc>
        <w:tc>
          <w:tcPr>
            <w:tcW w:w="320"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34~2888</w:t>
            </w:r>
          </w:p>
        </w:tc>
        <w:tc>
          <w:tcPr>
            <w:tcW w:w="36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0.017~0.04</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0.448~0.546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1" w:type="pct"/>
            <w:vMerge w:val="continue"/>
            <w:vAlign w:val="center"/>
          </w:tcPr>
          <w:p>
            <w:pPr>
              <w:widowControl w:val="0"/>
              <w:spacing w:line="320" w:lineRule="exact"/>
              <w:jc w:val="center"/>
              <w:rPr>
                <w:rFonts w:hint="default" w:ascii="Times New Roman" w:hAnsi="Times New Roman" w:eastAsia="宋体" w:cs="Times New Roman"/>
                <w:color w:val="auto"/>
                <w:sz w:val="18"/>
                <w:szCs w:val="18"/>
              </w:rPr>
            </w:pPr>
          </w:p>
        </w:tc>
        <w:tc>
          <w:tcPr>
            <w:tcW w:w="213"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rPr>
              <w:t>8月</w:t>
            </w:r>
          </w:p>
        </w:tc>
        <w:tc>
          <w:tcPr>
            <w:tcW w:w="374"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5.63~7.08</w:t>
            </w:r>
          </w:p>
        </w:tc>
        <w:tc>
          <w:tcPr>
            <w:tcW w:w="35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29.6~32.3</w:t>
            </w:r>
          </w:p>
        </w:tc>
        <w:tc>
          <w:tcPr>
            <w:tcW w:w="415"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17.1~311.5</w:t>
            </w:r>
          </w:p>
        </w:tc>
        <w:tc>
          <w:tcPr>
            <w:tcW w:w="37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7.58~8.7</w:t>
            </w:r>
          </w:p>
        </w:tc>
        <w:tc>
          <w:tcPr>
            <w:tcW w:w="42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401.5~443.4</w:t>
            </w:r>
          </w:p>
        </w:tc>
        <w:tc>
          <w:tcPr>
            <w:tcW w:w="448"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0.0018~0.0083</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0.081~0.257</w:t>
            </w:r>
          </w:p>
        </w:tc>
        <w:tc>
          <w:tcPr>
            <w:tcW w:w="397"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0.914~8.701</w:t>
            </w:r>
          </w:p>
        </w:tc>
        <w:tc>
          <w:tcPr>
            <w:tcW w:w="31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3.21~6.12</w:t>
            </w:r>
          </w:p>
        </w:tc>
        <w:tc>
          <w:tcPr>
            <w:tcW w:w="320"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157~2296</w:t>
            </w:r>
          </w:p>
        </w:tc>
        <w:tc>
          <w:tcPr>
            <w:tcW w:w="36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0.02~0.228</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0.262~0.547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1" w:type="pct"/>
            <w:vMerge w:val="continue"/>
            <w:vAlign w:val="center"/>
          </w:tcPr>
          <w:p>
            <w:pPr>
              <w:widowControl w:val="0"/>
              <w:spacing w:line="320" w:lineRule="exact"/>
              <w:jc w:val="center"/>
              <w:rPr>
                <w:rFonts w:hint="default" w:ascii="Times New Roman" w:hAnsi="Times New Roman" w:eastAsia="宋体" w:cs="Times New Roman"/>
                <w:color w:val="auto"/>
                <w:sz w:val="18"/>
                <w:szCs w:val="18"/>
              </w:rPr>
            </w:pPr>
          </w:p>
        </w:tc>
        <w:tc>
          <w:tcPr>
            <w:tcW w:w="213"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rPr>
              <w:t>9月</w:t>
            </w:r>
          </w:p>
        </w:tc>
        <w:tc>
          <w:tcPr>
            <w:tcW w:w="374"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6.26~8.08</w:t>
            </w:r>
          </w:p>
        </w:tc>
        <w:tc>
          <w:tcPr>
            <w:tcW w:w="35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23~29.9</w:t>
            </w:r>
          </w:p>
        </w:tc>
        <w:tc>
          <w:tcPr>
            <w:tcW w:w="415"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29.1~127.4</w:t>
            </w:r>
          </w:p>
        </w:tc>
        <w:tc>
          <w:tcPr>
            <w:tcW w:w="37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7.71~8.01</w:t>
            </w:r>
          </w:p>
        </w:tc>
        <w:tc>
          <w:tcPr>
            <w:tcW w:w="42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370.8~410.4</w:t>
            </w:r>
          </w:p>
        </w:tc>
        <w:tc>
          <w:tcPr>
            <w:tcW w:w="448"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0.0027~0.0055</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0.121~0.184</w:t>
            </w:r>
          </w:p>
        </w:tc>
        <w:tc>
          <w:tcPr>
            <w:tcW w:w="397"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0.581~4.66</w:t>
            </w:r>
          </w:p>
        </w:tc>
        <w:tc>
          <w:tcPr>
            <w:tcW w:w="31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3.97~5.53</w:t>
            </w:r>
          </w:p>
        </w:tc>
        <w:tc>
          <w:tcPr>
            <w:tcW w:w="320"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532~1583</w:t>
            </w:r>
          </w:p>
        </w:tc>
        <w:tc>
          <w:tcPr>
            <w:tcW w:w="36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0.022~0.136</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0.383~0.543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1" w:type="pct"/>
            <w:vMerge w:val="continue"/>
            <w:vAlign w:val="center"/>
          </w:tcPr>
          <w:p>
            <w:pPr>
              <w:widowControl w:val="0"/>
              <w:spacing w:line="320" w:lineRule="exact"/>
              <w:jc w:val="center"/>
              <w:rPr>
                <w:rFonts w:hint="default" w:ascii="Times New Roman" w:hAnsi="Times New Roman" w:eastAsia="宋体" w:cs="Times New Roman"/>
                <w:color w:val="auto"/>
                <w:sz w:val="18"/>
                <w:szCs w:val="18"/>
              </w:rPr>
            </w:pPr>
          </w:p>
        </w:tc>
        <w:tc>
          <w:tcPr>
            <w:tcW w:w="213"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rPr>
              <w:t>10月</w:t>
            </w:r>
          </w:p>
        </w:tc>
        <w:tc>
          <w:tcPr>
            <w:tcW w:w="374"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6.94~8.9</w:t>
            </w:r>
          </w:p>
        </w:tc>
        <w:tc>
          <w:tcPr>
            <w:tcW w:w="35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18.5~25.9</w:t>
            </w:r>
          </w:p>
        </w:tc>
        <w:tc>
          <w:tcPr>
            <w:tcW w:w="415"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22.6~106.6</w:t>
            </w:r>
          </w:p>
        </w:tc>
        <w:tc>
          <w:tcPr>
            <w:tcW w:w="37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7.76~8.17</w:t>
            </w:r>
          </w:p>
        </w:tc>
        <w:tc>
          <w:tcPr>
            <w:tcW w:w="42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387.8~414.7</w:t>
            </w:r>
          </w:p>
        </w:tc>
        <w:tc>
          <w:tcPr>
            <w:tcW w:w="448"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0.0027~0.006</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0.074~0.219</w:t>
            </w:r>
          </w:p>
        </w:tc>
        <w:tc>
          <w:tcPr>
            <w:tcW w:w="397"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1.057~3.522</w:t>
            </w:r>
          </w:p>
        </w:tc>
        <w:tc>
          <w:tcPr>
            <w:tcW w:w="31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3.69~5.68</w:t>
            </w:r>
          </w:p>
        </w:tc>
        <w:tc>
          <w:tcPr>
            <w:tcW w:w="320"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493~1280</w:t>
            </w:r>
          </w:p>
        </w:tc>
        <w:tc>
          <w:tcPr>
            <w:tcW w:w="36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0.019~0.065</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0.465~0.673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1" w:type="pct"/>
            <w:vMerge w:val="continue"/>
            <w:vAlign w:val="center"/>
          </w:tcPr>
          <w:p>
            <w:pPr>
              <w:widowControl w:val="0"/>
              <w:spacing w:line="320" w:lineRule="exact"/>
              <w:jc w:val="center"/>
              <w:rPr>
                <w:rFonts w:hint="default" w:ascii="Times New Roman" w:hAnsi="Times New Roman" w:eastAsia="宋体" w:cs="Times New Roman"/>
                <w:color w:val="auto"/>
                <w:sz w:val="18"/>
                <w:szCs w:val="18"/>
              </w:rPr>
            </w:pPr>
          </w:p>
        </w:tc>
        <w:tc>
          <w:tcPr>
            <w:tcW w:w="213"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rPr>
              <w:t>11月</w:t>
            </w:r>
          </w:p>
        </w:tc>
        <w:tc>
          <w:tcPr>
            <w:tcW w:w="374"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8.12~10.61</w:t>
            </w:r>
          </w:p>
        </w:tc>
        <w:tc>
          <w:tcPr>
            <w:tcW w:w="35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10.3~19.8</w:t>
            </w:r>
          </w:p>
        </w:tc>
        <w:tc>
          <w:tcPr>
            <w:tcW w:w="415"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19.9~158.4</w:t>
            </w:r>
          </w:p>
        </w:tc>
        <w:tc>
          <w:tcPr>
            <w:tcW w:w="37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7.92~8.08</w:t>
            </w:r>
          </w:p>
        </w:tc>
        <w:tc>
          <w:tcPr>
            <w:tcW w:w="42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396.9~443.6</w:t>
            </w:r>
          </w:p>
        </w:tc>
        <w:tc>
          <w:tcPr>
            <w:tcW w:w="448"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0.0022~0.0083</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0.064~0.243</w:t>
            </w:r>
          </w:p>
        </w:tc>
        <w:tc>
          <w:tcPr>
            <w:tcW w:w="397"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1.263~9.072</w:t>
            </w:r>
          </w:p>
        </w:tc>
        <w:tc>
          <w:tcPr>
            <w:tcW w:w="31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3.46~5.72</w:t>
            </w:r>
          </w:p>
        </w:tc>
        <w:tc>
          <w:tcPr>
            <w:tcW w:w="320"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292~1156</w:t>
            </w:r>
          </w:p>
        </w:tc>
        <w:tc>
          <w:tcPr>
            <w:tcW w:w="36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0.0032~0.31</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0.297~0.552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1" w:type="pct"/>
            <w:vMerge w:val="continue"/>
            <w:vAlign w:val="center"/>
          </w:tcPr>
          <w:p>
            <w:pPr>
              <w:widowControl w:val="0"/>
              <w:spacing w:line="320" w:lineRule="exact"/>
              <w:jc w:val="center"/>
              <w:rPr>
                <w:rFonts w:hint="default" w:ascii="Times New Roman" w:hAnsi="Times New Roman" w:eastAsia="宋体" w:cs="Times New Roman"/>
                <w:color w:val="auto"/>
                <w:sz w:val="18"/>
                <w:szCs w:val="18"/>
              </w:rPr>
            </w:pPr>
          </w:p>
        </w:tc>
        <w:tc>
          <w:tcPr>
            <w:tcW w:w="213"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rPr>
              <w:t>12月</w:t>
            </w:r>
          </w:p>
        </w:tc>
        <w:tc>
          <w:tcPr>
            <w:tcW w:w="374"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10.54~11.9</w:t>
            </w:r>
          </w:p>
        </w:tc>
        <w:tc>
          <w:tcPr>
            <w:tcW w:w="35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8.7~12.2</w:t>
            </w:r>
          </w:p>
        </w:tc>
        <w:tc>
          <w:tcPr>
            <w:tcW w:w="415"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32.7~189.3</w:t>
            </w:r>
          </w:p>
        </w:tc>
        <w:tc>
          <w:tcPr>
            <w:tcW w:w="37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8~8.18</w:t>
            </w:r>
          </w:p>
        </w:tc>
        <w:tc>
          <w:tcPr>
            <w:tcW w:w="42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429~449.9</w:t>
            </w:r>
          </w:p>
        </w:tc>
        <w:tc>
          <w:tcPr>
            <w:tcW w:w="448"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0.0057~0.0164</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0.063~0.248</w:t>
            </w:r>
          </w:p>
        </w:tc>
        <w:tc>
          <w:tcPr>
            <w:tcW w:w="397"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1.237~6.912</w:t>
            </w:r>
          </w:p>
        </w:tc>
        <w:tc>
          <w:tcPr>
            <w:tcW w:w="31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3.64~5.92</w:t>
            </w:r>
          </w:p>
        </w:tc>
        <w:tc>
          <w:tcPr>
            <w:tcW w:w="320"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308~1614</w:t>
            </w:r>
          </w:p>
        </w:tc>
        <w:tc>
          <w:tcPr>
            <w:tcW w:w="36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0.021~0.11</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0.257~0.655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1" w:type="pct"/>
            <w:vMerge w:val="restar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2020</w:t>
            </w:r>
          </w:p>
        </w:tc>
        <w:tc>
          <w:tcPr>
            <w:tcW w:w="213"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rPr>
              <w:t>1月</w:t>
            </w:r>
          </w:p>
        </w:tc>
        <w:tc>
          <w:tcPr>
            <w:tcW w:w="374"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11.43~12.6</w:t>
            </w:r>
          </w:p>
        </w:tc>
        <w:tc>
          <w:tcPr>
            <w:tcW w:w="35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6.1~10</w:t>
            </w:r>
          </w:p>
        </w:tc>
        <w:tc>
          <w:tcPr>
            <w:tcW w:w="415"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38.6~368.6</w:t>
            </w:r>
          </w:p>
        </w:tc>
        <w:tc>
          <w:tcPr>
            <w:tcW w:w="37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8.01~8.14</w:t>
            </w:r>
          </w:p>
        </w:tc>
        <w:tc>
          <w:tcPr>
            <w:tcW w:w="42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430.9~472.9</w:t>
            </w:r>
          </w:p>
        </w:tc>
        <w:tc>
          <w:tcPr>
            <w:tcW w:w="448"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0.0067~0.013</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0.057~0.272</w:t>
            </w:r>
          </w:p>
        </w:tc>
        <w:tc>
          <w:tcPr>
            <w:tcW w:w="397"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1.558~9.524</w:t>
            </w:r>
          </w:p>
        </w:tc>
        <w:tc>
          <w:tcPr>
            <w:tcW w:w="31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3.73~7.93</w:t>
            </w:r>
          </w:p>
        </w:tc>
        <w:tc>
          <w:tcPr>
            <w:tcW w:w="320"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424~992</w:t>
            </w:r>
          </w:p>
        </w:tc>
        <w:tc>
          <w:tcPr>
            <w:tcW w:w="36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0.026~0.322</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0.298~0.535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1" w:type="pct"/>
            <w:vMerge w:val="continue"/>
            <w:vAlign w:val="center"/>
          </w:tcPr>
          <w:p>
            <w:pPr>
              <w:widowControl w:val="0"/>
              <w:spacing w:line="320" w:lineRule="exact"/>
              <w:jc w:val="center"/>
              <w:rPr>
                <w:rFonts w:hint="default" w:ascii="Times New Roman" w:hAnsi="Times New Roman" w:eastAsia="宋体" w:cs="Times New Roman"/>
                <w:color w:val="auto"/>
                <w:sz w:val="18"/>
                <w:szCs w:val="18"/>
              </w:rPr>
            </w:pPr>
          </w:p>
        </w:tc>
        <w:tc>
          <w:tcPr>
            <w:tcW w:w="213" w:type="pct"/>
            <w:vAlign w:val="center"/>
          </w:tcPr>
          <w:p>
            <w:pPr>
              <w:snapToGrid w:val="0"/>
              <w:spacing w:line="280" w:lineRule="exact"/>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rPr>
              <w:t>2月</w:t>
            </w:r>
          </w:p>
        </w:tc>
        <w:tc>
          <w:tcPr>
            <w:tcW w:w="374"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10.46~12.1</w:t>
            </w:r>
          </w:p>
        </w:tc>
        <w:tc>
          <w:tcPr>
            <w:tcW w:w="35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6.9~13</w:t>
            </w:r>
          </w:p>
        </w:tc>
        <w:tc>
          <w:tcPr>
            <w:tcW w:w="415"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16.7~348.9</w:t>
            </w:r>
          </w:p>
        </w:tc>
        <w:tc>
          <w:tcPr>
            <w:tcW w:w="37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8.07~8.34</w:t>
            </w:r>
          </w:p>
        </w:tc>
        <w:tc>
          <w:tcPr>
            <w:tcW w:w="42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443.4~493.1</w:t>
            </w:r>
          </w:p>
        </w:tc>
        <w:tc>
          <w:tcPr>
            <w:tcW w:w="448"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0.0072~0.0165</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0.187~0.235</w:t>
            </w:r>
          </w:p>
        </w:tc>
        <w:tc>
          <w:tcPr>
            <w:tcW w:w="397"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2.076~11.812</w:t>
            </w:r>
          </w:p>
        </w:tc>
        <w:tc>
          <w:tcPr>
            <w:tcW w:w="31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2.69~7.13</w:t>
            </w:r>
          </w:p>
        </w:tc>
        <w:tc>
          <w:tcPr>
            <w:tcW w:w="320"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238~1128</w:t>
            </w:r>
          </w:p>
        </w:tc>
        <w:tc>
          <w:tcPr>
            <w:tcW w:w="36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0.041~0.559</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0.248~0.568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1" w:type="pct"/>
            <w:vMerge w:val="continue"/>
            <w:vAlign w:val="center"/>
          </w:tcPr>
          <w:p>
            <w:pPr>
              <w:widowControl w:val="0"/>
              <w:spacing w:line="320" w:lineRule="exact"/>
              <w:jc w:val="center"/>
              <w:rPr>
                <w:rFonts w:hint="default" w:ascii="Times New Roman" w:hAnsi="Times New Roman" w:eastAsia="宋体" w:cs="Times New Roman"/>
                <w:color w:val="auto"/>
                <w:sz w:val="18"/>
                <w:szCs w:val="18"/>
              </w:rPr>
            </w:pPr>
          </w:p>
        </w:tc>
        <w:tc>
          <w:tcPr>
            <w:tcW w:w="213"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rPr>
              <w:t>3月</w:t>
            </w:r>
          </w:p>
        </w:tc>
        <w:tc>
          <w:tcPr>
            <w:tcW w:w="374"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8.66~11.33</w:t>
            </w:r>
          </w:p>
        </w:tc>
        <w:tc>
          <w:tcPr>
            <w:tcW w:w="35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11~18.9</w:t>
            </w:r>
          </w:p>
        </w:tc>
        <w:tc>
          <w:tcPr>
            <w:tcW w:w="415"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19.2~193.2</w:t>
            </w:r>
          </w:p>
        </w:tc>
        <w:tc>
          <w:tcPr>
            <w:tcW w:w="37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8.03~8.21</w:t>
            </w:r>
          </w:p>
        </w:tc>
        <w:tc>
          <w:tcPr>
            <w:tcW w:w="42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443.6~474.9</w:t>
            </w:r>
          </w:p>
        </w:tc>
        <w:tc>
          <w:tcPr>
            <w:tcW w:w="448"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0.0037~0.0142</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0.141~0.219</w:t>
            </w:r>
          </w:p>
        </w:tc>
        <w:tc>
          <w:tcPr>
            <w:tcW w:w="397"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1.982~5.449</w:t>
            </w:r>
          </w:p>
        </w:tc>
        <w:tc>
          <w:tcPr>
            <w:tcW w:w="31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3.27~5.59</w:t>
            </w:r>
          </w:p>
        </w:tc>
        <w:tc>
          <w:tcPr>
            <w:tcW w:w="320"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95~786</w:t>
            </w:r>
          </w:p>
        </w:tc>
        <w:tc>
          <w:tcPr>
            <w:tcW w:w="36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0.028~0.158</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0.282~0.397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1" w:type="pct"/>
            <w:vMerge w:val="continue"/>
            <w:vAlign w:val="center"/>
          </w:tcPr>
          <w:p>
            <w:pPr>
              <w:widowControl w:val="0"/>
              <w:spacing w:line="320" w:lineRule="exact"/>
              <w:jc w:val="center"/>
              <w:rPr>
                <w:rFonts w:hint="default" w:ascii="Times New Roman" w:hAnsi="Times New Roman" w:eastAsia="宋体" w:cs="Times New Roman"/>
                <w:color w:val="auto"/>
                <w:sz w:val="18"/>
                <w:szCs w:val="18"/>
              </w:rPr>
            </w:pPr>
          </w:p>
        </w:tc>
        <w:tc>
          <w:tcPr>
            <w:tcW w:w="213"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rPr>
              <w:t>4月</w:t>
            </w:r>
          </w:p>
        </w:tc>
        <w:tc>
          <w:tcPr>
            <w:tcW w:w="374"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8.51~10.88</w:t>
            </w:r>
          </w:p>
        </w:tc>
        <w:tc>
          <w:tcPr>
            <w:tcW w:w="35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13.1~20.9</w:t>
            </w:r>
          </w:p>
        </w:tc>
        <w:tc>
          <w:tcPr>
            <w:tcW w:w="415"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16.3~191.4</w:t>
            </w:r>
          </w:p>
        </w:tc>
        <w:tc>
          <w:tcPr>
            <w:tcW w:w="37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7.98~8.28</w:t>
            </w:r>
          </w:p>
        </w:tc>
        <w:tc>
          <w:tcPr>
            <w:tcW w:w="42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430.6~482.4</w:t>
            </w:r>
          </w:p>
        </w:tc>
        <w:tc>
          <w:tcPr>
            <w:tcW w:w="448"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0.0019~0.0076</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0.164~0.192</w:t>
            </w:r>
          </w:p>
        </w:tc>
        <w:tc>
          <w:tcPr>
            <w:tcW w:w="397"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1.947~3.655</w:t>
            </w:r>
          </w:p>
        </w:tc>
        <w:tc>
          <w:tcPr>
            <w:tcW w:w="31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3.02~5.53</w:t>
            </w:r>
          </w:p>
        </w:tc>
        <w:tc>
          <w:tcPr>
            <w:tcW w:w="320"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75~571</w:t>
            </w:r>
          </w:p>
        </w:tc>
        <w:tc>
          <w:tcPr>
            <w:tcW w:w="36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0.015~0.088</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0.273~0.553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1" w:type="pct"/>
            <w:vMerge w:val="continue"/>
            <w:vAlign w:val="center"/>
          </w:tcPr>
          <w:p>
            <w:pPr>
              <w:widowControl w:val="0"/>
              <w:spacing w:line="320" w:lineRule="exact"/>
              <w:jc w:val="center"/>
              <w:rPr>
                <w:rFonts w:hint="default" w:ascii="Times New Roman" w:hAnsi="Times New Roman" w:eastAsia="宋体" w:cs="Times New Roman"/>
                <w:color w:val="auto"/>
                <w:sz w:val="18"/>
                <w:szCs w:val="18"/>
              </w:rPr>
            </w:pPr>
          </w:p>
        </w:tc>
        <w:tc>
          <w:tcPr>
            <w:tcW w:w="213"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rPr>
              <w:t>5月</w:t>
            </w:r>
          </w:p>
        </w:tc>
        <w:tc>
          <w:tcPr>
            <w:tcW w:w="374"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6.48~8.94</w:t>
            </w:r>
          </w:p>
        </w:tc>
        <w:tc>
          <w:tcPr>
            <w:tcW w:w="35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22.1~25.3</w:t>
            </w:r>
          </w:p>
        </w:tc>
        <w:tc>
          <w:tcPr>
            <w:tcW w:w="415"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16.6~151.6</w:t>
            </w:r>
          </w:p>
        </w:tc>
        <w:tc>
          <w:tcPr>
            <w:tcW w:w="37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7.83~8.66</w:t>
            </w:r>
          </w:p>
        </w:tc>
        <w:tc>
          <w:tcPr>
            <w:tcW w:w="42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431.2~469.4</w:t>
            </w:r>
          </w:p>
        </w:tc>
        <w:tc>
          <w:tcPr>
            <w:tcW w:w="448"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0.0013~0.028</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0.126~0.194</w:t>
            </w:r>
          </w:p>
        </w:tc>
        <w:tc>
          <w:tcPr>
            <w:tcW w:w="397"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1.558~3.01</w:t>
            </w:r>
          </w:p>
        </w:tc>
        <w:tc>
          <w:tcPr>
            <w:tcW w:w="31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2.9~6.52</w:t>
            </w:r>
          </w:p>
        </w:tc>
        <w:tc>
          <w:tcPr>
            <w:tcW w:w="320"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28~2640</w:t>
            </w:r>
          </w:p>
        </w:tc>
        <w:tc>
          <w:tcPr>
            <w:tcW w:w="36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0.024~0.052</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0.262~0.536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1" w:type="pct"/>
            <w:vMerge w:val="continue"/>
            <w:vAlign w:val="center"/>
          </w:tcPr>
          <w:p>
            <w:pPr>
              <w:widowControl w:val="0"/>
              <w:spacing w:line="320" w:lineRule="exact"/>
              <w:jc w:val="center"/>
              <w:rPr>
                <w:rFonts w:hint="default" w:ascii="Times New Roman" w:hAnsi="Times New Roman" w:eastAsia="宋体" w:cs="Times New Roman"/>
                <w:color w:val="auto"/>
                <w:sz w:val="18"/>
                <w:szCs w:val="18"/>
              </w:rPr>
            </w:pPr>
          </w:p>
        </w:tc>
        <w:tc>
          <w:tcPr>
            <w:tcW w:w="213"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rPr>
              <w:t>6月</w:t>
            </w:r>
          </w:p>
        </w:tc>
        <w:tc>
          <w:tcPr>
            <w:tcW w:w="374"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5.83~7.42</w:t>
            </w:r>
          </w:p>
        </w:tc>
        <w:tc>
          <w:tcPr>
            <w:tcW w:w="35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23.2~29.6</w:t>
            </w:r>
          </w:p>
        </w:tc>
        <w:tc>
          <w:tcPr>
            <w:tcW w:w="415"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25~86.6</w:t>
            </w:r>
          </w:p>
        </w:tc>
        <w:tc>
          <w:tcPr>
            <w:tcW w:w="37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7.66~8.2</w:t>
            </w:r>
          </w:p>
        </w:tc>
        <w:tc>
          <w:tcPr>
            <w:tcW w:w="42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424.6~453.1</w:t>
            </w:r>
          </w:p>
        </w:tc>
        <w:tc>
          <w:tcPr>
            <w:tcW w:w="448"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0.0015~0.0044</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0.125~0.165</w:t>
            </w:r>
          </w:p>
        </w:tc>
        <w:tc>
          <w:tcPr>
            <w:tcW w:w="397"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1.792~3.201</w:t>
            </w:r>
          </w:p>
        </w:tc>
        <w:tc>
          <w:tcPr>
            <w:tcW w:w="31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3.16~5.18</w:t>
            </w:r>
          </w:p>
        </w:tc>
        <w:tc>
          <w:tcPr>
            <w:tcW w:w="320"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11~931</w:t>
            </w:r>
          </w:p>
        </w:tc>
        <w:tc>
          <w:tcPr>
            <w:tcW w:w="36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0.018~0.066</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0.338~0.662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1" w:type="pct"/>
            <w:vMerge w:val="continue"/>
            <w:vAlign w:val="center"/>
          </w:tcPr>
          <w:p>
            <w:pPr>
              <w:widowControl w:val="0"/>
              <w:spacing w:line="320" w:lineRule="exact"/>
              <w:jc w:val="center"/>
              <w:rPr>
                <w:rFonts w:hint="default" w:ascii="Times New Roman" w:hAnsi="Times New Roman" w:eastAsia="宋体" w:cs="Times New Roman"/>
                <w:color w:val="auto"/>
                <w:sz w:val="18"/>
                <w:szCs w:val="18"/>
              </w:rPr>
            </w:pPr>
          </w:p>
        </w:tc>
        <w:tc>
          <w:tcPr>
            <w:tcW w:w="213"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rPr>
              <w:t>7月</w:t>
            </w:r>
          </w:p>
        </w:tc>
        <w:tc>
          <w:tcPr>
            <w:tcW w:w="374"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6.56~7.78</w:t>
            </w:r>
          </w:p>
        </w:tc>
        <w:tc>
          <w:tcPr>
            <w:tcW w:w="35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25~29.8</w:t>
            </w:r>
          </w:p>
        </w:tc>
        <w:tc>
          <w:tcPr>
            <w:tcW w:w="415"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15.3~51.4</w:t>
            </w:r>
          </w:p>
        </w:tc>
        <w:tc>
          <w:tcPr>
            <w:tcW w:w="37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7.76~8.09</w:t>
            </w:r>
          </w:p>
        </w:tc>
        <w:tc>
          <w:tcPr>
            <w:tcW w:w="42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377.2~429.7</w:t>
            </w:r>
          </w:p>
        </w:tc>
        <w:tc>
          <w:tcPr>
            <w:tcW w:w="448"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0.0017~0.0027</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0.109~0.14</w:t>
            </w:r>
          </w:p>
        </w:tc>
        <w:tc>
          <w:tcPr>
            <w:tcW w:w="397"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0.42~2.921</w:t>
            </w:r>
          </w:p>
        </w:tc>
        <w:tc>
          <w:tcPr>
            <w:tcW w:w="318"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2.21~3.4</w:t>
            </w:r>
          </w:p>
        </w:tc>
        <w:tc>
          <w:tcPr>
            <w:tcW w:w="320"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154~339</w:t>
            </w:r>
          </w:p>
        </w:tc>
        <w:tc>
          <w:tcPr>
            <w:tcW w:w="36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0.02~0.067</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0.29~0.919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1" w:type="pct"/>
            <w:vMerge w:val="continue"/>
            <w:vAlign w:val="center"/>
          </w:tcPr>
          <w:p>
            <w:pPr>
              <w:widowControl w:val="0"/>
              <w:spacing w:line="320" w:lineRule="exact"/>
              <w:jc w:val="center"/>
              <w:rPr>
                <w:rFonts w:hint="default" w:ascii="Times New Roman" w:hAnsi="Times New Roman" w:eastAsia="宋体" w:cs="Times New Roman"/>
                <w:color w:val="auto"/>
                <w:sz w:val="18"/>
                <w:szCs w:val="18"/>
              </w:rPr>
            </w:pPr>
          </w:p>
        </w:tc>
        <w:tc>
          <w:tcPr>
            <w:tcW w:w="213"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rPr>
              <w:t>8月</w:t>
            </w:r>
          </w:p>
        </w:tc>
        <w:tc>
          <w:tcPr>
            <w:tcW w:w="374"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5.71~7.02</w:t>
            </w:r>
          </w:p>
        </w:tc>
        <w:tc>
          <w:tcPr>
            <w:tcW w:w="35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28.6~32.4</w:t>
            </w:r>
          </w:p>
        </w:tc>
        <w:tc>
          <w:tcPr>
            <w:tcW w:w="415"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9.3~106.2</w:t>
            </w:r>
          </w:p>
        </w:tc>
        <w:tc>
          <w:tcPr>
            <w:tcW w:w="37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8.04~8.85</w:t>
            </w:r>
          </w:p>
        </w:tc>
        <w:tc>
          <w:tcPr>
            <w:tcW w:w="42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312.8~378.8</w:t>
            </w:r>
          </w:p>
        </w:tc>
        <w:tc>
          <w:tcPr>
            <w:tcW w:w="448"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0.0006~0.0045</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0.122~0.138</w:t>
            </w:r>
          </w:p>
        </w:tc>
        <w:tc>
          <w:tcPr>
            <w:tcW w:w="397"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0.14~3.565</w:t>
            </w:r>
          </w:p>
        </w:tc>
        <w:tc>
          <w:tcPr>
            <w:tcW w:w="31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2.3~4.46</w:t>
            </w:r>
          </w:p>
        </w:tc>
        <w:tc>
          <w:tcPr>
            <w:tcW w:w="320"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104~920</w:t>
            </w:r>
          </w:p>
        </w:tc>
        <w:tc>
          <w:tcPr>
            <w:tcW w:w="36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0.017~0.064</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0.18~0.86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1" w:type="pct"/>
            <w:vMerge w:val="continue"/>
            <w:vAlign w:val="center"/>
          </w:tcPr>
          <w:p>
            <w:pPr>
              <w:widowControl w:val="0"/>
              <w:spacing w:line="320" w:lineRule="exact"/>
              <w:jc w:val="center"/>
              <w:rPr>
                <w:rFonts w:hint="default" w:ascii="Times New Roman" w:hAnsi="Times New Roman" w:eastAsia="宋体" w:cs="Times New Roman"/>
                <w:color w:val="auto"/>
                <w:sz w:val="18"/>
                <w:szCs w:val="18"/>
              </w:rPr>
            </w:pPr>
          </w:p>
        </w:tc>
        <w:tc>
          <w:tcPr>
            <w:tcW w:w="213"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rPr>
              <w:t>9月</w:t>
            </w:r>
          </w:p>
        </w:tc>
        <w:tc>
          <w:tcPr>
            <w:tcW w:w="374"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6.03~6.75</w:t>
            </w:r>
          </w:p>
        </w:tc>
        <w:tc>
          <w:tcPr>
            <w:tcW w:w="35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23.3~30.3</w:t>
            </w:r>
          </w:p>
        </w:tc>
        <w:tc>
          <w:tcPr>
            <w:tcW w:w="415"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22.2~93.3</w:t>
            </w:r>
          </w:p>
        </w:tc>
        <w:tc>
          <w:tcPr>
            <w:tcW w:w="37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7.87~8.38</w:t>
            </w:r>
          </w:p>
        </w:tc>
        <w:tc>
          <w:tcPr>
            <w:tcW w:w="42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327.1~348.8</w:t>
            </w:r>
          </w:p>
        </w:tc>
        <w:tc>
          <w:tcPr>
            <w:tcW w:w="448"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0.0012~0.0094</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0.127~0.156</w:t>
            </w:r>
          </w:p>
        </w:tc>
        <w:tc>
          <w:tcPr>
            <w:tcW w:w="397"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0.676~3.648</w:t>
            </w:r>
          </w:p>
        </w:tc>
        <w:tc>
          <w:tcPr>
            <w:tcW w:w="31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2.66~4.08</w:t>
            </w:r>
          </w:p>
        </w:tc>
        <w:tc>
          <w:tcPr>
            <w:tcW w:w="320"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183~828</w:t>
            </w:r>
          </w:p>
        </w:tc>
        <w:tc>
          <w:tcPr>
            <w:tcW w:w="36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0.021~0.11</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0.301~0.812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1" w:type="pct"/>
            <w:vMerge w:val="continue"/>
            <w:vAlign w:val="center"/>
          </w:tcPr>
          <w:p>
            <w:pPr>
              <w:widowControl w:val="0"/>
              <w:spacing w:line="320" w:lineRule="exact"/>
              <w:jc w:val="center"/>
              <w:rPr>
                <w:rFonts w:hint="default" w:ascii="Times New Roman" w:hAnsi="Times New Roman" w:eastAsia="宋体" w:cs="Times New Roman"/>
                <w:color w:val="auto"/>
                <w:sz w:val="18"/>
                <w:szCs w:val="18"/>
              </w:rPr>
            </w:pPr>
          </w:p>
        </w:tc>
        <w:tc>
          <w:tcPr>
            <w:tcW w:w="213"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rPr>
              <w:t>10月</w:t>
            </w:r>
          </w:p>
        </w:tc>
        <w:tc>
          <w:tcPr>
            <w:tcW w:w="374"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6.13~7.91</w:t>
            </w:r>
          </w:p>
        </w:tc>
        <w:tc>
          <w:tcPr>
            <w:tcW w:w="35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17.9~25.1</w:t>
            </w:r>
          </w:p>
        </w:tc>
        <w:tc>
          <w:tcPr>
            <w:tcW w:w="415"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15.8~37.8</w:t>
            </w:r>
          </w:p>
        </w:tc>
        <w:tc>
          <w:tcPr>
            <w:tcW w:w="37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7.88~8.09</w:t>
            </w:r>
          </w:p>
        </w:tc>
        <w:tc>
          <w:tcPr>
            <w:tcW w:w="42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343.2~360</w:t>
            </w:r>
          </w:p>
        </w:tc>
        <w:tc>
          <w:tcPr>
            <w:tcW w:w="448"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0.0014~0.0038</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0.13~0.272</w:t>
            </w:r>
          </w:p>
        </w:tc>
        <w:tc>
          <w:tcPr>
            <w:tcW w:w="397"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0.798~1.843</w:t>
            </w:r>
          </w:p>
        </w:tc>
        <w:tc>
          <w:tcPr>
            <w:tcW w:w="318"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2.27~3.16</w:t>
            </w:r>
          </w:p>
        </w:tc>
        <w:tc>
          <w:tcPr>
            <w:tcW w:w="320"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168~418</w:t>
            </w:r>
          </w:p>
        </w:tc>
        <w:tc>
          <w:tcPr>
            <w:tcW w:w="36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0.011~0.03</w:t>
            </w:r>
          </w:p>
        </w:tc>
        <w:tc>
          <w:tcPr>
            <w:tcW w:w="379"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0.45~1.449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1" w:type="pct"/>
            <w:vMerge w:val="continue"/>
            <w:vAlign w:val="center"/>
          </w:tcPr>
          <w:p>
            <w:pPr>
              <w:widowControl w:val="0"/>
              <w:spacing w:line="320" w:lineRule="exact"/>
              <w:jc w:val="center"/>
              <w:rPr>
                <w:rFonts w:hint="default" w:ascii="Times New Roman" w:hAnsi="Times New Roman" w:eastAsia="宋体" w:cs="Times New Roman"/>
                <w:color w:val="auto"/>
                <w:sz w:val="18"/>
                <w:szCs w:val="18"/>
              </w:rPr>
            </w:pPr>
          </w:p>
        </w:tc>
        <w:tc>
          <w:tcPr>
            <w:tcW w:w="213"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rPr>
              <w:t>11月</w:t>
            </w:r>
          </w:p>
        </w:tc>
        <w:tc>
          <w:tcPr>
            <w:tcW w:w="374"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7.51~9.68</w:t>
            </w:r>
          </w:p>
        </w:tc>
        <w:tc>
          <w:tcPr>
            <w:tcW w:w="35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12.5~19.2</w:t>
            </w:r>
          </w:p>
        </w:tc>
        <w:tc>
          <w:tcPr>
            <w:tcW w:w="415"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14.4~141.9</w:t>
            </w:r>
          </w:p>
        </w:tc>
        <w:tc>
          <w:tcPr>
            <w:tcW w:w="37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7.89~8.04</w:t>
            </w:r>
          </w:p>
        </w:tc>
        <w:tc>
          <w:tcPr>
            <w:tcW w:w="421"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363.5~365.9</w:t>
            </w:r>
          </w:p>
        </w:tc>
        <w:tc>
          <w:tcPr>
            <w:tcW w:w="448"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0.0012~0.0049</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0.175~0.318</w:t>
            </w:r>
          </w:p>
        </w:tc>
        <w:tc>
          <w:tcPr>
            <w:tcW w:w="397"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1.09~8.341</w:t>
            </w:r>
          </w:p>
        </w:tc>
        <w:tc>
          <w:tcPr>
            <w:tcW w:w="31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rPr>
              <w:t>2.79~4.85</w:t>
            </w:r>
          </w:p>
        </w:tc>
        <w:tc>
          <w:tcPr>
            <w:tcW w:w="320"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rPr>
              <w:t>256~756</w:t>
            </w:r>
          </w:p>
        </w:tc>
        <w:tc>
          <w:tcPr>
            <w:tcW w:w="36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rPr>
              <w:t>0.011~0.053</w:t>
            </w:r>
          </w:p>
        </w:tc>
        <w:tc>
          <w:tcPr>
            <w:tcW w:w="379" w:type="pct"/>
            <w:vAlign w:val="center"/>
          </w:tcPr>
          <w:p>
            <w:pPr>
              <w:widowControl w:val="0"/>
              <w:spacing w:line="320" w:lineRule="exact"/>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rPr>
              <w:t>0.41~0.948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44" w:type="pct"/>
            <w:gridSpan w:val="2"/>
            <w:vAlign w:val="center"/>
          </w:tcPr>
          <w:p>
            <w:pPr>
              <w:widowControl w:val="0"/>
              <w:spacing w:line="32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II类标准</w:t>
            </w:r>
            <w:r>
              <w:rPr>
                <w:rFonts w:hint="eastAsia" w:ascii="Times New Roman" w:hAnsi="Times New Roman" w:cs="Times New Roman"/>
                <w:color w:val="auto"/>
                <w:sz w:val="18"/>
                <w:szCs w:val="18"/>
                <w:lang w:val="en-US" w:eastAsia="zh-CN"/>
              </w:rPr>
              <w:t>限</w:t>
            </w:r>
            <w:r>
              <w:rPr>
                <w:rFonts w:hint="default" w:ascii="Times New Roman" w:hAnsi="Times New Roman" w:cs="Times New Roman"/>
                <w:color w:val="auto"/>
                <w:sz w:val="18"/>
                <w:szCs w:val="18"/>
                <w:lang w:val="en-US" w:eastAsia="zh-CN"/>
              </w:rPr>
              <w:t>值</w:t>
            </w:r>
          </w:p>
        </w:tc>
        <w:tc>
          <w:tcPr>
            <w:tcW w:w="374" w:type="pct"/>
            <w:vAlign w:val="center"/>
          </w:tcPr>
          <w:p>
            <w:pPr>
              <w:widowControl w:val="0"/>
              <w:spacing w:line="320" w:lineRule="exact"/>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6</w:t>
            </w:r>
          </w:p>
        </w:tc>
        <w:tc>
          <w:tcPr>
            <w:tcW w:w="359" w:type="pct"/>
            <w:vAlign w:val="center"/>
          </w:tcPr>
          <w:p>
            <w:pPr>
              <w:widowControl w:val="0"/>
              <w:spacing w:line="320" w:lineRule="exact"/>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415" w:type="pct"/>
            <w:vAlign w:val="center"/>
          </w:tcPr>
          <w:p>
            <w:pPr>
              <w:widowControl w:val="0"/>
              <w:spacing w:line="320" w:lineRule="exact"/>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371" w:type="pct"/>
            <w:vAlign w:val="center"/>
          </w:tcPr>
          <w:p>
            <w:pPr>
              <w:widowControl w:val="0"/>
              <w:spacing w:line="320" w:lineRule="exact"/>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6~9</w:t>
            </w:r>
          </w:p>
        </w:tc>
        <w:tc>
          <w:tcPr>
            <w:tcW w:w="421" w:type="pct"/>
            <w:vAlign w:val="center"/>
          </w:tcPr>
          <w:p>
            <w:pPr>
              <w:widowControl w:val="0"/>
              <w:spacing w:line="320" w:lineRule="exact"/>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448" w:type="pct"/>
            <w:vAlign w:val="center"/>
          </w:tcPr>
          <w:p>
            <w:pPr>
              <w:widowControl w:val="0"/>
              <w:spacing w:line="320" w:lineRule="exact"/>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379" w:type="pct"/>
            <w:vAlign w:val="center"/>
          </w:tcPr>
          <w:p>
            <w:pPr>
              <w:widowControl w:val="0"/>
              <w:spacing w:line="320" w:lineRule="exact"/>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0.5</w:t>
            </w:r>
          </w:p>
        </w:tc>
        <w:tc>
          <w:tcPr>
            <w:tcW w:w="397" w:type="pct"/>
            <w:vAlign w:val="center"/>
          </w:tcPr>
          <w:p>
            <w:pPr>
              <w:widowControl w:val="0"/>
              <w:spacing w:line="320" w:lineRule="exact"/>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0.5</w:t>
            </w:r>
          </w:p>
        </w:tc>
        <w:tc>
          <w:tcPr>
            <w:tcW w:w="318" w:type="pct"/>
            <w:vAlign w:val="center"/>
          </w:tcPr>
          <w:p>
            <w:pPr>
              <w:widowControl w:val="0"/>
              <w:spacing w:line="320" w:lineRule="exact"/>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4</w:t>
            </w:r>
          </w:p>
        </w:tc>
        <w:tc>
          <w:tcPr>
            <w:tcW w:w="320" w:type="pct"/>
            <w:vAlign w:val="center"/>
          </w:tcPr>
          <w:p>
            <w:pPr>
              <w:widowControl w:val="0"/>
              <w:spacing w:line="320" w:lineRule="exact"/>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368" w:type="pct"/>
            <w:vAlign w:val="center"/>
          </w:tcPr>
          <w:p>
            <w:pPr>
              <w:widowControl w:val="0"/>
              <w:spacing w:line="320" w:lineRule="exact"/>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0.025</w:t>
            </w:r>
          </w:p>
        </w:tc>
        <w:tc>
          <w:tcPr>
            <w:tcW w:w="379" w:type="pct"/>
            <w:vAlign w:val="center"/>
          </w:tcPr>
          <w:p>
            <w:pPr>
              <w:widowControl w:val="0"/>
              <w:spacing w:line="320" w:lineRule="exact"/>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1.0</w:t>
            </w:r>
          </w:p>
        </w:tc>
      </w:tr>
    </w:tbl>
    <w:p>
      <w:pPr>
        <w:tabs>
          <w:tab w:val="left" w:pos="1666"/>
        </w:tabs>
        <w:spacing w:line="480" w:lineRule="atLeast"/>
        <w:ind w:firstLine="480" w:firstLineChars="200"/>
        <w:jc w:val="both"/>
        <w:rPr>
          <w:rFonts w:hint="default" w:cs="Times New Roman"/>
          <w:color w:val="auto"/>
          <w:lang w:val="en-US" w:eastAsia="zh-CN"/>
        </w:rPr>
        <w:sectPr>
          <w:pgSz w:w="16838" w:h="11905" w:orient="landscape"/>
          <w:pgMar w:top="720" w:right="720" w:bottom="720" w:left="720" w:header="850" w:footer="992" w:gutter="0"/>
          <w:pgBorders>
            <w:top w:val="none" w:sz="0" w:space="0"/>
            <w:left w:val="none" w:sz="0" w:space="0"/>
            <w:bottom w:val="none" w:sz="0" w:space="0"/>
            <w:right w:val="none" w:sz="0" w:space="0"/>
          </w:pgBorders>
          <w:pgNumType w:fmt="decimal"/>
          <w:cols w:space="0" w:num="1"/>
          <w:docGrid w:type="lines" w:linePitch="392" w:charSpace="0"/>
        </w:sectPr>
      </w:pPr>
      <w:r>
        <w:rPr>
          <w:rFonts w:hint="eastAsia" w:cs="Times New Roman"/>
          <w:color w:val="auto"/>
          <w:lang w:val="en-US" w:eastAsia="zh-CN"/>
        </w:rPr>
        <w:t>根据上表监测结果可知，2018年1月~2020年11月渔洋山水源地总氮、总磷、高锰酸盐指数现状浓度基本都超过《地表水环境质量标准》(GB3838-2002)中II类标准值，2018年5月份氨氮现状浓度超过《地表水环境质量标准》(GB3838-2002)中II类标准值，2020年10月份氟化物现状浓度超过《地表水环境质量标准》(GB3838-2002)中II类标准值，其余因子均能满足《地表水环境质量标准》(GB3838-2002)中II类标准值要求。</w:t>
      </w:r>
    </w:p>
    <w:p>
      <w:pPr>
        <w:tabs>
          <w:tab w:val="left" w:pos="1666"/>
        </w:tabs>
        <w:spacing w:line="480" w:lineRule="atLeas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（2）评价方法</w:t>
      </w:r>
    </w:p>
    <w:p>
      <w:pPr>
        <w:tabs>
          <w:tab w:val="left" w:pos="1666"/>
        </w:tabs>
        <w:spacing w:line="480" w:lineRule="atLeas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根据《环境影响评价技术导则地表水环境》（HJ2.3—2018）附录D 水环境质量评</w:t>
      </w:r>
    </w:p>
    <w:p>
      <w:pPr>
        <w:tabs>
          <w:tab w:val="left" w:pos="1666"/>
        </w:tabs>
        <w:spacing w:line="480" w:lineRule="atLeast"/>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价方法如下：</w:t>
      </w:r>
    </w:p>
    <w:p>
      <w:pPr>
        <w:tabs>
          <w:tab w:val="left" w:pos="1666"/>
        </w:tabs>
        <w:spacing w:line="480" w:lineRule="atLeas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1）一般性水质因子（随着浓度增加而水质变差的水质因子）的指数计算公式为：</w:t>
      </w:r>
    </w:p>
    <w:p>
      <w:pPr>
        <w:tabs>
          <w:tab w:val="left" w:pos="1666"/>
        </w:tabs>
        <w:spacing w:line="480" w:lineRule="atLeast"/>
        <w:ind w:firstLine="480" w:firstLineChars="200"/>
        <w:jc w:val="center"/>
        <w:rPr>
          <w:rFonts w:hint="default" w:ascii="Times New Roman" w:hAnsi="Times New Roman" w:eastAsia="宋体" w:cs="Times New Roman"/>
          <w:color w:val="auto"/>
          <w:position w:val="-14"/>
        </w:rPr>
      </w:pPr>
      <w:r>
        <w:rPr>
          <w:rFonts w:hint="default" w:ascii="Times New Roman" w:hAnsi="Times New Roman" w:eastAsia="宋体" w:cs="Times New Roman"/>
          <w:color w:val="auto"/>
          <w:position w:val="-14"/>
        </w:rPr>
        <w:object>
          <v:shape id="_x0000_i1025" o:spt="75" type="#_x0000_t75" style="height:20pt;width:70.65pt;" o:ole="t" filled="f" o:preferrelative="t" stroked="f" coordsize="21600,21600">
            <v:path/>
            <v:fill on="f" focussize="0,0"/>
            <v:stroke on="f" joinstyle="miter"/>
            <v:imagedata r:id="rId50" o:title=""/>
            <o:lock v:ext="edit" aspectratio="t"/>
            <w10:wrap type="none"/>
            <w10:anchorlock/>
          </v:shape>
          <o:OLEObject Type="Embed" ProgID="Equation.3" ShapeID="_x0000_i1025" DrawAspect="Content" ObjectID="_1468075725" r:id="rId49">
            <o:LockedField>false</o:LockedField>
          </o:OLEObject>
        </w:object>
      </w:r>
    </w:p>
    <w:p>
      <w:pPr>
        <w:tabs>
          <w:tab w:val="left" w:pos="1666"/>
        </w:tabs>
        <w:spacing w:line="480" w:lineRule="atLeas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式中：S</w:t>
      </w:r>
      <w:r>
        <w:rPr>
          <w:rFonts w:hint="default" w:ascii="Times New Roman" w:hAnsi="Times New Roman" w:eastAsia="宋体" w:cs="Times New Roman"/>
          <w:color w:val="auto"/>
          <w:vertAlign w:val="subscript"/>
          <w:lang w:val="en-US" w:eastAsia="zh-CN"/>
        </w:rPr>
        <w:t>i, j</w:t>
      </w:r>
      <w:r>
        <w:rPr>
          <w:rFonts w:hint="default" w:ascii="Times New Roman" w:hAnsi="Times New Roman" w:eastAsia="宋体" w:cs="Times New Roman"/>
          <w:color w:val="auto"/>
          <w:lang w:val="en-US" w:eastAsia="zh-CN"/>
        </w:rPr>
        <w:t>—评价因子i的标准指数，大于1表明该水质因子超标；</w:t>
      </w:r>
    </w:p>
    <w:p>
      <w:pPr>
        <w:tabs>
          <w:tab w:val="left" w:pos="1666"/>
        </w:tabs>
        <w:spacing w:line="480" w:lineRule="atLeast"/>
        <w:ind w:firstLine="1200" w:firstLineChars="5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C</w:t>
      </w:r>
      <w:r>
        <w:rPr>
          <w:rFonts w:hint="default" w:ascii="Times New Roman" w:hAnsi="Times New Roman" w:eastAsia="宋体" w:cs="Times New Roman"/>
          <w:color w:val="auto"/>
          <w:vertAlign w:val="subscript"/>
          <w:lang w:val="en-US" w:eastAsia="zh-CN"/>
        </w:rPr>
        <w:t>i. j</w:t>
      </w:r>
      <w:r>
        <w:rPr>
          <w:rFonts w:hint="default" w:ascii="Times New Roman" w:hAnsi="Times New Roman" w:eastAsia="宋体" w:cs="Times New Roman"/>
          <w:color w:val="auto"/>
          <w:lang w:val="en-US" w:eastAsia="zh-CN"/>
        </w:rPr>
        <w:t>—评价因子i在j点的实测统计代表值，mg/L；</w:t>
      </w:r>
    </w:p>
    <w:p>
      <w:pPr>
        <w:tabs>
          <w:tab w:val="left" w:pos="1666"/>
        </w:tabs>
        <w:spacing w:line="480" w:lineRule="atLeast"/>
        <w:ind w:firstLine="1200" w:firstLineChars="5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C</w:t>
      </w:r>
      <w:r>
        <w:rPr>
          <w:rFonts w:hint="default" w:ascii="Times New Roman" w:hAnsi="Times New Roman" w:eastAsia="宋体" w:cs="Times New Roman"/>
          <w:color w:val="auto"/>
          <w:vertAlign w:val="subscript"/>
          <w:lang w:val="en-US" w:eastAsia="zh-CN"/>
        </w:rPr>
        <w:t>si</w:t>
      </w:r>
      <w:r>
        <w:rPr>
          <w:rFonts w:hint="default" w:ascii="Times New Roman" w:hAnsi="Times New Roman" w:eastAsia="宋体" w:cs="Times New Roman"/>
          <w:color w:val="auto"/>
          <w:lang w:val="en-US" w:eastAsia="zh-CN"/>
        </w:rPr>
        <w:t>—评价因子i的水质评价标准限值，mg/L。</w:t>
      </w:r>
    </w:p>
    <w:p>
      <w:pPr>
        <w:tabs>
          <w:tab w:val="left" w:pos="1666"/>
        </w:tabs>
        <w:spacing w:line="480" w:lineRule="atLeas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2）溶解氧（DO）的标准指数计算公式：</w:t>
      </w:r>
    </w:p>
    <w:p>
      <w:pPr>
        <w:tabs>
          <w:tab w:val="left" w:pos="1666"/>
        </w:tabs>
        <w:spacing w:line="480" w:lineRule="atLeast"/>
        <w:ind w:firstLine="480" w:firstLineChars="200"/>
        <w:rPr>
          <w:rFonts w:hint="default" w:ascii="Times New Roman" w:hAnsi="Times New Roman" w:eastAsia="宋体" w:cs="Times New Roman"/>
          <w:i w:val="0"/>
          <w:color w:val="auto"/>
          <w:sz w:val="24"/>
          <w:szCs w:val="24"/>
          <w:lang w:val="en-US" w:eastAsia="zh-CN" w:bidi="ar-SA"/>
        </w:rPr>
      </w:pPr>
      <m:oMathPara>
        <m:oMath>
          <m:sSub>
            <m:sSubPr>
              <m:ctrlPr>
                <w:rPr>
                  <w:rFonts w:hint="default" w:ascii="Cambria Math" w:hAnsi="Cambria Math" w:eastAsia="宋体" w:cs="Times New Roman"/>
                  <w:i/>
                  <w:color w:val="auto"/>
                  <w:sz w:val="24"/>
                  <w:szCs w:val="24"/>
                  <w:lang w:val="en-US" w:bidi="ar-SA"/>
                </w:rPr>
              </m:ctrlPr>
            </m:sSubPr>
            <m:e>
              <m:r>
                <m:rPr/>
                <w:rPr>
                  <w:rFonts w:hint="default" w:ascii="Cambria Math" w:hAnsi="Cambria Math" w:eastAsia="宋体" w:cs="Times New Roman"/>
                  <w:color w:val="auto"/>
                  <w:sz w:val="24"/>
                  <w:szCs w:val="24"/>
                  <w:lang w:val="en-US" w:eastAsia="zh-CN" w:bidi="ar-SA"/>
                </w:rPr>
                <m:t>S</m:t>
              </m:r>
              <m:ctrlPr>
                <w:rPr>
                  <w:rFonts w:hint="default" w:ascii="Cambria Math" w:hAnsi="Cambria Math" w:eastAsia="宋体" w:cs="Times New Roman"/>
                  <w:i/>
                  <w:color w:val="auto"/>
                  <w:sz w:val="24"/>
                  <w:szCs w:val="24"/>
                  <w:lang w:val="en-US" w:bidi="ar-SA"/>
                </w:rPr>
              </m:ctrlPr>
            </m:e>
            <m:sub>
              <m:r>
                <m:rPr/>
                <w:rPr>
                  <w:rFonts w:hint="default" w:ascii="Cambria Math" w:hAnsi="Cambria Math" w:eastAsia="宋体" w:cs="Times New Roman"/>
                  <w:color w:val="auto"/>
                  <w:sz w:val="24"/>
                  <w:szCs w:val="24"/>
                  <w:lang w:val="en-US" w:eastAsia="zh-CN" w:bidi="ar-SA"/>
                </w:rPr>
                <m:t>DO，j</m:t>
              </m:r>
              <m:ctrlPr>
                <w:rPr>
                  <w:rFonts w:hint="default" w:ascii="Cambria Math" w:hAnsi="Cambria Math" w:eastAsia="宋体" w:cs="Times New Roman"/>
                  <w:i/>
                  <w:color w:val="auto"/>
                  <w:sz w:val="24"/>
                  <w:szCs w:val="24"/>
                  <w:lang w:val="en-US" w:bidi="ar-SA"/>
                </w:rPr>
              </m:ctrlPr>
            </m:sub>
          </m:sSub>
          <m:r>
            <m:rPr/>
            <w:rPr>
              <w:rFonts w:hint="default" w:ascii="Cambria Math" w:hAnsi="Cambria Math" w:eastAsia="宋体" w:cs="Times New Roman"/>
              <w:color w:val="auto"/>
              <w:sz w:val="24"/>
              <w:szCs w:val="24"/>
              <w:lang w:val="en-US" w:eastAsia="zh-CN" w:bidi="ar-SA"/>
            </w:rPr>
            <m:t>=</m:t>
          </m:r>
          <m:sSub>
            <m:sSubPr>
              <m:ctrlPr>
                <w:rPr>
                  <w:rFonts w:hint="default" w:ascii="Cambria Math" w:hAnsi="Cambria Math" w:eastAsia="宋体" w:cs="Times New Roman"/>
                  <w:i/>
                  <w:color w:val="auto"/>
                  <w:sz w:val="24"/>
                  <w:szCs w:val="24"/>
                  <w:lang w:val="en-US" w:eastAsia="zh-CN" w:bidi="ar-SA"/>
                </w:rPr>
              </m:ctrlPr>
            </m:sSubPr>
            <m:e>
              <m:r>
                <m:rPr/>
                <w:rPr>
                  <w:rFonts w:hint="default" w:ascii="Cambria Math" w:hAnsi="Cambria Math" w:eastAsia="宋体" w:cs="Times New Roman"/>
                  <w:color w:val="auto"/>
                  <w:sz w:val="24"/>
                  <w:szCs w:val="24"/>
                  <w:lang w:val="en-US" w:eastAsia="zh-CN" w:bidi="ar-SA"/>
                </w:rPr>
                <m:t>DO</m:t>
              </m:r>
              <m:ctrlPr>
                <w:rPr>
                  <w:rFonts w:hint="default" w:ascii="Cambria Math" w:hAnsi="Cambria Math" w:eastAsia="宋体" w:cs="Times New Roman"/>
                  <w:i/>
                  <w:color w:val="auto"/>
                  <w:sz w:val="24"/>
                  <w:szCs w:val="24"/>
                  <w:lang w:val="en-US" w:eastAsia="zh-CN" w:bidi="ar-SA"/>
                </w:rPr>
              </m:ctrlPr>
            </m:e>
            <m:sub>
              <m:r>
                <m:rPr/>
                <w:rPr>
                  <w:rFonts w:hint="default" w:ascii="Cambria Math" w:hAnsi="Cambria Math" w:eastAsia="宋体" w:cs="Times New Roman"/>
                  <w:color w:val="auto"/>
                  <w:sz w:val="24"/>
                  <w:szCs w:val="24"/>
                  <w:lang w:val="en-US" w:eastAsia="zh-CN" w:bidi="ar-SA"/>
                </w:rPr>
                <m:t>s</m:t>
              </m:r>
              <m:ctrlPr>
                <w:rPr>
                  <w:rFonts w:hint="default" w:ascii="Cambria Math" w:hAnsi="Cambria Math" w:eastAsia="宋体" w:cs="Times New Roman"/>
                  <w:i/>
                  <w:color w:val="auto"/>
                  <w:sz w:val="24"/>
                  <w:szCs w:val="24"/>
                  <w:lang w:val="en-US" w:eastAsia="zh-CN" w:bidi="ar-SA"/>
                </w:rPr>
              </m:ctrlPr>
            </m:sub>
          </m:sSub>
          <m:r>
            <m:rPr/>
            <w:rPr>
              <w:rFonts w:hint="default" w:ascii="Cambria Math" w:hAnsi="Cambria Math" w:eastAsia="宋体" w:cs="Times New Roman"/>
              <w:color w:val="auto"/>
              <w:sz w:val="24"/>
              <w:szCs w:val="24"/>
              <w:lang w:val="en-US" w:eastAsia="zh-CN" w:bidi="ar-SA"/>
            </w:rPr>
            <m:t>/</m:t>
          </m:r>
          <m:sSub>
            <m:sSubPr>
              <m:ctrlPr>
                <w:rPr>
                  <w:rFonts w:hint="default" w:ascii="Cambria Math" w:hAnsi="Cambria Math" w:eastAsia="宋体" w:cs="Times New Roman"/>
                  <w:i/>
                  <w:color w:val="auto"/>
                  <w:sz w:val="24"/>
                  <w:szCs w:val="24"/>
                  <w:lang w:val="en-US" w:eastAsia="zh-CN" w:bidi="ar-SA"/>
                </w:rPr>
              </m:ctrlPr>
            </m:sSubPr>
            <m:e>
              <m:r>
                <m:rPr/>
                <w:rPr>
                  <w:rFonts w:hint="default" w:ascii="Cambria Math" w:hAnsi="Cambria Math" w:eastAsia="宋体" w:cs="Times New Roman"/>
                  <w:color w:val="auto"/>
                  <w:sz w:val="24"/>
                  <w:szCs w:val="24"/>
                  <w:lang w:val="en-US" w:eastAsia="zh-CN" w:bidi="ar-SA"/>
                </w:rPr>
                <m:t>DO</m:t>
              </m:r>
              <m:ctrlPr>
                <w:rPr>
                  <w:rFonts w:hint="default" w:ascii="Cambria Math" w:hAnsi="Cambria Math" w:eastAsia="宋体" w:cs="Times New Roman"/>
                  <w:i/>
                  <w:color w:val="auto"/>
                  <w:sz w:val="24"/>
                  <w:szCs w:val="24"/>
                  <w:lang w:val="en-US" w:eastAsia="zh-CN" w:bidi="ar-SA"/>
                </w:rPr>
              </m:ctrlPr>
            </m:e>
            <m:sub>
              <m:r>
                <m:rPr/>
                <w:rPr>
                  <w:rFonts w:hint="default" w:ascii="Cambria Math" w:hAnsi="Cambria Math" w:eastAsia="宋体" w:cs="Times New Roman"/>
                  <w:color w:val="auto"/>
                  <w:sz w:val="24"/>
                  <w:szCs w:val="24"/>
                  <w:lang w:val="en-US" w:eastAsia="zh-CN" w:bidi="ar-SA"/>
                </w:rPr>
                <m:t>f</m:t>
              </m:r>
              <m:ctrlPr>
                <w:rPr>
                  <w:rFonts w:hint="default" w:ascii="Cambria Math" w:hAnsi="Cambria Math" w:eastAsia="宋体" w:cs="Times New Roman"/>
                  <w:i/>
                  <w:color w:val="auto"/>
                  <w:sz w:val="24"/>
                  <w:szCs w:val="24"/>
                  <w:lang w:val="en-US" w:eastAsia="zh-CN" w:bidi="ar-SA"/>
                </w:rPr>
              </m:ctrlPr>
            </m:sub>
          </m:sSub>
          <m:r>
            <m:rPr/>
            <w:rPr>
              <w:rFonts w:hint="default" w:ascii="Cambria Math" w:hAnsi="Cambria Math" w:eastAsia="宋体" w:cs="Times New Roman"/>
              <w:color w:val="auto"/>
              <w:sz w:val="24"/>
              <w:szCs w:val="24"/>
              <w:lang w:val="en-US" w:eastAsia="zh-CN" w:bidi="ar-SA"/>
            </w:rPr>
            <m:t xml:space="preserve">        </m:t>
          </m:r>
          <m:sSub>
            <m:sSubPr>
              <m:ctrlPr>
                <w:rPr>
                  <w:rFonts w:hint="default" w:ascii="Cambria Math" w:hAnsi="Cambria Math" w:eastAsia="宋体" w:cs="Times New Roman"/>
                  <w:i/>
                  <w:color w:val="auto"/>
                  <w:sz w:val="24"/>
                  <w:szCs w:val="24"/>
                  <w:lang w:val="en-US" w:eastAsia="zh-CN" w:bidi="ar-SA"/>
                </w:rPr>
              </m:ctrlPr>
            </m:sSubPr>
            <m:e>
              <m:r>
                <m:rPr/>
                <w:rPr>
                  <w:rFonts w:hint="default" w:ascii="Cambria Math" w:hAnsi="Cambria Math" w:eastAsia="宋体" w:cs="Times New Roman"/>
                  <w:color w:val="auto"/>
                  <w:sz w:val="24"/>
                  <w:szCs w:val="24"/>
                  <w:lang w:val="en-US" w:eastAsia="zh-CN" w:bidi="ar-SA"/>
                </w:rPr>
                <m:t>DO</m:t>
              </m:r>
              <m:ctrlPr>
                <w:rPr>
                  <w:rFonts w:hint="default" w:ascii="Cambria Math" w:hAnsi="Cambria Math" w:eastAsia="宋体" w:cs="Times New Roman"/>
                  <w:i/>
                  <w:color w:val="auto"/>
                  <w:sz w:val="24"/>
                  <w:szCs w:val="24"/>
                  <w:lang w:val="en-US" w:eastAsia="zh-CN" w:bidi="ar-SA"/>
                </w:rPr>
              </m:ctrlPr>
            </m:e>
            <m:sub>
              <m:r>
                <m:rPr/>
                <w:rPr>
                  <w:rFonts w:hint="default" w:ascii="Cambria Math" w:hAnsi="Cambria Math" w:eastAsia="宋体" w:cs="Times New Roman"/>
                  <w:color w:val="auto"/>
                  <w:sz w:val="24"/>
                  <w:szCs w:val="24"/>
                  <w:lang w:val="en-US" w:eastAsia="zh-CN" w:bidi="ar-SA"/>
                </w:rPr>
                <m:t>j</m:t>
              </m:r>
              <m:ctrlPr>
                <w:rPr>
                  <w:rFonts w:hint="default" w:ascii="Cambria Math" w:hAnsi="Cambria Math" w:eastAsia="宋体" w:cs="Times New Roman"/>
                  <w:i/>
                  <w:color w:val="auto"/>
                  <w:sz w:val="24"/>
                  <w:szCs w:val="24"/>
                  <w:lang w:val="en-US" w:eastAsia="zh-CN" w:bidi="ar-SA"/>
                </w:rPr>
              </m:ctrlPr>
            </m:sub>
          </m:sSub>
          <m:r>
            <m:rPr/>
            <w:rPr>
              <w:rFonts w:hint="default" w:ascii="Cambria Math" w:hAnsi="Cambria Math" w:eastAsia="宋体" w:cs="Times New Roman"/>
              <w:color w:val="auto"/>
              <w:sz w:val="24"/>
              <w:szCs w:val="24"/>
              <w:lang w:val="en-US" w:bidi="ar-SA"/>
            </w:rPr>
            <m:t>≤</m:t>
          </m:r>
          <m:sSub>
            <m:sSubPr>
              <m:ctrlPr>
                <w:rPr>
                  <w:rFonts w:hint="default" w:ascii="Cambria Math" w:hAnsi="Cambria Math" w:eastAsia="宋体" w:cs="Times New Roman"/>
                  <w:i/>
                  <w:color w:val="auto"/>
                  <w:sz w:val="24"/>
                  <w:szCs w:val="24"/>
                  <w:lang w:val="en-US" w:bidi="ar-SA"/>
                </w:rPr>
              </m:ctrlPr>
            </m:sSubPr>
            <m:e>
              <m:r>
                <m:rPr/>
                <w:rPr>
                  <w:rFonts w:hint="default" w:ascii="Cambria Math" w:hAnsi="Cambria Math" w:eastAsia="宋体" w:cs="Times New Roman"/>
                  <w:color w:val="auto"/>
                  <w:sz w:val="24"/>
                  <w:szCs w:val="24"/>
                  <w:lang w:val="en-US" w:eastAsia="zh-CN" w:bidi="ar-SA"/>
                </w:rPr>
                <m:t>DO</m:t>
              </m:r>
              <m:ctrlPr>
                <w:rPr>
                  <w:rFonts w:hint="default" w:ascii="Cambria Math" w:hAnsi="Cambria Math" w:eastAsia="宋体" w:cs="Times New Roman"/>
                  <w:i/>
                  <w:color w:val="auto"/>
                  <w:sz w:val="24"/>
                  <w:szCs w:val="24"/>
                  <w:lang w:val="en-US" w:bidi="ar-SA"/>
                </w:rPr>
              </m:ctrlPr>
            </m:e>
            <m:sub>
              <m:r>
                <m:rPr/>
                <w:rPr>
                  <w:rFonts w:hint="default" w:ascii="Cambria Math" w:hAnsi="Cambria Math" w:eastAsia="宋体" w:cs="Times New Roman"/>
                  <w:color w:val="auto"/>
                  <w:sz w:val="24"/>
                  <w:szCs w:val="24"/>
                  <w:lang w:val="en-US" w:eastAsia="zh-CN" w:bidi="ar-SA"/>
                </w:rPr>
                <m:t>f</m:t>
              </m:r>
              <m:ctrlPr>
                <w:rPr>
                  <w:rFonts w:hint="default" w:ascii="Cambria Math" w:hAnsi="Cambria Math" w:eastAsia="宋体" w:cs="Times New Roman"/>
                  <w:i/>
                  <w:color w:val="auto"/>
                  <w:sz w:val="24"/>
                  <w:szCs w:val="24"/>
                  <w:lang w:val="en-US" w:bidi="ar-SA"/>
                </w:rPr>
              </m:ctrlPr>
            </m:sub>
          </m:sSub>
        </m:oMath>
      </m:oMathPara>
    </w:p>
    <w:p>
      <w:pPr>
        <w:tabs>
          <w:tab w:val="left" w:pos="1666"/>
        </w:tabs>
        <w:spacing w:line="480" w:lineRule="atLeast"/>
        <w:ind w:firstLine="480" w:firstLineChars="200"/>
        <w:rPr>
          <w:rFonts w:hint="default" w:ascii="Times New Roman" w:hAnsi="Times New Roman" w:eastAsia="宋体" w:cs="Times New Roman"/>
          <w:color w:val="auto"/>
          <w:shd w:val="clear" w:color="auto" w:fill="auto"/>
          <w:lang w:val="en-US" w:eastAsia="zh-CN"/>
        </w:rPr>
      </w:pPr>
      <m:oMathPara>
        <m:oMath>
          <m:sSub>
            <m:sSubPr>
              <m:ctrlPr>
                <w:rPr>
                  <w:rFonts w:hint="default" w:ascii="Cambria Math" w:hAnsi="Cambria Math" w:eastAsia="宋体" w:cs="Times New Roman"/>
                  <w:i/>
                  <w:color w:val="auto"/>
                  <w:sz w:val="24"/>
                  <w:shd w:val="clear" w:color="auto" w:fill="auto"/>
                  <w:lang w:val="en-US"/>
                </w:rPr>
              </m:ctrlPr>
            </m:sSubPr>
            <m:e>
              <m:r>
                <m:rPr/>
                <w:rPr>
                  <w:rFonts w:hint="default" w:ascii="Cambria Math" w:hAnsi="Cambria Math" w:eastAsia="宋体" w:cs="Times New Roman"/>
                  <w:color w:val="auto"/>
                  <w:sz w:val="24"/>
                  <w:shd w:val="clear" w:color="auto" w:fill="auto"/>
                  <w:lang w:val="en-US" w:eastAsia="zh-CN"/>
                </w:rPr>
                <m:t>S</m:t>
              </m:r>
              <m:ctrlPr>
                <w:rPr>
                  <w:rFonts w:hint="default" w:ascii="Cambria Math" w:hAnsi="Cambria Math" w:eastAsia="宋体" w:cs="Times New Roman"/>
                  <w:i/>
                  <w:color w:val="auto"/>
                  <w:sz w:val="24"/>
                  <w:shd w:val="clear" w:color="auto" w:fill="auto"/>
                  <w:lang w:val="en-US"/>
                </w:rPr>
              </m:ctrlPr>
            </m:e>
            <m:sub>
              <m:r>
                <m:rPr/>
                <w:rPr>
                  <w:rFonts w:hint="default" w:ascii="Cambria Math" w:hAnsi="Cambria Math" w:eastAsia="宋体" w:cs="Times New Roman"/>
                  <w:color w:val="auto"/>
                  <w:sz w:val="24"/>
                  <w:shd w:val="clear" w:color="auto" w:fill="auto"/>
                  <w:lang w:val="en-US" w:eastAsia="zh-CN"/>
                </w:rPr>
                <m:t>DO，j</m:t>
              </m:r>
              <m:ctrlPr>
                <w:rPr>
                  <w:rFonts w:hint="default" w:ascii="Cambria Math" w:hAnsi="Cambria Math" w:eastAsia="宋体" w:cs="Times New Roman"/>
                  <w:i/>
                  <w:color w:val="auto"/>
                  <w:sz w:val="24"/>
                  <w:shd w:val="clear" w:color="auto" w:fill="auto"/>
                  <w:lang w:val="en-US"/>
                </w:rPr>
              </m:ctrlPr>
            </m:sub>
          </m:sSub>
          <m:r>
            <m:rPr/>
            <w:rPr>
              <w:rFonts w:hint="default" w:ascii="Cambria Math" w:hAnsi="Cambria Math" w:eastAsia="宋体" w:cs="Times New Roman"/>
              <w:color w:val="auto"/>
              <w:sz w:val="24"/>
              <w:shd w:val="clear" w:color="auto" w:fill="auto"/>
              <w:lang w:val="en-US" w:eastAsia="zh-CN"/>
            </w:rPr>
            <m:t>=</m:t>
          </m:r>
          <m:f>
            <m:fPr>
              <m:ctrlPr>
                <w:rPr>
                  <w:rFonts w:hint="default" w:ascii="Cambria Math" w:hAnsi="Cambria Math" w:eastAsia="宋体" w:cs="Times New Roman"/>
                  <w:i/>
                  <w:color w:val="auto"/>
                  <w:sz w:val="24"/>
                  <w:shd w:val="clear" w:color="auto" w:fill="auto"/>
                  <w:lang w:val="en-US" w:eastAsia="zh-CN"/>
                </w:rPr>
              </m:ctrlPr>
            </m:fPr>
            <m:num>
              <m:d>
                <m:dPr>
                  <m:begChr m:val="|"/>
                  <m:endChr m:val="|"/>
                  <m:ctrlPr>
                    <w:rPr>
                      <w:rFonts w:hint="default" w:ascii="Cambria Math" w:hAnsi="Cambria Math" w:eastAsia="宋体" w:cs="Times New Roman"/>
                      <w:i/>
                      <w:color w:val="auto"/>
                      <w:sz w:val="24"/>
                      <w:shd w:val="clear" w:color="auto" w:fill="auto"/>
                      <w:lang w:val="en-US" w:eastAsia="zh-CN"/>
                    </w:rPr>
                  </m:ctrlPr>
                </m:dPr>
                <m:e>
                  <m:sSub>
                    <m:sSubPr>
                      <m:ctrlPr>
                        <w:rPr>
                          <w:rFonts w:hint="default" w:ascii="Cambria Math" w:hAnsi="Cambria Math" w:eastAsia="宋体" w:cs="Times New Roman"/>
                          <w:i/>
                          <w:color w:val="auto"/>
                          <w:sz w:val="24"/>
                          <w:shd w:val="clear" w:color="auto" w:fill="auto"/>
                          <w:lang w:val="en-US" w:eastAsia="zh-CN"/>
                        </w:rPr>
                      </m:ctrlPr>
                    </m:sSubPr>
                    <m:e>
                      <m:r>
                        <m:rPr/>
                        <w:rPr>
                          <w:rFonts w:hint="default" w:ascii="Cambria Math" w:hAnsi="Cambria Math" w:eastAsia="宋体" w:cs="Times New Roman"/>
                          <w:color w:val="auto"/>
                          <w:sz w:val="24"/>
                          <w:shd w:val="clear" w:color="auto" w:fill="auto"/>
                          <w:lang w:val="en-US" w:eastAsia="zh-CN"/>
                        </w:rPr>
                        <m:t>DO</m:t>
                      </m:r>
                      <m:ctrlPr>
                        <w:rPr>
                          <w:rFonts w:hint="default" w:ascii="Cambria Math" w:hAnsi="Cambria Math" w:eastAsia="宋体" w:cs="Times New Roman"/>
                          <w:i/>
                          <w:color w:val="auto"/>
                          <w:sz w:val="24"/>
                          <w:shd w:val="clear" w:color="auto" w:fill="auto"/>
                          <w:lang w:val="en-US" w:eastAsia="zh-CN"/>
                        </w:rPr>
                      </m:ctrlPr>
                    </m:e>
                    <m:sub>
                      <m:r>
                        <m:rPr/>
                        <w:rPr>
                          <w:rFonts w:hint="default" w:ascii="Cambria Math" w:hAnsi="Cambria Math" w:eastAsia="宋体" w:cs="Times New Roman"/>
                          <w:color w:val="auto"/>
                          <w:sz w:val="24"/>
                          <w:shd w:val="clear" w:color="auto" w:fill="auto"/>
                          <w:lang w:val="en-US" w:eastAsia="zh-CN"/>
                        </w:rPr>
                        <m:t>s</m:t>
                      </m:r>
                      <m:ctrlPr>
                        <w:rPr>
                          <w:rFonts w:hint="default" w:ascii="Cambria Math" w:hAnsi="Cambria Math" w:eastAsia="宋体" w:cs="Times New Roman"/>
                          <w:i/>
                          <w:color w:val="auto"/>
                          <w:sz w:val="24"/>
                          <w:shd w:val="clear" w:color="auto" w:fill="auto"/>
                          <w:lang w:val="en-US" w:eastAsia="zh-CN"/>
                        </w:rPr>
                      </m:ctrlPr>
                    </m:sub>
                  </m:sSub>
                  <m:r>
                    <m:rPr/>
                    <w:rPr>
                      <w:rFonts w:hint="default" w:ascii="Cambria Math" w:hAnsi="Cambria Math" w:eastAsia="宋体" w:cs="Times New Roman"/>
                      <w:color w:val="auto"/>
                      <w:sz w:val="24"/>
                      <w:shd w:val="clear" w:color="auto" w:fill="auto"/>
                      <w:lang w:val="en-US" w:eastAsia="zh-CN"/>
                    </w:rPr>
                    <m:t>−</m:t>
                  </m:r>
                  <m:sSub>
                    <m:sSubPr>
                      <m:ctrlPr>
                        <w:rPr>
                          <w:rFonts w:hint="default" w:ascii="Cambria Math" w:hAnsi="Cambria Math" w:eastAsia="宋体" w:cs="Times New Roman"/>
                          <w:i/>
                          <w:color w:val="auto"/>
                          <w:sz w:val="24"/>
                          <w:shd w:val="clear" w:color="auto" w:fill="auto"/>
                          <w:lang w:val="en-US" w:eastAsia="zh-CN"/>
                        </w:rPr>
                      </m:ctrlPr>
                    </m:sSubPr>
                    <m:e>
                      <m:r>
                        <m:rPr/>
                        <w:rPr>
                          <w:rFonts w:hint="default" w:ascii="Cambria Math" w:hAnsi="Cambria Math" w:eastAsia="宋体" w:cs="Times New Roman"/>
                          <w:color w:val="auto"/>
                          <w:sz w:val="24"/>
                          <w:shd w:val="clear" w:color="auto" w:fill="auto"/>
                          <w:lang w:val="en-US" w:eastAsia="zh-CN"/>
                        </w:rPr>
                        <m:t>DO</m:t>
                      </m:r>
                      <m:ctrlPr>
                        <w:rPr>
                          <w:rFonts w:hint="default" w:ascii="Cambria Math" w:hAnsi="Cambria Math" w:eastAsia="宋体" w:cs="Times New Roman"/>
                          <w:i/>
                          <w:color w:val="auto"/>
                          <w:sz w:val="24"/>
                          <w:shd w:val="clear" w:color="auto" w:fill="auto"/>
                          <w:lang w:val="en-US" w:eastAsia="zh-CN"/>
                        </w:rPr>
                      </m:ctrlPr>
                    </m:e>
                    <m:sub>
                      <m:r>
                        <m:rPr/>
                        <w:rPr>
                          <w:rFonts w:hint="default" w:ascii="Cambria Math" w:hAnsi="Cambria Math" w:eastAsia="宋体" w:cs="Times New Roman"/>
                          <w:color w:val="auto"/>
                          <w:sz w:val="24"/>
                          <w:shd w:val="clear" w:color="auto" w:fill="auto"/>
                          <w:lang w:val="en-US" w:eastAsia="zh-CN"/>
                        </w:rPr>
                        <m:t>f</m:t>
                      </m:r>
                      <m:ctrlPr>
                        <w:rPr>
                          <w:rFonts w:hint="default" w:ascii="Cambria Math" w:hAnsi="Cambria Math" w:eastAsia="宋体" w:cs="Times New Roman"/>
                          <w:i/>
                          <w:color w:val="auto"/>
                          <w:sz w:val="24"/>
                          <w:shd w:val="clear" w:color="auto" w:fill="auto"/>
                          <w:lang w:val="en-US" w:eastAsia="zh-CN"/>
                        </w:rPr>
                      </m:ctrlPr>
                    </m:sub>
                  </m:sSub>
                  <m:ctrlPr>
                    <w:rPr>
                      <w:rFonts w:hint="default" w:ascii="Cambria Math" w:hAnsi="Cambria Math" w:eastAsia="宋体" w:cs="Times New Roman"/>
                      <w:i/>
                      <w:color w:val="auto"/>
                      <w:sz w:val="24"/>
                      <w:shd w:val="clear" w:color="auto" w:fill="auto"/>
                      <w:lang w:val="en-US" w:eastAsia="zh-CN"/>
                    </w:rPr>
                  </m:ctrlPr>
                </m:e>
              </m:d>
              <m:ctrlPr>
                <w:rPr>
                  <w:rFonts w:hint="default" w:ascii="Cambria Math" w:hAnsi="Cambria Math" w:eastAsia="宋体" w:cs="Times New Roman"/>
                  <w:i/>
                  <w:color w:val="auto"/>
                  <w:sz w:val="24"/>
                  <w:shd w:val="clear" w:color="auto" w:fill="auto"/>
                  <w:lang w:val="en-US" w:eastAsia="zh-CN"/>
                </w:rPr>
              </m:ctrlPr>
            </m:num>
            <m:den>
              <m:sSub>
                <m:sSubPr>
                  <m:ctrlPr>
                    <w:rPr>
                      <w:rFonts w:hint="default" w:ascii="Cambria Math" w:hAnsi="Cambria Math" w:eastAsia="宋体" w:cs="Times New Roman"/>
                      <w:i/>
                      <w:color w:val="auto"/>
                      <w:sz w:val="24"/>
                      <w:shd w:val="clear" w:color="auto" w:fill="auto"/>
                      <w:lang w:val="en-US" w:eastAsia="zh-CN"/>
                    </w:rPr>
                  </m:ctrlPr>
                </m:sSubPr>
                <m:e>
                  <m:r>
                    <m:rPr/>
                    <w:rPr>
                      <w:rFonts w:hint="default" w:ascii="Cambria Math" w:hAnsi="Cambria Math" w:eastAsia="宋体" w:cs="Times New Roman"/>
                      <w:color w:val="auto"/>
                      <w:sz w:val="24"/>
                      <w:shd w:val="clear" w:color="auto" w:fill="auto"/>
                      <w:lang w:val="en-US" w:eastAsia="zh-CN"/>
                    </w:rPr>
                    <m:t>DO</m:t>
                  </m:r>
                  <m:ctrlPr>
                    <w:rPr>
                      <w:rFonts w:hint="default" w:ascii="Cambria Math" w:hAnsi="Cambria Math" w:eastAsia="宋体" w:cs="Times New Roman"/>
                      <w:i/>
                      <w:color w:val="auto"/>
                      <w:sz w:val="24"/>
                      <w:shd w:val="clear" w:color="auto" w:fill="auto"/>
                      <w:lang w:val="en-US" w:eastAsia="zh-CN"/>
                    </w:rPr>
                  </m:ctrlPr>
                </m:e>
                <m:sub>
                  <m:r>
                    <m:rPr/>
                    <w:rPr>
                      <w:rFonts w:hint="default" w:ascii="Cambria Math" w:hAnsi="Cambria Math" w:eastAsia="宋体" w:cs="Times New Roman"/>
                      <w:color w:val="auto"/>
                      <w:sz w:val="24"/>
                      <w:shd w:val="clear" w:color="auto" w:fill="auto"/>
                      <w:lang w:val="en-US" w:eastAsia="zh-CN"/>
                    </w:rPr>
                    <m:t>f</m:t>
                  </m:r>
                  <m:ctrlPr>
                    <w:rPr>
                      <w:rFonts w:hint="default" w:ascii="Cambria Math" w:hAnsi="Cambria Math" w:eastAsia="宋体" w:cs="Times New Roman"/>
                      <w:i/>
                      <w:color w:val="auto"/>
                      <w:sz w:val="24"/>
                      <w:shd w:val="clear" w:color="auto" w:fill="auto"/>
                      <w:lang w:val="en-US" w:eastAsia="zh-CN"/>
                    </w:rPr>
                  </m:ctrlPr>
                </m:sub>
              </m:sSub>
              <m:r>
                <m:rPr/>
                <w:rPr>
                  <w:rFonts w:hint="default" w:ascii="Cambria Math" w:hAnsi="Cambria Math" w:eastAsia="宋体" w:cs="Times New Roman"/>
                  <w:color w:val="auto"/>
                  <w:sz w:val="24"/>
                  <w:shd w:val="clear" w:color="auto" w:fill="auto"/>
                  <w:lang w:val="en-US" w:eastAsia="zh-CN"/>
                </w:rPr>
                <m:t>−</m:t>
              </m:r>
              <m:sSub>
                <m:sSubPr>
                  <m:ctrlPr>
                    <w:rPr>
                      <w:rFonts w:hint="default" w:ascii="Cambria Math" w:hAnsi="Cambria Math" w:eastAsia="宋体" w:cs="Times New Roman"/>
                      <w:i/>
                      <w:color w:val="auto"/>
                      <w:sz w:val="24"/>
                      <w:shd w:val="clear" w:color="auto" w:fill="auto"/>
                      <w:lang w:val="en-US" w:eastAsia="zh-CN"/>
                    </w:rPr>
                  </m:ctrlPr>
                </m:sSubPr>
                <m:e>
                  <m:r>
                    <m:rPr/>
                    <w:rPr>
                      <w:rFonts w:hint="default" w:ascii="Cambria Math" w:hAnsi="Cambria Math" w:eastAsia="宋体" w:cs="Times New Roman"/>
                      <w:color w:val="auto"/>
                      <w:sz w:val="24"/>
                      <w:shd w:val="clear" w:color="auto" w:fill="auto"/>
                      <w:lang w:val="en-US" w:eastAsia="zh-CN"/>
                    </w:rPr>
                    <m:t>DO</m:t>
                  </m:r>
                  <m:ctrlPr>
                    <w:rPr>
                      <w:rFonts w:hint="default" w:ascii="Cambria Math" w:hAnsi="Cambria Math" w:eastAsia="宋体" w:cs="Times New Roman"/>
                      <w:i/>
                      <w:color w:val="auto"/>
                      <w:sz w:val="24"/>
                      <w:shd w:val="clear" w:color="auto" w:fill="auto"/>
                      <w:lang w:val="en-US" w:eastAsia="zh-CN"/>
                    </w:rPr>
                  </m:ctrlPr>
                </m:e>
                <m:sub>
                  <m:r>
                    <m:rPr/>
                    <w:rPr>
                      <w:rFonts w:hint="default" w:ascii="Cambria Math" w:hAnsi="Cambria Math" w:eastAsia="宋体" w:cs="Times New Roman"/>
                      <w:color w:val="auto"/>
                      <w:sz w:val="24"/>
                      <w:shd w:val="clear" w:color="auto" w:fill="auto"/>
                      <w:lang w:val="en-US" w:eastAsia="zh-CN"/>
                    </w:rPr>
                    <m:t>s</m:t>
                  </m:r>
                  <m:ctrlPr>
                    <w:rPr>
                      <w:rFonts w:hint="default" w:ascii="Cambria Math" w:hAnsi="Cambria Math" w:eastAsia="宋体" w:cs="Times New Roman"/>
                      <w:i/>
                      <w:color w:val="auto"/>
                      <w:sz w:val="24"/>
                      <w:shd w:val="clear" w:color="auto" w:fill="auto"/>
                      <w:lang w:val="en-US" w:eastAsia="zh-CN"/>
                    </w:rPr>
                  </m:ctrlPr>
                </m:sub>
              </m:sSub>
              <m:ctrlPr>
                <w:rPr>
                  <w:rFonts w:hint="default" w:ascii="Cambria Math" w:hAnsi="Cambria Math" w:eastAsia="宋体" w:cs="Times New Roman"/>
                  <w:i/>
                  <w:color w:val="auto"/>
                  <w:sz w:val="24"/>
                  <w:shd w:val="clear" w:color="auto" w:fill="auto"/>
                  <w:lang w:val="en-US" w:eastAsia="zh-CN"/>
                </w:rPr>
              </m:ctrlPr>
            </m:den>
          </m:f>
          <m:r>
            <m:rPr/>
            <w:rPr>
              <w:rFonts w:hint="default" w:ascii="Cambria Math" w:hAnsi="Cambria Math" w:eastAsia="宋体" w:cs="Times New Roman"/>
              <w:color w:val="auto"/>
              <w:sz w:val="24"/>
              <w:shd w:val="clear" w:color="auto" w:fill="auto"/>
              <w:lang w:val="en-US" w:eastAsia="zh-CN"/>
            </w:rPr>
            <m:t xml:space="preserve">       </m:t>
          </m:r>
          <m:sSub>
            <m:sSubPr>
              <m:ctrlPr>
                <w:rPr>
                  <w:rFonts w:hint="default" w:ascii="Cambria Math" w:hAnsi="Cambria Math" w:eastAsia="宋体" w:cs="Times New Roman"/>
                  <w:i/>
                  <w:color w:val="auto"/>
                  <w:sz w:val="24"/>
                  <w:shd w:val="clear" w:color="auto" w:fill="auto"/>
                  <w:lang w:val="en-US" w:eastAsia="zh-CN"/>
                </w:rPr>
              </m:ctrlPr>
            </m:sSubPr>
            <m:e>
              <m:r>
                <m:rPr/>
                <w:rPr>
                  <w:rFonts w:hint="default" w:ascii="Cambria Math" w:hAnsi="Cambria Math" w:eastAsia="宋体" w:cs="Times New Roman"/>
                  <w:color w:val="auto"/>
                  <w:sz w:val="24"/>
                  <w:shd w:val="clear" w:color="auto" w:fill="auto"/>
                  <w:lang w:val="en-US" w:eastAsia="zh-CN"/>
                </w:rPr>
                <m:t>DO</m:t>
              </m:r>
              <m:ctrlPr>
                <w:rPr>
                  <w:rFonts w:hint="default" w:ascii="Cambria Math" w:hAnsi="Cambria Math" w:eastAsia="宋体" w:cs="Times New Roman"/>
                  <w:i/>
                  <w:color w:val="auto"/>
                  <w:sz w:val="24"/>
                  <w:shd w:val="clear" w:color="auto" w:fill="auto"/>
                  <w:lang w:val="en-US" w:eastAsia="zh-CN"/>
                </w:rPr>
              </m:ctrlPr>
            </m:e>
            <m:sub>
              <m:r>
                <m:rPr/>
                <w:rPr>
                  <w:rFonts w:hint="default" w:ascii="Cambria Math" w:hAnsi="Cambria Math" w:eastAsia="宋体" w:cs="Times New Roman"/>
                  <w:color w:val="auto"/>
                  <w:sz w:val="24"/>
                  <w:shd w:val="clear" w:color="auto" w:fill="auto"/>
                  <w:lang w:val="en-US" w:eastAsia="zh-CN"/>
                </w:rPr>
                <m:t>j</m:t>
              </m:r>
              <m:ctrlPr>
                <w:rPr>
                  <w:rFonts w:hint="default" w:ascii="Cambria Math" w:hAnsi="Cambria Math" w:eastAsia="宋体" w:cs="Times New Roman"/>
                  <w:i/>
                  <w:color w:val="auto"/>
                  <w:sz w:val="24"/>
                  <w:shd w:val="clear" w:color="auto" w:fill="auto"/>
                  <w:lang w:val="en-US" w:eastAsia="zh-CN"/>
                </w:rPr>
              </m:ctrlPr>
            </m:sub>
          </m:sSub>
          <m:r>
            <m:rPr/>
            <w:rPr>
              <w:rFonts w:hint="default" w:ascii="Cambria Math" w:hAnsi="Cambria Math" w:eastAsia="宋体" w:cs="Times New Roman"/>
              <w:color w:val="auto"/>
              <w:sz w:val="24"/>
              <w:shd w:val="clear" w:color="auto" w:fill="auto"/>
              <w:lang w:val="en-US"/>
            </w:rPr>
            <m:t>&gt;</m:t>
          </m:r>
          <m:sSub>
            <m:sSubPr>
              <m:ctrlPr>
                <w:rPr>
                  <w:rFonts w:hint="default" w:ascii="Cambria Math" w:hAnsi="Cambria Math" w:eastAsia="宋体" w:cs="Times New Roman"/>
                  <w:i/>
                  <w:color w:val="auto"/>
                  <w:sz w:val="24"/>
                  <w:shd w:val="clear" w:color="auto" w:fill="auto"/>
                  <w:lang w:val="en-US"/>
                </w:rPr>
              </m:ctrlPr>
            </m:sSubPr>
            <m:e>
              <m:r>
                <m:rPr/>
                <w:rPr>
                  <w:rFonts w:hint="default" w:ascii="Cambria Math" w:hAnsi="Cambria Math" w:eastAsia="宋体" w:cs="Times New Roman"/>
                  <w:color w:val="auto"/>
                  <w:sz w:val="24"/>
                  <w:shd w:val="clear" w:color="auto" w:fill="auto"/>
                  <w:lang w:val="en-US" w:eastAsia="zh-CN"/>
                </w:rPr>
                <m:t>DO</m:t>
              </m:r>
              <m:ctrlPr>
                <w:rPr>
                  <w:rFonts w:hint="default" w:ascii="Cambria Math" w:hAnsi="Cambria Math" w:eastAsia="宋体" w:cs="Times New Roman"/>
                  <w:i/>
                  <w:color w:val="auto"/>
                  <w:sz w:val="24"/>
                  <w:shd w:val="clear" w:color="auto" w:fill="auto"/>
                  <w:lang w:val="en-US"/>
                </w:rPr>
              </m:ctrlPr>
            </m:e>
            <m:sub>
              <m:r>
                <m:rPr/>
                <w:rPr>
                  <w:rFonts w:hint="default" w:ascii="Cambria Math" w:hAnsi="Cambria Math" w:eastAsia="宋体" w:cs="Times New Roman"/>
                  <w:color w:val="auto"/>
                  <w:sz w:val="24"/>
                  <w:shd w:val="clear" w:color="auto" w:fill="auto"/>
                  <w:lang w:val="en-US" w:eastAsia="zh-CN"/>
                </w:rPr>
                <m:t>f</m:t>
              </m:r>
              <m:ctrlPr>
                <w:rPr>
                  <w:rFonts w:hint="default" w:ascii="Cambria Math" w:hAnsi="Cambria Math" w:eastAsia="宋体" w:cs="Times New Roman"/>
                  <w:i/>
                  <w:color w:val="auto"/>
                  <w:sz w:val="24"/>
                  <w:shd w:val="clear" w:color="auto" w:fill="auto"/>
                  <w:lang w:val="en-US"/>
                </w:rPr>
              </m:ctrlPr>
            </m:sub>
          </m:sSub>
        </m:oMath>
      </m:oMathPara>
    </w:p>
    <w:p>
      <w:pPr>
        <w:tabs>
          <w:tab w:val="left" w:pos="1666"/>
        </w:tabs>
        <w:spacing w:line="480" w:lineRule="atLeas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式中：S</w:t>
      </w:r>
      <w:r>
        <w:rPr>
          <w:rFonts w:hint="default" w:ascii="Times New Roman" w:hAnsi="Times New Roman" w:eastAsia="宋体" w:cs="Times New Roman"/>
          <w:color w:val="auto"/>
          <w:vertAlign w:val="subscript"/>
          <w:lang w:val="en-US" w:eastAsia="zh-CN"/>
        </w:rPr>
        <w:t>DO, j</w:t>
      </w:r>
      <w:r>
        <w:rPr>
          <w:rFonts w:hint="default" w:ascii="Times New Roman" w:hAnsi="Times New Roman" w:eastAsia="宋体" w:cs="Times New Roman"/>
          <w:color w:val="auto"/>
          <w:lang w:val="en-US" w:eastAsia="zh-CN"/>
        </w:rPr>
        <w:t>—溶解氧的标准指数，大于1表明该水质因子超标；</w:t>
      </w:r>
    </w:p>
    <w:p>
      <w:pPr>
        <w:tabs>
          <w:tab w:val="left" w:pos="1666"/>
        </w:tabs>
        <w:spacing w:line="480" w:lineRule="atLeast"/>
        <w:ind w:firstLine="1200" w:firstLineChars="5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vertAlign w:val="baseline"/>
          <w:lang w:val="en-US" w:eastAsia="zh-CN"/>
        </w:rPr>
        <w:t>DO</w:t>
      </w:r>
      <w:r>
        <w:rPr>
          <w:rFonts w:hint="default" w:ascii="Times New Roman" w:hAnsi="Times New Roman" w:eastAsia="宋体" w:cs="Times New Roman"/>
          <w:color w:val="auto"/>
          <w:vertAlign w:val="subscript"/>
          <w:lang w:val="en-US" w:eastAsia="zh-CN"/>
        </w:rPr>
        <w:t>j</w:t>
      </w:r>
      <w:r>
        <w:rPr>
          <w:rFonts w:hint="default" w:ascii="Times New Roman" w:hAnsi="Times New Roman" w:eastAsia="宋体" w:cs="Times New Roman"/>
          <w:color w:val="auto"/>
          <w:lang w:val="en-US" w:eastAsia="zh-CN"/>
        </w:rPr>
        <w:t>—溶解氧在j点的实测统计代表值，mg/L；</w:t>
      </w:r>
    </w:p>
    <w:p>
      <w:pPr>
        <w:tabs>
          <w:tab w:val="left" w:pos="1666"/>
        </w:tabs>
        <w:spacing w:line="480" w:lineRule="atLeast"/>
        <w:ind w:firstLine="1200" w:firstLineChars="5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vertAlign w:val="baseline"/>
          <w:lang w:val="en-US" w:eastAsia="zh-CN"/>
        </w:rPr>
        <w:t>DO</w:t>
      </w:r>
      <w:r>
        <w:rPr>
          <w:rFonts w:hint="default" w:ascii="Times New Roman" w:hAnsi="Times New Roman" w:eastAsia="宋体" w:cs="Times New Roman"/>
          <w:color w:val="auto"/>
          <w:vertAlign w:val="subscript"/>
          <w:lang w:val="en-US" w:eastAsia="zh-CN"/>
        </w:rPr>
        <w:t>S</w:t>
      </w:r>
      <w:r>
        <w:rPr>
          <w:rFonts w:hint="default" w:ascii="Times New Roman" w:hAnsi="Times New Roman" w:eastAsia="宋体" w:cs="Times New Roman"/>
          <w:color w:val="auto"/>
          <w:lang w:val="en-US" w:eastAsia="zh-CN"/>
        </w:rPr>
        <w:t>—溶解氧的水质评价标准限值，mg/L。</w:t>
      </w:r>
    </w:p>
    <w:p>
      <w:pPr>
        <w:tabs>
          <w:tab w:val="left" w:pos="1666"/>
        </w:tabs>
        <w:spacing w:line="480" w:lineRule="atLeast"/>
        <w:ind w:firstLine="1200" w:firstLineChars="5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vertAlign w:val="baseline"/>
          <w:lang w:val="en-US" w:eastAsia="zh-CN"/>
        </w:rPr>
        <w:t>DO</w:t>
      </w:r>
      <w:r>
        <w:rPr>
          <w:rFonts w:hint="default" w:ascii="Times New Roman" w:hAnsi="Times New Roman" w:eastAsia="宋体" w:cs="Times New Roman"/>
          <w:color w:val="auto"/>
          <w:vertAlign w:val="subscript"/>
          <w:lang w:val="en-US" w:eastAsia="zh-CN"/>
        </w:rPr>
        <w:t>f</w:t>
      </w:r>
      <w:r>
        <w:rPr>
          <w:rFonts w:hint="default" w:ascii="Times New Roman" w:hAnsi="Times New Roman" w:eastAsia="宋体" w:cs="Times New Roman"/>
          <w:color w:val="auto"/>
          <w:lang w:val="en-US" w:eastAsia="zh-CN"/>
        </w:rPr>
        <w:t>—饱和溶解氧的水质评价标准限值，mg/L。对于河流，</w:t>
      </w:r>
      <w:r>
        <w:rPr>
          <w:rFonts w:hint="default" w:ascii="Times New Roman" w:hAnsi="Times New Roman" w:eastAsia="宋体" w:cs="Times New Roman"/>
          <w:color w:val="auto"/>
          <w:vertAlign w:val="baseline"/>
          <w:lang w:val="en-US" w:eastAsia="zh-CN"/>
        </w:rPr>
        <w:t>DO</w:t>
      </w:r>
      <w:r>
        <w:rPr>
          <w:rFonts w:hint="default" w:ascii="Times New Roman" w:hAnsi="Times New Roman" w:eastAsia="宋体" w:cs="Times New Roman"/>
          <w:color w:val="auto"/>
          <w:vertAlign w:val="subscript"/>
          <w:lang w:val="en-US" w:eastAsia="zh-CN"/>
        </w:rPr>
        <w:t>f</w:t>
      </w:r>
      <w:r>
        <w:rPr>
          <w:rFonts w:hint="default" w:ascii="Times New Roman" w:hAnsi="Times New Roman" w:eastAsia="宋体" w:cs="Times New Roman"/>
          <w:color w:val="auto"/>
          <w:lang w:val="en-US" w:eastAsia="zh-CN"/>
        </w:rPr>
        <w:t>=468/（31.6+T）；对于</w:t>
      </w:r>
      <w:r>
        <w:rPr>
          <w:rFonts w:hint="eastAsia" w:cs="Times New Roman"/>
          <w:color w:val="auto"/>
          <w:lang w:val="en-US" w:eastAsia="zh-CN"/>
        </w:rPr>
        <w:t>盐度</w:t>
      </w:r>
      <w:r>
        <w:rPr>
          <w:rFonts w:hint="default" w:ascii="Times New Roman" w:hAnsi="Times New Roman" w:eastAsia="宋体" w:cs="Times New Roman"/>
          <w:color w:val="auto"/>
          <w:lang w:val="en-US" w:eastAsia="zh-CN"/>
        </w:rPr>
        <w:t>比较高的湖泊、水库及入海河口、近岸海域，</w:t>
      </w:r>
      <w:r>
        <w:rPr>
          <w:rFonts w:hint="default" w:ascii="Times New Roman" w:hAnsi="Times New Roman" w:eastAsia="宋体" w:cs="Times New Roman"/>
          <w:color w:val="auto"/>
          <w:vertAlign w:val="baseline"/>
          <w:lang w:val="en-US" w:eastAsia="zh-CN"/>
        </w:rPr>
        <w:t>DO</w:t>
      </w:r>
      <w:r>
        <w:rPr>
          <w:rFonts w:hint="default" w:ascii="Times New Roman" w:hAnsi="Times New Roman" w:eastAsia="宋体" w:cs="Times New Roman"/>
          <w:color w:val="auto"/>
          <w:vertAlign w:val="subscript"/>
          <w:lang w:val="en-US" w:eastAsia="zh-CN"/>
        </w:rPr>
        <w:t>f</w:t>
      </w:r>
      <w:r>
        <w:rPr>
          <w:rFonts w:hint="default" w:ascii="Times New Roman" w:hAnsi="Times New Roman" w:eastAsia="宋体" w:cs="Times New Roman"/>
          <w:color w:val="auto"/>
          <w:lang w:val="en-US" w:eastAsia="zh-CN"/>
        </w:rPr>
        <w:t>=（491-2.65S）/（33.5+T）；S—实用盐度符号，量纲为1；T—水温，℃。</w:t>
      </w:r>
    </w:p>
    <w:p>
      <w:pPr>
        <w:tabs>
          <w:tab w:val="left" w:pos="1666"/>
        </w:tabs>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pH值的指数计算公式如下：</w:t>
      </w:r>
    </w:p>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position w:val="-30"/>
        </w:rPr>
        <w:object>
          <v:shape id="_x0000_i1026" o:spt="75" type="#_x0000_t75" style="height:36.65pt;width:160.65pt;" o:ole="t" filled="f" o:preferrelative="t" stroked="f" coordsize="21600,21600">
            <v:path/>
            <v:fill on="f" focussize="0,0"/>
            <v:stroke on="f" joinstyle="miter"/>
            <v:imagedata r:id="rId52" o:title=""/>
            <o:lock v:ext="edit" aspectratio="t"/>
            <w10:wrap type="none"/>
            <w10:anchorlock/>
          </v:shape>
          <o:OLEObject Type="Embed" ProgID="Equation.3" ShapeID="_x0000_i1026" DrawAspect="Content" ObjectID="_1468075726" r:id="rId51">
            <o:LockedField>false</o:LockedField>
          </o:OLEObject>
        </w:object>
      </w:r>
      <w:r>
        <w:rPr>
          <w:rFonts w:hint="default" w:ascii="Times New Roman" w:hAnsi="Times New Roman" w:eastAsia="宋体" w:cs="Times New Roman"/>
          <w:color w:val="auto"/>
        </w:rPr>
        <w:t>；</w:t>
      </w:r>
    </w:p>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position w:val="-30"/>
        </w:rPr>
        <w:object>
          <v:shape id="_x0000_i1027" o:spt="75" type="#_x0000_t75" style="height:36.65pt;width:160.65pt;" o:ole="t" filled="f" o:preferrelative="t" stroked="f" coordsize="21600,21600">
            <v:path/>
            <v:fill on="f" focussize="0,0"/>
            <v:stroke on="f" joinstyle="miter"/>
            <v:imagedata r:id="rId54" o:title=""/>
            <o:lock v:ext="edit" aspectratio="t"/>
            <w10:wrap type="none"/>
            <w10:anchorlock/>
          </v:shape>
          <o:OLEObject Type="Embed" ProgID="Equation.3" ShapeID="_x0000_i1027" DrawAspect="Content" ObjectID="_1468075727" r:id="rId53">
            <o:LockedField>false</o:LockedField>
          </o:OLEObject>
        </w:object>
      </w:r>
      <w:r>
        <w:rPr>
          <w:rFonts w:hint="default" w:ascii="Times New Roman" w:hAnsi="Times New Roman" w:eastAsia="宋体" w:cs="Times New Roman"/>
          <w:color w:val="auto"/>
        </w:rPr>
        <w:t>；</w:t>
      </w:r>
    </w:p>
    <w:p>
      <w:pPr>
        <w:spacing w:line="480" w:lineRule="exact"/>
        <w:ind w:firstLine="360" w:firstLineChars="150"/>
        <w:jc w:val="both"/>
        <w:rPr>
          <w:rFonts w:hint="default" w:ascii="Times New Roman" w:hAnsi="Times New Roman" w:eastAsia="宋体" w:cs="Times New Roman"/>
          <w:color w:val="auto"/>
        </w:rPr>
      </w:pPr>
      <w:r>
        <w:rPr>
          <w:rFonts w:hint="default" w:ascii="Times New Roman" w:hAnsi="Times New Roman" w:eastAsia="宋体" w:cs="Times New Roman"/>
          <w:color w:val="auto"/>
        </w:rPr>
        <w:t>式中：</w:t>
      </w:r>
      <w:r>
        <w:rPr>
          <w:rFonts w:hint="default" w:ascii="Times New Roman" w:hAnsi="Times New Roman" w:eastAsia="宋体" w:cs="Times New Roman"/>
          <w:color w:val="auto"/>
          <w:position w:val="-14"/>
        </w:rPr>
        <w:object>
          <v:shape id="_x0000_i1028" o:spt="75" type="#_x0000_t75" style="height:19.35pt;width:21.35pt;" o:ole="t" filled="f" o:preferrelative="t" stroked="f" coordsize="21600,21600">
            <v:path/>
            <v:fill on="f" focussize="0,0"/>
            <v:stroke on="f" joinstyle="miter"/>
            <v:imagedata r:id="rId56" o:title=""/>
            <o:lock v:ext="edit" aspectratio="t"/>
            <w10:wrap type="none"/>
            <w10:anchorlock/>
          </v:shape>
          <o:OLEObject Type="Embed" ProgID="Equation.3" ShapeID="_x0000_i1028" DrawAspect="Content" ObjectID="_1468075728" r:id="rId55">
            <o:LockedField>false</o:LockedField>
          </o:OLEObject>
        </w:object>
      </w:r>
      <w:r>
        <w:rPr>
          <w:rFonts w:hint="default" w:ascii="Times New Roman" w:hAnsi="Times New Roman" w:eastAsia="宋体" w:cs="Times New Roman"/>
          <w:color w:val="auto"/>
        </w:rPr>
        <w:t>——pH值的指数，大于1表明该水质因子超标；</w:t>
      </w:r>
    </w:p>
    <w:p>
      <w:pPr>
        <w:spacing w:line="480" w:lineRule="exact"/>
        <w:ind w:firstLine="1080" w:firstLineChars="450"/>
        <w:jc w:val="both"/>
        <w:rPr>
          <w:rFonts w:hint="default" w:ascii="Times New Roman" w:hAnsi="Times New Roman" w:eastAsia="宋体" w:cs="Times New Roman"/>
          <w:color w:val="auto"/>
        </w:rPr>
      </w:pPr>
      <w:r>
        <w:rPr>
          <w:rFonts w:hint="default" w:ascii="Times New Roman" w:hAnsi="Times New Roman" w:eastAsia="宋体" w:cs="Times New Roman"/>
          <w:color w:val="auto"/>
          <w:position w:val="-14"/>
        </w:rPr>
        <w:object>
          <v:shape id="_x0000_i1029" o:spt="75" type="#_x0000_t75" style="height:19.35pt;width:22.65pt;" o:ole="t" filled="f" o:preferrelative="t" stroked="f" coordsize="21600,21600">
            <v:path/>
            <v:fill on="f" focussize="0,0"/>
            <v:stroke on="f" joinstyle="miter"/>
            <v:imagedata r:id="rId58" o:title=""/>
            <o:lock v:ext="edit" aspectratio="t"/>
            <w10:wrap type="none"/>
            <w10:anchorlock/>
          </v:shape>
          <o:OLEObject Type="Embed" ProgID="Equation.3" ShapeID="_x0000_i1029" DrawAspect="Content" ObjectID="_1468075729" r:id="rId57">
            <o:LockedField>false</o:LockedField>
          </o:OLEObject>
        </w:object>
      </w:r>
      <w:r>
        <w:rPr>
          <w:rFonts w:hint="default" w:ascii="Times New Roman" w:hAnsi="Times New Roman" w:eastAsia="宋体" w:cs="Times New Roman"/>
          <w:color w:val="auto"/>
        </w:rPr>
        <w:t>——pH值实测统计代表值；</w:t>
      </w:r>
    </w:p>
    <w:p>
      <w:pPr>
        <w:spacing w:line="480" w:lineRule="exact"/>
        <w:ind w:firstLine="1080" w:firstLineChars="450"/>
        <w:jc w:val="both"/>
        <w:rPr>
          <w:rFonts w:hint="default" w:ascii="Times New Roman" w:hAnsi="Times New Roman" w:eastAsia="宋体" w:cs="Times New Roman"/>
          <w:color w:val="auto"/>
        </w:rPr>
      </w:pPr>
      <w:r>
        <w:rPr>
          <w:rFonts w:hint="default" w:ascii="Times New Roman" w:hAnsi="Times New Roman" w:eastAsia="宋体" w:cs="Times New Roman"/>
          <w:color w:val="auto"/>
          <w:position w:val="-12"/>
        </w:rPr>
        <w:object>
          <v:shape id="_x0000_i1030" o:spt="75" type="#_x0000_t75" style="height:18pt;width:26pt;" o:ole="t" filled="f" o:preferrelative="t" stroked="f" coordsize="21600,21600">
            <v:path/>
            <v:fill on="f" focussize="0,0"/>
            <v:stroke on="f" joinstyle="miter"/>
            <v:imagedata r:id="rId60" o:title=""/>
            <o:lock v:ext="edit" aspectratio="t"/>
            <w10:wrap type="none"/>
            <w10:anchorlock/>
          </v:shape>
          <o:OLEObject Type="Embed" ProgID="Equation.3" ShapeID="_x0000_i1030" DrawAspect="Content" ObjectID="_1468075730" r:id="rId59">
            <o:LockedField>false</o:LockedField>
          </o:OLEObject>
        </w:object>
      </w:r>
      <w:r>
        <w:rPr>
          <w:rFonts w:hint="default" w:ascii="Times New Roman" w:hAnsi="Times New Roman" w:eastAsia="宋体" w:cs="Times New Roman"/>
          <w:color w:val="auto"/>
        </w:rPr>
        <w:t>——评价标准中pH值的下限值；</w:t>
      </w:r>
    </w:p>
    <w:p>
      <w:pPr>
        <w:spacing w:line="480" w:lineRule="exact"/>
        <w:ind w:firstLine="1080" w:firstLineChars="450"/>
        <w:jc w:val="both"/>
        <w:rPr>
          <w:rFonts w:hint="default" w:ascii="Times New Roman" w:hAnsi="Times New Roman" w:eastAsia="宋体" w:cs="Times New Roman"/>
          <w:color w:val="auto"/>
        </w:rPr>
      </w:pPr>
      <w:r>
        <w:rPr>
          <w:rFonts w:hint="default" w:ascii="Times New Roman" w:hAnsi="Times New Roman" w:eastAsia="宋体" w:cs="Times New Roman"/>
          <w:color w:val="auto"/>
          <w:position w:val="-12"/>
        </w:rPr>
        <w:object>
          <v:shape id="_x0000_i1031" o:spt="75" type="#_x0000_t75" style="height:18pt;width:26pt;" o:ole="t" filled="f" o:preferrelative="t" stroked="f" coordsize="21600,21600">
            <v:path/>
            <v:fill on="f" focussize="0,0"/>
            <v:stroke on="f" joinstyle="miter"/>
            <v:imagedata r:id="rId62" o:title=""/>
            <o:lock v:ext="edit" aspectratio="t"/>
            <w10:wrap type="none"/>
            <w10:anchorlock/>
          </v:shape>
          <o:OLEObject Type="Embed" ProgID="Equation.3" ShapeID="_x0000_i1031" DrawAspect="Content" ObjectID="_1468075731" r:id="rId61">
            <o:LockedField>false</o:LockedField>
          </o:OLEObject>
        </w:object>
      </w:r>
      <w:r>
        <w:rPr>
          <w:rFonts w:hint="default" w:ascii="Times New Roman" w:hAnsi="Times New Roman" w:eastAsia="宋体" w:cs="Times New Roman"/>
          <w:color w:val="auto"/>
        </w:rPr>
        <w:t>——评价标准中pH值的上限值。</w:t>
      </w:r>
    </w:p>
    <w:p>
      <w:pPr>
        <w:tabs>
          <w:tab w:val="left" w:pos="1666"/>
        </w:tabs>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（3）评价</w:t>
      </w:r>
      <w:r>
        <w:rPr>
          <w:rFonts w:hint="default" w:ascii="Times New Roman" w:hAnsi="Times New Roman" w:eastAsia="宋体" w:cs="Times New Roman"/>
          <w:color w:val="auto"/>
          <w:lang w:val="en-US" w:eastAsia="zh-CN"/>
        </w:rPr>
        <w:t>标准</w:t>
      </w:r>
    </w:p>
    <w:p>
      <w:pPr>
        <w:tabs>
          <w:tab w:val="left" w:pos="1666"/>
        </w:tabs>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根据《江苏省地表水（环境）功能区划》《苏州市地表水（环境）功能区划》</w:t>
      </w:r>
      <w:r>
        <w:rPr>
          <w:rFonts w:hint="default" w:ascii="Times New Roman" w:hAnsi="Times New Roman" w:eastAsia="宋体" w:cs="Times New Roman"/>
          <w:color w:val="auto"/>
          <w:lang w:val="en-US" w:eastAsia="zh-CN"/>
        </w:rPr>
        <w:t>太湖水环境功能执行Ⅱ类水质标准。</w:t>
      </w:r>
    </w:p>
    <w:p>
      <w:pPr>
        <w:tabs>
          <w:tab w:val="left" w:pos="1666"/>
        </w:tabs>
        <w:spacing w:line="480" w:lineRule="exact"/>
        <w:ind w:firstLine="480" w:firstLineChars="20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lang w:eastAsia="zh-CN"/>
        </w:rPr>
        <w:t>）水质现状监测与评价</w:t>
      </w:r>
    </w:p>
    <w:p>
      <w:pPr>
        <w:tabs>
          <w:tab w:val="left" w:pos="1666"/>
        </w:tabs>
        <w:spacing w:line="480" w:lineRule="atLeast"/>
        <w:ind w:firstLine="480" w:firstLineChars="200"/>
        <w:jc w:val="both"/>
        <w:rPr>
          <w:rFonts w:hint="default" w:ascii="Times New Roman" w:hAnsi="Times New Roman" w:eastAsia="宋体" w:cs="Times New Roman"/>
          <w:color w:val="auto"/>
          <w:lang w:val="en-US" w:eastAsia="zh-CN"/>
        </w:rPr>
      </w:pPr>
      <w:bookmarkStart w:id="288" w:name="_Toc424517554"/>
      <w:bookmarkStart w:id="289" w:name="_Toc492644545"/>
      <w:bookmarkStart w:id="290" w:name="_Toc503461624"/>
      <w:bookmarkStart w:id="291" w:name="_Toc469907699"/>
      <w:bookmarkStart w:id="292" w:name="_Toc507334607"/>
      <w:r>
        <w:rPr>
          <w:rFonts w:hint="default" w:ascii="Times New Roman" w:hAnsi="Times New Roman" w:eastAsia="宋体" w:cs="Times New Roman"/>
          <w:color w:val="auto"/>
          <w:lang w:val="en-US" w:eastAsia="zh-CN"/>
        </w:rPr>
        <w:t>本项目于202</w:t>
      </w:r>
      <w:r>
        <w:rPr>
          <w:rFonts w:hint="eastAsia" w:cs="Times New Roman"/>
          <w:color w:val="auto"/>
          <w:lang w:val="en-US" w:eastAsia="zh-CN"/>
        </w:rPr>
        <w:t>1</w:t>
      </w:r>
      <w:r>
        <w:rPr>
          <w:rFonts w:hint="default" w:ascii="Times New Roman" w:hAnsi="Times New Roman" w:eastAsia="宋体" w:cs="Times New Roman"/>
          <w:color w:val="auto"/>
          <w:lang w:val="en-US" w:eastAsia="zh-CN"/>
        </w:rPr>
        <w:t>年</w:t>
      </w:r>
      <w:r>
        <w:rPr>
          <w:rFonts w:hint="eastAsia" w:cs="Times New Roman"/>
          <w:color w:val="auto"/>
          <w:lang w:val="en-US" w:eastAsia="zh-CN"/>
        </w:rPr>
        <w:t>6</w:t>
      </w:r>
      <w:r>
        <w:rPr>
          <w:rFonts w:hint="default" w:ascii="Times New Roman" w:hAnsi="Times New Roman" w:eastAsia="宋体" w:cs="Times New Roman"/>
          <w:color w:val="auto"/>
          <w:lang w:val="en-US" w:eastAsia="zh-CN"/>
        </w:rPr>
        <w:t>月</w:t>
      </w:r>
      <w:r>
        <w:rPr>
          <w:rFonts w:hint="eastAsia" w:cs="Times New Roman"/>
          <w:color w:val="auto"/>
          <w:lang w:val="en-US" w:eastAsia="zh-CN"/>
        </w:rPr>
        <w:t>25</w:t>
      </w:r>
      <w:r>
        <w:rPr>
          <w:rFonts w:hint="default" w:ascii="Times New Roman" w:hAnsi="Times New Roman" w:eastAsia="宋体" w:cs="Times New Roman"/>
          <w:color w:val="auto"/>
          <w:lang w:val="en-US" w:eastAsia="zh-CN"/>
        </w:rPr>
        <w:t>日-</w:t>
      </w:r>
      <w:r>
        <w:rPr>
          <w:rFonts w:hint="eastAsia" w:cs="Times New Roman"/>
          <w:color w:val="auto"/>
          <w:lang w:val="en-US" w:eastAsia="zh-CN"/>
        </w:rPr>
        <w:t>6</w:t>
      </w:r>
      <w:r>
        <w:rPr>
          <w:rFonts w:hint="default" w:ascii="Times New Roman" w:hAnsi="Times New Roman" w:eastAsia="宋体" w:cs="Times New Roman"/>
          <w:color w:val="auto"/>
          <w:lang w:val="en-US" w:eastAsia="zh-CN"/>
        </w:rPr>
        <w:t>月</w:t>
      </w:r>
      <w:r>
        <w:rPr>
          <w:rFonts w:hint="eastAsia" w:cs="Times New Roman"/>
          <w:color w:val="auto"/>
          <w:lang w:val="en-US" w:eastAsia="zh-CN"/>
        </w:rPr>
        <w:t>27</w:t>
      </w:r>
      <w:r>
        <w:rPr>
          <w:rFonts w:hint="default" w:ascii="Times New Roman" w:hAnsi="Times New Roman" w:eastAsia="宋体" w:cs="Times New Roman"/>
          <w:color w:val="auto"/>
          <w:lang w:val="en-US" w:eastAsia="zh-CN"/>
        </w:rPr>
        <w:t>日对评价区域开展了现状监测，共设</w:t>
      </w:r>
      <w:r>
        <w:rPr>
          <w:rFonts w:hint="eastAsia" w:cs="Times New Roman"/>
          <w:color w:val="auto"/>
          <w:lang w:val="en-US" w:eastAsia="zh-CN"/>
        </w:rPr>
        <w:t>8</w:t>
      </w:r>
      <w:r>
        <w:rPr>
          <w:rFonts w:hint="default" w:ascii="Times New Roman" w:hAnsi="Times New Roman" w:eastAsia="宋体" w:cs="Times New Roman"/>
          <w:color w:val="auto"/>
          <w:lang w:val="en-US" w:eastAsia="zh-CN"/>
        </w:rPr>
        <w:t>个监测断面，监测断面信息、监测频率、监测结果及评价如下。</w:t>
      </w:r>
    </w:p>
    <w:p>
      <w:pPr>
        <w:widowControl w:val="0"/>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1）监测因子、断面及监测时间和频率</w:t>
      </w:r>
    </w:p>
    <w:p>
      <w:pPr>
        <w:widowControl w:val="0"/>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监测项目：</w:t>
      </w:r>
      <w:r>
        <w:rPr>
          <w:rFonts w:hint="eastAsia" w:ascii="Times New Roman" w:hAnsi="Times New Roman" w:eastAsia="宋体" w:cs="Times New Roman"/>
          <w:color w:val="auto"/>
          <w:szCs w:val="21"/>
          <w:highlight w:val="none"/>
          <w:lang w:val="en-US" w:eastAsia="zh-CN"/>
        </w:rPr>
        <w:t>pH、DO、叶绿素a、COD</w:t>
      </w:r>
      <w:r>
        <w:rPr>
          <w:rFonts w:hint="eastAsia" w:ascii="Times New Roman" w:hAnsi="Times New Roman" w:eastAsia="宋体" w:cs="Times New Roman"/>
          <w:color w:val="auto"/>
          <w:szCs w:val="21"/>
          <w:highlight w:val="none"/>
          <w:vertAlign w:val="subscript"/>
          <w:lang w:val="en-US" w:eastAsia="zh-CN"/>
        </w:rPr>
        <w:t>Mn</w:t>
      </w:r>
      <w:r>
        <w:rPr>
          <w:rFonts w:hint="eastAsia" w:ascii="Times New Roman" w:hAnsi="Times New Roman" w:eastAsia="宋体" w:cs="Times New Roman"/>
          <w:color w:val="auto"/>
          <w:szCs w:val="21"/>
          <w:highlight w:val="none"/>
          <w:lang w:val="en-US" w:eastAsia="zh-CN"/>
        </w:rPr>
        <w:t>、SS、NH</w:t>
      </w:r>
      <w:r>
        <w:rPr>
          <w:rFonts w:hint="eastAsia" w:ascii="Times New Roman" w:hAnsi="Times New Roman" w:eastAsia="宋体" w:cs="Times New Roman"/>
          <w:color w:val="auto"/>
          <w:szCs w:val="21"/>
          <w:highlight w:val="none"/>
          <w:vertAlign w:val="subscript"/>
          <w:lang w:val="en-US" w:eastAsia="zh-CN"/>
        </w:rPr>
        <w:t>3</w:t>
      </w:r>
      <w:r>
        <w:rPr>
          <w:rFonts w:hint="eastAsia" w:ascii="Times New Roman" w:hAnsi="Times New Roman" w:eastAsia="宋体" w:cs="Times New Roman"/>
          <w:color w:val="auto"/>
          <w:szCs w:val="21"/>
          <w:highlight w:val="none"/>
          <w:lang w:val="en-US" w:eastAsia="zh-CN"/>
        </w:rPr>
        <w:t>-N、TP、TN</w:t>
      </w:r>
    </w:p>
    <w:p>
      <w:pPr>
        <w:widowControl w:val="0"/>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监测时间和频次：连续监测3天，每天1次</w:t>
      </w:r>
    </w:p>
    <w:p>
      <w:pPr>
        <w:widowControl w:val="0"/>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监测断面：</w:t>
      </w:r>
      <w:r>
        <w:rPr>
          <w:rFonts w:hint="eastAsia" w:cs="Times New Roman"/>
          <w:color w:val="auto"/>
          <w:lang w:val="en-US" w:eastAsia="zh-CN"/>
        </w:rPr>
        <w:t>W1胥江水厂1#取水口、W2</w:t>
      </w:r>
      <w:r>
        <w:rPr>
          <w:rFonts w:hint="eastAsia" w:ascii="Times New Roman" w:hAnsi="Times New Roman" w:eastAsia="宋体" w:cs="Times New Roman"/>
          <w:color w:val="auto"/>
          <w:szCs w:val="21"/>
          <w:highlight w:val="none"/>
          <w:lang w:val="en-US" w:eastAsia="zh-CN"/>
        </w:rPr>
        <w:t>新区一水厂2#取水口、W3工程范围内一级保护区内（北侧）、W4工程范围内一级保护区内（</w:t>
      </w:r>
      <w:r>
        <w:rPr>
          <w:rFonts w:hint="eastAsia" w:ascii="Times New Roman" w:hAnsi="Times New Roman" w:cs="Times New Roman"/>
          <w:color w:val="auto"/>
          <w:szCs w:val="21"/>
          <w:highlight w:val="none"/>
          <w:lang w:val="en-US" w:eastAsia="zh-CN"/>
        </w:rPr>
        <w:t>南侧</w:t>
      </w:r>
      <w:r>
        <w:rPr>
          <w:rFonts w:hint="eastAsia" w:ascii="Times New Roman" w:hAnsi="Times New Roman" w:eastAsia="宋体"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、W5</w:t>
      </w:r>
      <w:r>
        <w:rPr>
          <w:rFonts w:hint="eastAsia" w:ascii="Times New Roman" w:hAnsi="Times New Roman" w:eastAsia="宋体" w:cs="Times New Roman"/>
          <w:color w:val="auto"/>
          <w:szCs w:val="21"/>
          <w:highlight w:val="none"/>
          <w:lang w:val="en-US" w:eastAsia="zh-CN"/>
        </w:rPr>
        <w:t>工程范围内</w:t>
      </w:r>
      <w:r>
        <w:rPr>
          <w:rFonts w:hint="eastAsia" w:ascii="Times New Roman" w:hAnsi="Times New Roman" w:cs="Times New Roman"/>
          <w:color w:val="auto"/>
          <w:szCs w:val="21"/>
          <w:highlight w:val="none"/>
          <w:lang w:val="en-US" w:eastAsia="zh-CN"/>
        </w:rPr>
        <w:t>二</w:t>
      </w:r>
      <w:r>
        <w:rPr>
          <w:rFonts w:hint="eastAsia" w:ascii="Times New Roman" w:hAnsi="Times New Roman" w:eastAsia="宋体" w:cs="Times New Roman"/>
          <w:color w:val="auto"/>
          <w:szCs w:val="21"/>
          <w:highlight w:val="none"/>
          <w:lang w:val="en-US" w:eastAsia="zh-CN"/>
        </w:rPr>
        <w:t>级保护区内（北侧）</w:t>
      </w:r>
      <w:r>
        <w:rPr>
          <w:rFonts w:hint="eastAsia" w:ascii="Times New Roman" w:hAnsi="Times New Roman" w:cs="Times New Roman"/>
          <w:color w:val="auto"/>
          <w:szCs w:val="21"/>
          <w:highlight w:val="none"/>
          <w:lang w:val="en-US" w:eastAsia="zh-CN"/>
        </w:rPr>
        <w:t>、W6</w:t>
      </w:r>
      <w:r>
        <w:rPr>
          <w:rFonts w:hint="eastAsia" w:ascii="Times New Roman" w:hAnsi="Times New Roman" w:eastAsia="宋体" w:cs="Times New Roman"/>
          <w:color w:val="auto"/>
          <w:szCs w:val="21"/>
          <w:highlight w:val="none"/>
          <w:lang w:val="en-US" w:eastAsia="zh-CN"/>
        </w:rPr>
        <w:t>工程范围内</w:t>
      </w:r>
      <w:r>
        <w:rPr>
          <w:rFonts w:hint="eastAsia" w:ascii="Times New Roman" w:hAnsi="Times New Roman" w:cs="Times New Roman"/>
          <w:color w:val="auto"/>
          <w:szCs w:val="21"/>
          <w:highlight w:val="none"/>
          <w:lang w:val="en-US" w:eastAsia="zh-CN"/>
        </w:rPr>
        <w:t>二</w:t>
      </w:r>
      <w:r>
        <w:rPr>
          <w:rFonts w:hint="eastAsia" w:ascii="Times New Roman" w:hAnsi="Times New Roman" w:eastAsia="宋体" w:cs="Times New Roman"/>
          <w:color w:val="auto"/>
          <w:szCs w:val="21"/>
          <w:highlight w:val="none"/>
          <w:lang w:val="en-US" w:eastAsia="zh-CN"/>
        </w:rPr>
        <w:t>级保护区内（</w:t>
      </w:r>
      <w:r>
        <w:rPr>
          <w:rFonts w:hint="eastAsia" w:ascii="Times New Roman" w:hAnsi="Times New Roman" w:cs="Times New Roman"/>
          <w:color w:val="auto"/>
          <w:szCs w:val="21"/>
          <w:highlight w:val="none"/>
          <w:lang w:val="en-US" w:eastAsia="zh-CN"/>
        </w:rPr>
        <w:t>南侧</w:t>
      </w:r>
      <w:r>
        <w:rPr>
          <w:rFonts w:hint="eastAsia" w:ascii="Times New Roman" w:hAnsi="Times New Roman" w:eastAsia="宋体"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、W7准保护区内（项目北面）、W8准保护区内（项目南面）。监测点位图见图4.2-</w:t>
      </w:r>
      <w:r>
        <w:rPr>
          <w:rFonts w:hint="eastAsia" w:cs="Times New Roman"/>
          <w:color w:val="auto"/>
          <w:szCs w:val="21"/>
          <w:highlight w:val="none"/>
          <w:lang w:val="en-US" w:eastAsia="zh-CN"/>
        </w:rPr>
        <w:t>2</w:t>
      </w:r>
      <w:r>
        <w:rPr>
          <w:rFonts w:hint="eastAsia" w:ascii="Times New Roman" w:hAnsi="Times New Roman" w:cs="Times New Roman"/>
          <w:color w:val="auto"/>
          <w:szCs w:val="21"/>
          <w:highlight w:val="none"/>
          <w:lang w:val="en-US" w:eastAsia="zh-CN"/>
        </w:rPr>
        <w:t>。</w:t>
      </w:r>
    </w:p>
    <w:p>
      <w:pPr>
        <w:widowControl w:val="0"/>
        <w:spacing w:line="480" w:lineRule="exact"/>
        <w:ind w:firstLine="482" w:firstLineChars="20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表4.2-</w:t>
      </w:r>
      <w:r>
        <w:rPr>
          <w:rFonts w:hint="eastAsia" w:cs="Times New Roman"/>
          <w:b/>
          <w:bCs/>
          <w:color w:val="auto"/>
          <w:lang w:val="en-US" w:eastAsia="zh-CN"/>
        </w:rPr>
        <w:t>5</w:t>
      </w:r>
      <w:r>
        <w:rPr>
          <w:rFonts w:hint="default" w:ascii="Times New Roman" w:hAnsi="Times New Roman" w:eastAsia="宋体" w:cs="Times New Roman"/>
          <w:b/>
          <w:bCs/>
          <w:color w:val="auto"/>
          <w:lang w:val="en-US" w:eastAsia="zh-CN"/>
        </w:rPr>
        <w:t xml:space="preserve"> 地表水现状水质监测断面</w:t>
      </w:r>
    </w:p>
    <w:tbl>
      <w:tblPr>
        <w:tblStyle w:val="55"/>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84"/>
        <w:gridCol w:w="3949"/>
        <w:gridCol w:w="1969"/>
        <w:gridCol w:w="14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20" w:type="pct"/>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w:t>
            </w:r>
            <w:r>
              <w:rPr>
                <w:rFonts w:hint="eastAsia" w:ascii="Times New Roman" w:hAnsi="Times New Roman" w:cs="Times New Roman"/>
                <w:b/>
                <w:bCs/>
                <w:color w:val="auto"/>
                <w:sz w:val="21"/>
                <w:szCs w:val="21"/>
                <w:lang w:val="en-US" w:eastAsia="zh-CN"/>
              </w:rPr>
              <w:t>断面</w:t>
            </w:r>
          </w:p>
        </w:tc>
        <w:tc>
          <w:tcPr>
            <w:tcW w:w="2138" w:type="pct"/>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断面名称</w:t>
            </w:r>
          </w:p>
        </w:tc>
        <w:tc>
          <w:tcPr>
            <w:tcW w:w="1066" w:type="pct"/>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监测项目</w:t>
            </w:r>
          </w:p>
        </w:tc>
        <w:tc>
          <w:tcPr>
            <w:tcW w:w="775" w:type="pct"/>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水环境功能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20"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W1</w:t>
            </w:r>
          </w:p>
        </w:tc>
        <w:tc>
          <w:tcPr>
            <w:tcW w:w="213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胥江水厂1#取水口</w:t>
            </w:r>
          </w:p>
        </w:tc>
        <w:tc>
          <w:tcPr>
            <w:tcW w:w="1066" w:type="pct"/>
            <w:vMerge w:val="restart"/>
            <w:vAlign w:val="center"/>
          </w:tcPr>
          <w:p>
            <w:pPr>
              <w:snapToGrid w:val="0"/>
              <w:spacing w:line="28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highlight w:val="none"/>
                <w:lang w:val="en-US" w:eastAsia="zh-CN"/>
              </w:rPr>
              <w:t>pH、DO、叶绿素a、COD</w:t>
            </w:r>
            <w:r>
              <w:rPr>
                <w:rFonts w:hint="eastAsia" w:ascii="Times New Roman" w:hAnsi="Times New Roman" w:eastAsia="宋体" w:cs="Times New Roman"/>
                <w:color w:val="auto"/>
                <w:sz w:val="21"/>
                <w:szCs w:val="21"/>
                <w:highlight w:val="none"/>
                <w:vertAlign w:val="subscript"/>
                <w:lang w:val="en-US" w:eastAsia="zh-CN"/>
              </w:rPr>
              <w:t>Mn</w:t>
            </w:r>
            <w:r>
              <w:rPr>
                <w:rFonts w:hint="eastAsia" w:ascii="Times New Roman" w:hAnsi="Times New Roman" w:eastAsia="宋体" w:cs="Times New Roman"/>
                <w:color w:val="auto"/>
                <w:sz w:val="21"/>
                <w:szCs w:val="21"/>
                <w:highlight w:val="none"/>
                <w:lang w:val="en-US" w:eastAsia="zh-CN"/>
              </w:rPr>
              <w:t>、SS、NH</w:t>
            </w:r>
            <w:r>
              <w:rPr>
                <w:rFonts w:hint="eastAsia" w:ascii="Times New Roman" w:hAnsi="Times New Roman" w:eastAsia="宋体" w:cs="Times New Roman"/>
                <w:color w:val="auto"/>
                <w:sz w:val="21"/>
                <w:szCs w:val="21"/>
                <w:highlight w:val="none"/>
                <w:vertAlign w:val="subscript"/>
                <w:lang w:val="en-US" w:eastAsia="zh-CN"/>
              </w:rPr>
              <w:t>3</w:t>
            </w:r>
            <w:r>
              <w:rPr>
                <w:rFonts w:hint="eastAsia" w:ascii="Times New Roman" w:hAnsi="Times New Roman" w:eastAsia="宋体" w:cs="Times New Roman"/>
                <w:color w:val="auto"/>
                <w:sz w:val="21"/>
                <w:szCs w:val="21"/>
                <w:highlight w:val="none"/>
                <w:lang w:val="en-US" w:eastAsia="zh-CN"/>
              </w:rPr>
              <w:t>-N、TP、TN</w:t>
            </w:r>
          </w:p>
        </w:tc>
        <w:tc>
          <w:tcPr>
            <w:tcW w:w="775" w:type="pct"/>
            <w:vMerge w:val="restart"/>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Ⅱ类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20" w:type="pct"/>
            <w:vAlign w:val="center"/>
          </w:tcPr>
          <w:p>
            <w:pPr>
              <w:snapToGrid w:val="0"/>
              <w:spacing w:line="280" w:lineRule="exact"/>
              <w:jc w:val="center"/>
              <w:rPr>
                <w:rFonts w:hint="default" w:ascii="Times New Roman" w:hAnsi="Times New Roman" w:eastAsia="宋体" w:cs="Times New Roman"/>
                <w:color w:val="auto"/>
                <w:sz w:val="21"/>
                <w:szCs w:val="21"/>
                <w:lang w:val="en-US"/>
              </w:rPr>
            </w:pPr>
            <w:r>
              <w:rPr>
                <w:rFonts w:hint="eastAsia" w:ascii="Times New Roman" w:hAnsi="Times New Roman" w:cs="Times New Roman"/>
                <w:color w:val="auto"/>
                <w:sz w:val="21"/>
                <w:szCs w:val="21"/>
                <w:lang w:val="en-US" w:eastAsia="zh-CN"/>
              </w:rPr>
              <w:t>W2</w:t>
            </w:r>
          </w:p>
        </w:tc>
        <w:tc>
          <w:tcPr>
            <w:tcW w:w="2138" w:type="pct"/>
            <w:vAlign w:val="center"/>
          </w:tcPr>
          <w:p>
            <w:pPr>
              <w:snapToGrid w:val="0"/>
              <w:spacing w:line="28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新区一水厂2#取水口</w:t>
            </w:r>
          </w:p>
        </w:tc>
        <w:tc>
          <w:tcPr>
            <w:tcW w:w="1066" w:type="pct"/>
            <w:vMerge w:val="continue"/>
            <w:vAlign w:val="center"/>
          </w:tcPr>
          <w:p>
            <w:pPr>
              <w:snapToGrid w:val="0"/>
              <w:spacing w:line="280" w:lineRule="exact"/>
              <w:jc w:val="center"/>
              <w:rPr>
                <w:rFonts w:hint="default" w:ascii="Times New Roman" w:hAnsi="Times New Roman" w:eastAsia="宋体" w:cs="Times New Roman"/>
                <w:color w:val="auto"/>
                <w:sz w:val="21"/>
                <w:szCs w:val="21"/>
              </w:rPr>
            </w:pPr>
          </w:p>
        </w:tc>
        <w:tc>
          <w:tcPr>
            <w:tcW w:w="775" w:type="pct"/>
            <w:vMerge w:val="continue"/>
            <w:vAlign w:val="center"/>
          </w:tcPr>
          <w:p>
            <w:pPr>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20" w:type="pct"/>
            <w:vAlign w:val="center"/>
          </w:tcPr>
          <w:p>
            <w:pPr>
              <w:widowControl w:val="0"/>
              <w:spacing w:line="320" w:lineRule="exact"/>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W3</w:t>
            </w:r>
          </w:p>
        </w:tc>
        <w:tc>
          <w:tcPr>
            <w:tcW w:w="2138" w:type="pct"/>
            <w:vAlign w:val="center"/>
          </w:tcPr>
          <w:p>
            <w:pPr>
              <w:widowControl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工程范围内一级保护区内（北侧）</w:t>
            </w:r>
          </w:p>
        </w:tc>
        <w:tc>
          <w:tcPr>
            <w:tcW w:w="1066" w:type="pct"/>
            <w:vMerge w:val="continue"/>
            <w:vAlign w:val="center"/>
          </w:tcPr>
          <w:p>
            <w:pPr>
              <w:snapToGrid w:val="0"/>
              <w:spacing w:line="280" w:lineRule="exact"/>
              <w:jc w:val="center"/>
              <w:rPr>
                <w:rFonts w:hint="default" w:ascii="Times New Roman" w:hAnsi="Times New Roman" w:eastAsia="宋体" w:cs="Times New Roman"/>
                <w:color w:val="auto"/>
                <w:sz w:val="21"/>
                <w:szCs w:val="21"/>
              </w:rPr>
            </w:pPr>
          </w:p>
        </w:tc>
        <w:tc>
          <w:tcPr>
            <w:tcW w:w="775" w:type="pct"/>
            <w:vMerge w:val="continue"/>
            <w:vAlign w:val="center"/>
          </w:tcPr>
          <w:p>
            <w:pPr>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20" w:type="pct"/>
            <w:vAlign w:val="center"/>
          </w:tcPr>
          <w:p>
            <w:pPr>
              <w:widowControl w:val="0"/>
              <w:spacing w:line="320" w:lineRule="exact"/>
              <w:jc w:val="center"/>
              <w:rPr>
                <w:rFonts w:hint="default" w:ascii="Times New Roman" w:hAnsi="Times New Roman" w:eastAsia="宋体" w:cs="Times New Roman"/>
                <w:color w:val="0000FF"/>
                <w:sz w:val="21"/>
                <w:szCs w:val="21"/>
              </w:rPr>
            </w:pPr>
            <w:r>
              <w:rPr>
                <w:rFonts w:hint="eastAsia" w:ascii="Times New Roman" w:hAnsi="Times New Roman" w:cs="Times New Roman"/>
                <w:color w:val="auto"/>
                <w:sz w:val="21"/>
                <w:szCs w:val="21"/>
                <w:lang w:val="en-US" w:eastAsia="zh-CN"/>
              </w:rPr>
              <w:t>W4</w:t>
            </w:r>
          </w:p>
        </w:tc>
        <w:tc>
          <w:tcPr>
            <w:tcW w:w="213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工程范围内一级保护区内（南侧）</w:t>
            </w:r>
          </w:p>
        </w:tc>
        <w:tc>
          <w:tcPr>
            <w:tcW w:w="1066" w:type="pct"/>
            <w:vMerge w:val="continue"/>
            <w:vAlign w:val="center"/>
          </w:tcPr>
          <w:p>
            <w:pPr>
              <w:snapToGrid w:val="0"/>
              <w:spacing w:line="280" w:lineRule="exact"/>
              <w:jc w:val="center"/>
              <w:rPr>
                <w:rFonts w:hint="default" w:ascii="Times New Roman" w:hAnsi="Times New Roman" w:eastAsia="宋体" w:cs="Times New Roman"/>
                <w:color w:val="auto"/>
                <w:sz w:val="21"/>
                <w:szCs w:val="21"/>
              </w:rPr>
            </w:pPr>
          </w:p>
        </w:tc>
        <w:tc>
          <w:tcPr>
            <w:tcW w:w="775" w:type="pct"/>
            <w:vMerge w:val="continue"/>
            <w:vAlign w:val="center"/>
          </w:tcPr>
          <w:p>
            <w:pPr>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20" w:type="pct"/>
            <w:vAlign w:val="center"/>
          </w:tcPr>
          <w:p>
            <w:pPr>
              <w:snapToGrid w:val="0"/>
              <w:spacing w:line="280" w:lineRule="exact"/>
              <w:jc w:val="center"/>
              <w:rPr>
                <w:rFonts w:hint="default" w:ascii="Times New Roman" w:hAnsi="Times New Roman" w:eastAsia="宋体" w:cs="Times New Roman"/>
                <w:color w:val="0000FF"/>
                <w:sz w:val="21"/>
                <w:szCs w:val="21"/>
              </w:rPr>
            </w:pPr>
            <w:r>
              <w:rPr>
                <w:rFonts w:hint="eastAsia" w:ascii="Times New Roman" w:hAnsi="Times New Roman" w:cs="Times New Roman"/>
                <w:color w:val="auto"/>
                <w:sz w:val="21"/>
                <w:szCs w:val="21"/>
                <w:lang w:val="en-US" w:eastAsia="zh-CN"/>
              </w:rPr>
              <w:t>W5</w:t>
            </w:r>
          </w:p>
        </w:tc>
        <w:tc>
          <w:tcPr>
            <w:tcW w:w="2138" w:type="pct"/>
            <w:vAlign w:val="center"/>
          </w:tcPr>
          <w:p>
            <w:pPr>
              <w:snapToGrid w:val="0"/>
              <w:spacing w:line="28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工程范围内二级保护区内（北侧）</w:t>
            </w:r>
          </w:p>
        </w:tc>
        <w:tc>
          <w:tcPr>
            <w:tcW w:w="1066" w:type="pct"/>
            <w:vMerge w:val="continue"/>
            <w:vAlign w:val="center"/>
          </w:tcPr>
          <w:p>
            <w:pPr>
              <w:snapToGrid w:val="0"/>
              <w:spacing w:line="280" w:lineRule="exact"/>
              <w:jc w:val="center"/>
              <w:rPr>
                <w:rFonts w:hint="default" w:ascii="Times New Roman" w:hAnsi="Times New Roman" w:eastAsia="宋体" w:cs="Times New Roman"/>
                <w:color w:val="auto"/>
                <w:sz w:val="21"/>
                <w:szCs w:val="21"/>
              </w:rPr>
            </w:pPr>
          </w:p>
        </w:tc>
        <w:tc>
          <w:tcPr>
            <w:tcW w:w="775" w:type="pct"/>
            <w:vMerge w:val="continue"/>
            <w:vAlign w:val="center"/>
          </w:tcPr>
          <w:p>
            <w:pPr>
              <w:jc w:val="center"/>
              <w:rPr>
                <w:rFonts w:hint="eastAsia"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20" w:type="pct"/>
            <w:vAlign w:val="center"/>
          </w:tcPr>
          <w:p>
            <w:pPr>
              <w:widowControl w:val="0"/>
              <w:spacing w:line="320" w:lineRule="exact"/>
              <w:jc w:val="center"/>
              <w:rPr>
                <w:rFonts w:hint="default" w:ascii="Times New Roman" w:hAnsi="Times New Roman" w:eastAsia="宋体" w:cs="Times New Roman"/>
                <w:color w:val="0000FF"/>
                <w:sz w:val="21"/>
                <w:szCs w:val="21"/>
              </w:rPr>
            </w:pPr>
            <w:r>
              <w:rPr>
                <w:rFonts w:hint="eastAsia" w:ascii="Times New Roman" w:hAnsi="Times New Roman" w:cs="Times New Roman"/>
                <w:color w:val="auto"/>
                <w:sz w:val="21"/>
                <w:szCs w:val="21"/>
                <w:lang w:val="en-US" w:eastAsia="zh-CN"/>
              </w:rPr>
              <w:t>W6</w:t>
            </w:r>
          </w:p>
        </w:tc>
        <w:tc>
          <w:tcPr>
            <w:tcW w:w="213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工程范围内二级保护区内（南侧）</w:t>
            </w:r>
          </w:p>
        </w:tc>
        <w:tc>
          <w:tcPr>
            <w:tcW w:w="1066" w:type="pct"/>
            <w:vMerge w:val="continue"/>
            <w:vAlign w:val="center"/>
          </w:tcPr>
          <w:p>
            <w:pPr>
              <w:snapToGrid w:val="0"/>
              <w:spacing w:line="280" w:lineRule="exact"/>
              <w:jc w:val="center"/>
              <w:rPr>
                <w:rFonts w:hint="default" w:ascii="Times New Roman" w:hAnsi="Times New Roman" w:eastAsia="宋体" w:cs="Times New Roman"/>
                <w:color w:val="auto"/>
                <w:sz w:val="21"/>
                <w:szCs w:val="21"/>
              </w:rPr>
            </w:pPr>
          </w:p>
        </w:tc>
        <w:tc>
          <w:tcPr>
            <w:tcW w:w="775" w:type="pct"/>
            <w:vMerge w:val="continue"/>
            <w:vAlign w:val="center"/>
          </w:tcPr>
          <w:p>
            <w:pPr>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20" w:type="pct"/>
            <w:vAlign w:val="center"/>
          </w:tcPr>
          <w:p>
            <w:pPr>
              <w:widowControl w:val="0"/>
              <w:spacing w:line="32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W7</w:t>
            </w:r>
          </w:p>
        </w:tc>
        <w:tc>
          <w:tcPr>
            <w:tcW w:w="2138" w:type="pct"/>
            <w:vAlign w:val="center"/>
          </w:tcPr>
          <w:p>
            <w:pPr>
              <w:widowControl w:val="0"/>
              <w:spacing w:line="320" w:lineRule="exact"/>
              <w:jc w:val="center"/>
              <w:rPr>
                <w:rFonts w:hint="eastAsia" w:cs="Times New Roman"/>
                <w:color w:val="auto"/>
                <w:sz w:val="21"/>
                <w:szCs w:val="21"/>
                <w:lang w:val="en-US" w:eastAsia="zh-CN"/>
              </w:rPr>
            </w:pPr>
            <w:r>
              <w:rPr>
                <w:rFonts w:hint="eastAsia" w:cs="Times New Roman"/>
                <w:color w:val="auto"/>
                <w:sz w:val="21"/>
                <w:szCs w:val="21"/>
                <w:lang w:val="en-US" w:eastAsia="zh-CN"/>
              </w:rPr>
              <w:t>准保护区内（项目北面）</w:t>
            </w:r>
          </w:p>
        </w:tc>
        <w:tc>
          <w:tcPr>
            <w:tcW w:w="1066" w:type="pct"/>
            <w:vMerge w:val="continue"/>
            <w:vAlign w:val="center"/>
          </w:tcPr>
          <w:p>
            <w:pPr>
              <w:snapToGrid w:val="0"/>
              <w:spacing w:line="280" w:lineRule="exact"/>
              <w:jc w:val="center"/>
              <w:rPr>
                <w:rFonts w:hint="default" w:ascii="Times New Roman" w:hAnsi="Times New Roman" w:eastAsia="宋体" w:cs="Times New Roman"/>
                <w:color w:val="auto"/>
                <w:sz w:val="21"/>
                <w:szCs w:val="21"/>
              </w:rPr>
            </w:pPr>
          </w:p>
        </w:tc>
        <w:tc>
          <w:tcPr>
            <w:tcW w:w="775" w:type="pct"/>
            <w:vMerge w:val="continue"/>
            <w:vAlign w:val="center"/>
          </w:tcPr>
          <w:p>
            <w:pPr>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20" w:type="pct"/>
            <w:vAlign w:val="center"/>
          </w:tcPr>
          <w:p>
            <w:pPr>
              <w:widowControl w:val="0"/>
              <w:spacing w:line="32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W8</w:t>
            </w:r>
          </w:p>
        </w:tc>
        <w:tc>
          <w:tcPr>
            <w:tcW w:w="2138" w:type="pct"/>
            <w:vAlign w:val="center"/>
          </w:tcPr>
          <w:p>
            <w:pPr>
              <w:widowControl w:val="0"/>
              <w:spacing w:line="320" w:lineRule="exact"/>
              <w:jc w:val="center"/>
              <w:rPr>
                <w:rFonts w:hint="eastAsia" w:cs="Times New Roman"/>
                <w:color w:val="auto"/>
                <w:sz w:val="21"/>
                <w:szCs w:val="21"/>
                <w:lang w:val="en-US" w:eastAsia="zh-CN"/>
              </w:rPr>
            </w:pPr>
            <w:r>
              <w:rPr>
                <w:rFonts w:hint="eastAsia" w:cs="Times New Roman"/>
                <w:color w:val="auto"/>
                <w:sz w:val="21"/>
                <w:szCs w:val="21"/>
                <w:lang w:val="en-US" w:eastAsia="zh-CN"/>
              </w:rPr>
              <w:t>W8准保护区内（项目南面）</w:t>
            </w:r>
          </w:p>
        </w:tc>
        <w:tc>
          <w:tcPr>
            <w:tcW w:w="1066" w:type="pct"/>
            <w:vMerge w:val="continue"/>
            <w:vAlign w:val="center"/>
          </w:tcPr>
          <w:p>
            <w:pPr>
              <w:snapToGrid w:val="0"/>
              <w:spacing w:line="280" w:lineRule="exact"/>
              <w:jc w:val="center"/>
              <w:rPr>
                <w:rFonts w:hint="default" w:ascii="Times New Roman" w:hAnsi="Times New Roman" w:eastAsia="宋体" w:cs="Times New Roman"/>
                <w:color w:val="auto"/>
                <w:sz w:val="21"/>
                <w:szCs w:val="21"/>
              </w:rPr>
            </w:pPr>
          </w:p>
        </w:tc>
        <w:tc>
          <w:tcPr>
            <w:tcW w:w="775" w:type="pct"/>
            <w:vMerge w:val="continue"/>
            <w:vAlign w:val="center"/>
          </w:tcPr>
          <w:p>
            <w:pPr>
              <w:jc w:val="center"/>
              <w:rPr>
                <w:rFonts w:hint="default" w:ascii="Times New Roman" w:hAnsi="Times New Roman" w:eastAsia="宋体" w:cs="Times New Roman"/>
                <w:color w:val="auto"/>
                <w:sz w:val="21"/>
                <w:szCs w:val="21"/>
                <w:lang w:val="en-US" w:eastAsia="zh-CN"/>
              </w:rPr>
            </w:pPr>
          </w:p>
        </w:tc>
      </w:tr>
    </w:tbl>
    <w:p>
      <w:pPr>
        <w:widowControl w:val="0"/>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2）采样及评价方法</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采样分析方法按照《环境监测技术规范》、《水和废水监测分析方法》、《环境影响评价导则地表水环境》（HJ2.3-2018）附录B 要求执行。</w:t>
      </w:r>
    </w:p>
    <w:p>
      <w:pPr>
        <w:widowControl w:val="0"/>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3）监测数据及评价结果</w:t>
      </w:r>
    </w:p>
    <w:p>
      <w:pPr>
        <w:widowControl w:val="0"/>
        <w:spacing w:line="480" w:lineRule="exact"/>
        <w:ind w:firstLine="480" w:firstLineChars="200"/>
        <w:jc w:val="both"/>
        <w:rPr>
          <w:rFonts w:hint="default" w:ascii="Times New Roman" w:hAnsi="Times New Roman" w:eastAsia="宋体" w:cs="Times New Roman"/>
          <w:color w:val="auto"/>
        </w:rPr>
        <w:sectPr>
          <w:pgSz w:w="11905" w:h="16838"/>
          <w:pgMar w:top="1797" w:right="1440" w:bottom="1797" w:left="1440" w:header="850" w:footer="992" w:gutter="0"/>
          <w:pgBorders>
            <w:top w:val="none" w:sz="0" w:space="0"/>
            <w:left w:val="none" w:sz="0" w:space="0"/>
            <w:bottom w:val="none" w:sz="0" w:space="0"/>
            <w:right w:val="none" w:sz="0" w:space="0"/>
          </w:pgBorders>
          <w:pgNumType w:fmt="decimal"/>
          <w:cols w:space="0" w:num="1"/>
          <w:docGrid w:type="lines" w:linePitch="392" w:charSpace="0"/>
        </w:sectPr>
      </w:pPr>
      <w:r>
        <w:rPr>
          <w:rFonts w:hint="default" w:ascii="Times New Roman" w:hAnsi="Times New Roman" w:eastAsia="宋体" w:cs="Times New Roman"/>
          <w:color w:val="auto"/>
        </w:rPr>
        <w:t>对照《地表水环境质量标准》(GB3838-2002)，水质监测及评价结果见表4.2-</w:t>
      </w:r>
      <w:r>
        <w:rPr>
          <w:rFonts w:hint="eastAsia" w:cs="Times New Roman"/>
          <w:color w:val="auto"/>
          <w:lang w:val="en-US" w:eastAsia="zh-CN"/>
        </w:rPr>
        <w:t>6</w:t>
      </w:r>
      <w:r>
        <w:rPr>
          <w:rFonts w:hint="default" w:ascii="Times New Roman" w:hAnsi="Times New Roman" w:eastAsia="宋体" w:cs="Times New Roman"/>
          <w:color w:val="auto"/>
        </w:rPr>
        <w:t>。</w:t>
      </w:r>
    </w:p>
    <w:p>
      <w:pPr>
        <w:widowControl w:val="0"/>
        <w:spacing w:line="480" w:lineRule="exact"/>
        <w:ind w:firstLine="482" w:firstLineChars="20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 4.2-</w:t>
      </w:r>
      <w:r>
        <w:rPr>
          <w:rFonts w:hint="eastAsia" w:cs="Times New Roman"/>
          <w:b/>
          <w:bCs/>
          <w:color w:val="auto"/>
          <w:lang w:val="en-US" w:eastAsia="zh-CN"/>
        </w:rPr>
        <w:t>6</w:t>
      </w:r>
      <w:r>
        <w:rPr>
          <w:rFonts w:hint="default" w:ascii="Times New Roman" w:hAnsi="Times New Roman" w:eastAsia="宋体" w:cs="Times New Roman"/>
          <w:b/>
          <w:bCs/>
          <w:color w:val="auto"/>
        </w:rPr>
        <w:t xml:space="preserve"> </w:t>
      </w:r>
      <w:r>
        <w:rPr>
          <w:rFonts w:hint="eastAsia" w:cs="Times New Roman"/>
          <w:b/>
          <w:bCs/>
          <w:color w:val="auto"/>
          <w:lang w:val="en-US" w:eastAsia="zh-CN"/>
        </w:rPr>
        <w:t>本项目</w:t>
      </w:r>
      <w:r>
        <w:rPr>
          <w:rFonts w:hint="default" w:ascii="Times New Roman" w:hAnsi="Times New Roman" w:eastAsia="宋体" w:cs="Times New Roman"/>
          <w:b/>
          <w:bCs/>
          <w:color w:val="auto"/>
        </w:rPr>
        <w:t>太湖现状监测水质结果表</w:t>
      </w:r>
    </w:p>
    <w:tbl>
      <w:tblPr>
        <w:tblStyle w:val="55"/>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2"/>
        <w:gridCol w:w="898"/>
        <w:gridCol w:w="982"/>
        <w:gridCol w:w="1122"/>
        <w:gridCol w:w="1152"/>
        <w:gridCol w:w="1152"/>
        <w:gridCol w:w="1152"/>
        <w:gridCol w:w="1152"/>
        <w:gridCol w:w="1152"/>
        <w:gridCol w:w="1152"/>
        <w:gridCol w:w="1165"/>
        <w:gridCol w:w="12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120" w:type="pct"/>
            <w:gridSpan w:val="3"/>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采样日期</w:t>
            </w:r>
          </w:p>
        </w:tc>
        <w:tc>
          <w:tcPr>
            <w:tcW w:w="3879" w:type="pct"/>
            <w:gridSpan w:val="9"/>
            <w:vAlign w:val="center"/>
          </w:tcPr>
          <w:p>
            <w:pPr>
              <w:snapToGrid w:val="0"/>
              <w:spacing w:line="280" w:lineRule="exact"/>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 xml:space="preserve">2021.6.25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120" w:type="pct"/>
            <w:gridSpan w:val="3"/>
            <w:vAlign w:val="center"/>
          </w:tcPr>
          <w:p>
            <w:pPr>
              <w:snapToGrid w:val="0"/>
              <w:spacing w:line="280" w:lineRule="exact"/>
              <w:jc w:val="center"/>
              <w:rPr>
                <w:rFonts w:hint="eastAsia" w:eastAsia="宋体"/>
                <w:sz w:val="21"/>
                <w:szCs w:val="21"/>
                <w:lang w:val="en-US" w:eastAsia="zh-CN"/>
              </w:rPr>
            </w:pPr>
            <w:r>
              <w:rPr>
                <w:rFonts w:hint="eastAsia"/>
                <w:b/>
                <w:bCs/>
                <w:sz w:val="21"/>
                <w:szCs w:val="21"/>
                <w:lang w:val="en-US" w:eastAsia="zh-CN"/>
              </w:rPr>
              <w:t>断面名称</w:t>
            </w:r>
          </w:p>
        </w:tc>
        <w:tc>
          <w:tcPr>
            <w:tcW w:w="417" w:type="pct"/>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W1</w:t>
            </w:r>
          </w:p>
        </w:tc>
        <w:tc>
          <w:tcPr>
            <w:tcW w:w="428" w:type="pct"/>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W2</w:t>
            </w:r>
          </w:p>
        </w:tc>
        <w:tc>
          <w:tcPr>
            <w:tcW w:w="428" w:type="pct"/>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W3</w:t>
            </w:r>
          </w:p>
        </w:tc>
        <w:tc>
          <w:tcPr>
            <w:tcW w:w="428" w:type="pct"/>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W4</w:t>
            </w:r>
          </w:p>
        </w:tc>
        <w:tc>
          <w:tcPr>
            <w:tcW w:w="428" w:type="pct"/>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W5</w:t>
            </w:r>
          </w:p>
        </w:tc>
        <w:tc>
          <w:tcPr>
            <w:tcW w:w="428" w:type="pct"/>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W6</w:t>
            </w:r>
          </w:p>
        </w:tc>
        <w:tc>
          <w:tcPr>
            <w:tcW w:w="428" w:type="pct"/>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W7</w:t>
            </w:r>
          </w:p>
        </w:tc>
        <w:tc>
          <w:tcPr>
            <w:tcW w:w="432" w:type="pct"/>
            <w:vAlign w:val="center"/>
          </w:tcPr>
          <w:p>
            <w:pPr>
              <w:snapToGrid w:val="0"/>
              <w:spacing w:line="280" w:lineRule="exact"/>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W8</w:t>
            </w:r>
          </w:p>
        </w:tc>
        <w:tc>
          <w:tcPr>
            <w:tcW w:w="461" w:type="pct"/>
            <w:vMerge w:val="restart"/>
            <w:vAlign w:val="center"/>
          </w:tcPr>
          <w:p>
            <w:pPr>
              <w:snapToGrid w:val="0"/>
              <w:spacing w:line="280" w:lineRule="exact"/>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421"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检测项目</w:t>
            </w:r>
          </w:p>
        </w:tc>
        <w:tc>
          <w:tcPr>
            <w:tcW w:w="334"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单位</w:t>
            </w:r>
          </w:p>
        </w:tc>
        <w:tc>
          <w:tcPr>
            <w:tcW w:w="363"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检出限</w:t>
            </w:r>
          </w:p>
        </w:tc>
        <w:tc>
          <w:tcPr>
            <w:tcW w:w="3418" w:type="pct"/>
            <w:gridSpan w:val="8"/>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检测结果</w:t>
            </w:r>
          </w:p>
        </w:tc>
        <w:tc>
          <w:tcPr>
            <w:tcW w:w="461" w:type="pct"/>
            <w:vMerge w:val="continue"/>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1" w:type="pct"/>
            <w:vAlign w:val="center"/>
          </w:tcPr>
          <w:p>
            <w:pPr>
              <w:snapToGrid w:val="0"/>
              <w:spacing w:line="28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highlight w:val="none"/>
                <w:lang w:val="en-US" w:eastAsia="zh-CN"/>
              </w:rPr>
              <w:t>pH</w:t>
            </w:r>
          </w:p>
        </w:tc>
        <w:tc>
          <w:tcPr>
            <w:tcW w:w="334" w:type="pct"/>
            <w:vAlign w:val="center"/>
          </w:tcPr>
          <w:p>
            <w:pPr>
              <w:snapToGrid w:val="0"/>
              <w:spacing w:line="28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无量纲</w:t>
            </w:r>
          </w:p>
        </w:tc>
        <w:tc>
          <w:tcPr>
            <w:tcW w:w="363" w:type="pct"/>
            <w:vAlign w:val="center"/>
          </w:tcPr>
          <w:p>
            <w:pPr>
              <w:snapToGrid w:val="0"/>
              <w:spacing w:line="28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417" w:type="pct"/>
            <w:vAlign w:val="center"/>
          </w:tcPr>
          <w:p>
            <w:pPr>
              <w:snapToGrid w:val="0"/>
              <w:spacing w:line="28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7.64</w:t>
            </w:r>
          </w:p>
        </w:tc>
        <w:tc>
          <w:tcPr>
            <w:tcW w:w="428" w:type="pct"/>
            <w:vAlign w:val="center"/>
          </w:tcPr>
          <w:p>
            <w:pPr>
              <w:snapToGrid w:val="0"/>
              <w:spacing w:line="28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7.66</w:t>
            </w:r>
          </w:p>
        </w:tc>
        <w:tc>
          <w:tcPr>
            <w:tcW w:w="428" w:type="pct"/>
            <w:vAlign w:val="center"/>
          </w:tcPr>
          <w:p>
            <w:pPr>
              <w:snapToGrid w:val="0"/>
              <w:spacing w:line="28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7.46</w:t>
            </w:r>
          </w:p>
        </w:tc>
        <w:tc>
          <w:tcPr>
            <w:tcW w:w="428" w:type="pct"/>
            <w:shd w:val="clear" w:color="auto" w:fill="auto"/>
            <w:vAlign w:val="center"/>
          </w:tcPr>
          <w:p>
            <w:pPr>
              <w:snapToGrid w:val="0"/>
              <w:spacing w:line="28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7.50</w:t>
            </w:r>
          </w:p>
        </w:tc>
        <w:tc>
          <w:tcPr>
            <w:tcW w:w="428" w:type="pct"/>
            <w:shd w:val="clear" w:color="auto" w:fill="auto"/>
            <w:vAlign w:val="center"/>
          </w:tcPr>
          <w:p>
            <w:pPr>
              <w:snapToGrid w:val="0"/>
              <w:spacing w:line="28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7.48</w:t>
            </w:r>
          </w:p>
        </w:tc>
        <w:tc>
          <w:tcPr>
            <w:tcW w:w="428" w:type="pct"/>
            <w:shd w:val="clear" w:color="auto" w:fill="auto"/>
            <w:vAlign w:val="center"/>
          </w:tcPr>
          <w:p>
            <w:pPr>
              <w:snapToGrid w:val="0"/>
              <w:spacing w:line="28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7.49</w:t>
            </w:r>
          </w:p>
        </w:tc>
        <w:tc>
          <w:tcPr>
            <w:tcW w:w="428" w:type="pct"/>
            <w:shd w:val="clear" w:color="auto" w:fill="auto"/>
            <w:vAlign w:val="center"/>
          </w:tcPr>
          <w:p>
            <w:pPr>
              <w:snapToGrid w:val="0"/>
              <w:spacing w:line="28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7.55</w:t>
            </w:r>
          </w:p>
        </w:tc>
        <w:tc>
          <w:tcPr>
            <w:tcW w:w="432" w:type="pct"/>
            <w:shd w:val="clear" w:color="auto" w:fill="auto"/>
            <w:vAlign w:val="center"/>
          </w:tcPr>
          <w:p>
            <w:pPr>
              <w:snapToGrid w:val="0"/>
              <w:spacing w:line="28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7.57</w:t>
            </w:r>
          </w:p>
        </w:tc>
        <w:tc>
          <w:tcPr>
            <w:tcW w:w="461" w:type="pct"/>
            <w:vAlign w:val="center"/>
          </w:tcPr>
          <w:p>
            <w:pPr>
              <w:snapToGrid w:val="0"/>
              <w:spacing w:line="28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1" w:type="pct"/>
            <w:vAlign w:val="center"/>
          </w:tcPr>
          <w:p>
            <w:pPr>
              <w:widowControl w:val="0"/>
              <w:spacing w:line="32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highlight w:val="none"/>
                <w:lang w:val="en-US" w:eastAsia="zh-CN"/>
              </w:rPr>
              <w:t>DO</w:t>
            </w:r>
          </w:p>
        </w:tc>
        <w:tc>
          <w:tcPr>
            <w:tcW w:w="334"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mg/L</w:t>
            </w:r>
          </w:p>
        </w:tc>
        <w:tc>
          <w:tcPr>
            <w:tcW w:w="363" w:type="pct"/>
            <w:vAlign w:val="center"/>
          </w:tcPr>
          <w:p>
            <w:pPr>
              <w:widowControl w:val="0"/>
              <w:spacing w:line="320" w:lineRule="exact"/>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w:t>
            </w:r>
          </w:p>
        </w:tc>
        <w:tc>
          <w:tcPr>
            <w:tcW w:w="417"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5.60</w:t>
            </w:r>
          </w:p>
        </w:tc>
        <w:tc>
          <w:tcPr>
            <w:tcW w:w="42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5.68</w:t>
            </w:r>
          </w:p>
        </w:tc>
        <w:tc>
          <w:tcPr>
            <w:tcW w:w="42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5.55</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5.58</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5.58</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5.54</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5.61</w:t>
            </w:r>
          </w:p>
        </w:tc>
        <w:tc>
          <w:tcPr>
            <w:tcW w:w="432"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5.63</w:t>
            </w:r>
          </w:p>
        </w:tc>
        <w:tc>
          <w:tcPr>
            <w:tcW w:w="461"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1" w:type="pct"/>
            <w:vAlign w:val="center"/>
          </w:tcPr>
          <w:p>
            <w:pPr>
              <w:widowControl w:val="0"/>
              <w:spacing w:line="32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highlight w:val="none"/>
                <w:lang w:val="en-US" w:eastAsia="zh-CN"/>
              </w:rPr>
              <w:t>叶绿素a</w:t>
            </w:r>
          </w:p>
        </w:tc>
        <w:tc>
          <w:tcPr>
            <w:tcW w:w="334" w:type="pct"/>
            <w:vAlign w:val="center"/>
          </w:tcPr>
          <w:p>
            <w:pPr>
              <w:widowControl w:val="0"/>
              <w:spacing w:line="320" w:lineRule="exact"/>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mg/L</w:t>
            </w:r>
          </w:p>
        </w:tc>
        <w:tc>
          <w:tcPr>
            <w:tcW w:w="363" w:type="pct"/>
            <w:vAlign w:val="center"/>
          </w:tcPr>
          <w:p>
            <w:pPr>
              <w:widowControl w:val="0"/>
              <w:spacing w:line="32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417"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ND</w:t>
            </w:r>
          </w:p>
        </w:tc>
        <w:tc>
          <w:tcPr>
            <w:tcW w:w="42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ND</w:t>
            </w:r>
          </w:p>
        </w:tc>
        <w:tc>
          <w:tcPr>
            <w:tcW w:w="42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ND</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ND</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ND</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ND</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ND</w:t>
            </w:r>
          </w:p>
        </w:tc>
        <w:tc>
          <w:tcPr>
            <w:tcW w:w="432"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ND</w:t>
            </w:r>
          </w:p>
        </w:tc>
        <w:tc>
          <w:tcPr>
            <w:tcW w:w="461"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1" w:type="pct"/>
            <w:vAlign w:val="center"/>
          </w:tcPr>
          <w:p>
            <w:pPr>
              <w:widowControl w:val="0"/>
              <w:spacing w:line="32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highlight w:val="none"/>
                <w:lang w:val="en-US" w:eastAsia="zh-CN"/>
              </w:rPr>
              <w:t>COD</w:t>
            </w:r>
            <w:r>
              <w:rPr>
                <w:rFonts w:hint="eastAsia" w:ascii="Times New Roman" w:hAnsi="Times New Roman" w:eastAsia="宋体" w:cs="Times New Roman"/>
                <w:color w:val="auto"/>
                <w:sz w:val="21"/>
                <w:szCs w:val="21"/>
                <w:highlight w:val="none"/>
                <w:vertAlign w:val="subscript"/>
                <w:lang w:val="en-US" w:eastAsia="zh-CN"/>
              </w:rPr>
              <w:t>Mn</w:t>
            </w:r>
          </w:p>
        </w:tc>
        <w:tc>
          <w:tcPr>
            <w:tcW w:w="334" w:type="pct"/>
            <w:vAlign w:val="center"/>
          </w:tcPr>
          <w:p>
            <w:pPr>
              <w:widowControl w:val="0"/>
              <w:spacing w:line="320" w:lineRule="exact"/>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mg/L</w:t>
            </w:r>
          </w:p>
        </w:tc>
        <w:tc>
          <w:tcPr>
            <w:tcW w:w="363"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0.5μg/L</w:t>
            </w:r>
          </w:p>
        </w:tc>
        <w:tc>
          <w:tcPr>
            <w:tcW w:w="417"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3.2</w:t>
            </w:r>
          </w:p>
        </w:tc>
        <w:tc>
          <w:tcPr>
            <w:tcW w:w="42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3.0</w:t>
            </w:r>
          </w:p>
        </w:tc>
        <w:tc>
          <w:tcPr>
            <w:tcW w:w="42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3.3</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3.0</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3.0</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3.2</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3.3</w:t>
            </w:r>
          </w:p>
        </w:tc>
        <w:tc>
          <w:tcPr>
            <w:tcW w:w="432"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3.2</w:t>
            </w:r>
          </w:p>
        </w:tc>
        <w:tc>
          <w:tcPr>
            <w:tcW w:w="461"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1" w:type="pct"/>
            <w:vAlign w:val="center"/>
          </w:tcPr>
          <w:p>
            <w:pPr>
              <w:widowControl w:val="0"/>
              <w:spacing w:line="32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highlight w:val="none"/>
                <w:lang w:val="en-US" w:eastAsia="zh-CN"/>
              </w:rPr>
              <w:t>SS</w:t>
            </w:r>
          </w:p>
        </w:tc>
        <w:tc>
          <w:tcPr>
            <w:tcW w:w="334" w:type="pct"/>
            <w:vAlign w:val="center"/>
          </w:tcPr>
          <w:p>
            <w:pPr>
              <w:widowControl w:val="0"/>
              <w:spacing w:line="320" w:lineRule="exact"/>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mg/L</w:t>
            </w:r>
          </w:p>
        </w:tc>
        <w:tc>
          <w:tcPr>
            <w:tcW w:w="363" w:type="pct"/>
            <w:vAlign w:val="center"/>
          </w:tcPr>
          <w:p>
            <w:pPr>
              <w:widowControl w:val="0"/>
              <w:spacing w:line="32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417"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71</w:t>
            </w:r>
          </w:p>
        </w:tc>
        <w:tc>
          <w:tcPr>
            <w:tcW w:w="42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74</w:t>
            </w:r>
          </w:p>
        </w:tc>
        <w:tc>
          <w:tcPr>
            <w:tcW w:w="42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77</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75</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72</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71</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77</w:t>
            </w:r>
          </w:p>
        </w:tc>
        <w:tc>
          <w:tcPr>
            <w:tcW w:w="432"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75</w:t>
            </w:r>
          </w:p>
        </w:tc>
        <w:tc>
          <w:tcPr>
            <w:tcW w:w="461"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1" w:type="pct"/>
            <w:vAlign w:val="center"/>
          </w:tcPr>
          <w:p>
            <w:pPr>
              <w:widowControl w:val="0"/>
              <w:spacing w:line="32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highlight w:val="none"/>
                <w:lang w:val="en-US" w:eastAsia="zh-CN"/>
              </w:rPr>
              <w:t>NH</w:t>
            </w:r>
            <w:r>
              <w:rPr>
                <w:rFonts w:hint="eastAsia" w:ascii="Times New Roman" w:hAnsi="Times New Roman" w:eastAsia="宋体" w:cs="Times New Roman"/>
                <w:color w:val="auto"/>
                <w:sz w:val="21"/>
                <w:szCs w:val="21"/>
                <w:highlight w:val="none"/>
                <w:vertAlign w:val="subscript"/>
                <w:lang w:val="en-US" w:eastAsia="zh-CN"/>
              </w:rPr>
              <w:t>3</w:t>
            </w:r>
            <w:r>
              <w:rPr>
                <w:rFonts w:hint="eastAsia" w:ascii="Times New Roman" w:hAnsi="Times New Roman" w:eastAsia="宋体" w:cs="Times New Roman"/>
                <w:color w:val="auto"/>
                <w:sz w:val="21"/>
                <w:szCs w:val="21"/>
                <w:highlight w:val="none"/>
                <w:lang w:val="en-US" w:eastAsia="zh-CN"/>
              </w:rPr>
              <w:t>-N</w:t>
            </w:r>
          </w:p>
        </w:tc>
        <w:tc>
          <w:tcPr>
            <w:tcW w:w="334" w:type="pct"/>
            <w:vAlign w:val="center"/>
          </w:tcPr>
          <w:p>
            <w:pPr>
              <w:widowControl w:val="0"/>
              <w:spacing w:line="320" w:lineRule="exact"/>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mg/L</w:t>
            </w:r>
          </w:p>
        </w:tc>
        <w:tc>
          <w:tcPr>
            <w:tcW w:w="363"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0.025</w:t>
            </w:r>
          </w:p>
        </w:tc>
        <w:tc>
          <w:tcPr>
            <w:tcW w:w="417"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0.052</w:t>
            </w:r>
          </w:p>
        </w:tc>
        <w:tc>
          <w:tcPr>
            <w:tcW w:w="42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0.060</w:t>
            </w:r>
          </w:p>
        </w:tc>
        <w:tc>
          <w:tcPr>
            <w:tcW w:w="42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0.077</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0.060</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0.093</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0.139</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0.088</w:t>
            </w:r>
          </w:p>
        </w:tc>
        <w:tc>
          <w:tcPr>
            <w:tcW w:w="432"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0.174</w:t>
            </w:r>
          </w:p>
        </w:tc>
        <w:tc>
          <w:tcPr>
            <w:tcW w:w="461"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1" w:type="pct"/>
            <w:vAlign w:val="center"/>
          </w:tcPr>
          <w:p>
            <w:pPr>
              <w:widowControl w:val="0"/>
              <w:spacing w:line="32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highlight w:val="none"/>
                <w:lang w:val="en-US" w:eastAsia="zh-CN"/>
              </w:rPr>
              <w:t>TP</w:t>
            </w:r>
          </w:p>
        </w:tc>
        <w:tc>
          <w:tcPr>
            <w:tcW w:w="334" w:type="pct"/>
            <w:vAlign w:val="center"/>
          </w:tcPr>
          <w:p>
            <w:pPr>
              <w:widowControl w:val="0"/>
              <w:spacing w:line="320" w:lineRule="exact"/>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mg/L</w:t>
            </w:r>
          </w:p>
        </w:tc>
        <w:tc>
          <w:tcPr>
            <w:tcW w:w="363"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0.01</w:t>
            </w:r>
          </w:p>
        </w:tc>
        <w:tc>
          <w:tcPr>
            <w:tcW w:w="417"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0.03</w:t>
            </w:r>
          </w:p>
        </w:tc>
        <w:tc>
          <w:tcPr>
            <w:tcW w:w="42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0.03</w:t>
            </w:r>
          </w:p>
        </w:tc>
        <w:tc>
          <w:tcPr>
            <w:tcW w:w="42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0.03</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0.02</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0.02</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0.04</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0.03</w:t>
            </w:r>
          </w:p>
        </w:tc>
        <w:tc>
          <w:tcPr>
            <w:tcW w:w="432"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0.03</w:t>
            </w:r>
          </w:p>
        </w:tc>
        <w:tc>
          <w:tcPr>
            <w:tcW w:w="461"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1" w:type="pct"/>
            <w:vAlign w:val="center"/>
          </w:tcPr>
          <w:p>
            <w:pPr>
              <w:widowControl w:val="0"/>
              <w:spacing w:line="32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highlight w:val="none"/>
                <w:lang w:val="en-US" w:eastAsia="zh-CN"/>
              </w:rPr>
              <w:t>TN</w:t>
            </w:r>
          </w:p>
        </w:tc>
        <w:tc>
          <w:tcPr>
            <w:tcW w:w="334" w:type="pct"/>
            <w:vAlign w:val="center"/>
          </w:tcPr>
          <w:p>
            <w:pPr>
              <w:widowControl w:val="0"/>
              <w:spacing w:line="320" w:lineRule="exact"/>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mg/L</w:t>
            </w:r>
          </w:p>
        </w:tc>
        <w:tc>
          <w:tcPr>
            <w:tcW w:w="363"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0.05</w:t>
            </w:r>
          </w:p>
        </w:tc>
        <w:tc>
          <w:tcPr>
            <w:tcW w:w="417"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0.46</w:t>
            </w:r>
          </w:p>
        </w:tc>
        <w:tc>
          <w:tcPr>
            <w:tcW w:w="42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0.45</w:t>
            </w:r>
          </w:p>
        </w:tc>
        <w:tc>
          <w:tcPr>
            <w:tcW w:w="42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1.12</w:t>
            </w:r>
          </w:p>
        </w:tc>
        <w:tc>
          <w:tcPr>
            <w:tcW w:w="42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1.21</w:t>
            </w:r>
          </w:p>
        </w:tc>
        <w:tc>
          <w:tcPr>
            <w:tcW w:w="42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1.50</w:t>
            </w:r>
          </w:p>
        </w:tc>
        <w:tc>
          <w:tcPr>
            <w:tcW w:w="42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1.42</w:t>
            </w:r>
          </w:p>
        </w:tc>
        <w:tc>
          <w:tcPr>
            <w:tcW w:w="42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1.70</w:t>
            </w:r>
          </w:p>
        </w:tc>
        <w:tc>
          <w:tcPr>
            <w:tcW w:w="432"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1.62</w:t>
            </w:r>
          </w:p>
        </w:tc>
        <w:tc>
          <w:tcPr>
            <w:tcW w:w="461"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20" w:type="pct"/>
            <w:gridSpan w:val="3"/>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bidi="ar-SA"/>
              </w:rPr>
            </w:pPr>
            <w:r>
              <w:rPr>
                <w:rFonts w:hint="eastAsia" w:ascii="Times New Roman" w:hAnsi="Times New Roman" w:cs="Times New Roman"/>
                <w:b/>
                <w:bCs/>
                <w:color w:val="auto"/>
                <w:sz w:val="21"/>
                <w:szCs w:val="21"/>
                <w:lang w:val="en-US" w:eastAsia="zh-CN"/>
              </w:rPr>
              <w:t>采样日期</w:t>
            </w:r>
          </w:p>
        </w:tc>
        <w:tc>
          <w:tcPr>
            <w:tcW w:w="3879" w:type="pct"/>
            <w:gridSpan w:val="9"/>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bidi="ar-SA"/>
              </w:rPr>
            </w:pPr>
            <w:r>
              <w:rPr>
                <w:rFonts w:hint="eastAsia" w:ascii="Times New Roman" w:hAnsi="Times New Roman" w:cs="Times New Roman"/>
                <w:b/>
                <w:bCs/>
                <w:color w:val="auto"/>
                <w:sz w:val="21"/>
                <w:szCs w:val="21"/>
                <w:lang w:val="en-US" w:eastAsia="zh-CN"/>
              </w:rPr>
              <w:t>2021.6.26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20" w:type="pct"/>
            <w:gridSpan w:val="3"/>
            <w:vAlign w:val="center"/>
          </w:tcPr>
          <w:p>
            <w:pPr>
              <w:widowControl w:val="0"/>
              <w:spacing w:line="320" w:lineRule="exact"/>
              <w:jc w:val="center"/>
              <w:rPr>
                <w:rFonts w:hint="default" w:ascii="Times New Roman" w:hAnsi="Times New Roman" w:eastAsia="宋体" w:cs="Times New Roman"/>
                <w:color w:val="auto"/>
                <w:sz w:val="21"/>
                <w:szCs w:val="21"/>
              </w:rPr>
            </w:pPr>
            <w:r>
              <w:rPr>
                <w:rFonts w:hint="eastAsia"/>
                <w:b/>
                <w:bCs/>
                <w:sz w:val="21"/>
                <w:szCs w:val="21"/>
                <w:lang w:val="en-US" w:eastAsia="zh-CN"/>
              </w:rPr>
              <w:t>断面名称</w:t>
            </w:r>
          </w:p>
        </w:tc>
        <w:tc>
          <w:tcPr>
            <w:tcW w:w="417" w:type="pct"/>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bidi="ar-SA"/>
              </w:rPr>
            </w:pPr>
            <w:r>
              <w:rPr>
                <w:rFonts w:hint="eastAsia" w:ascii="Times New Roman" w:hAnsi="Times New Roman" w:cs="Times New Roman"/>
                <w:b/>
                <w:bCs/>
                <w:color w:val="auto"/>
                <w:sz w:val="21"/>
                <w:szCs w:val="21"/>
                <w:lang w:val="en-US" w:eastAsia="zh-CN"/>
              </w:rPr>
              <w:t>W1</w:t>
            </w:r>
          </w:p>
        </w:tc>
        <w:tc>
          <w:tcPr>
            <w:tcW w:w="428" w:type="pct"/>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bidi="ar-SA"/>
              </w:rPr>
            </w:pPr>
            <w:r>
              <w:rPr>
                <w:rFonts w:hint="eastAsia" w:ascii="Times New Roman" w:hAnsi="Times New Roman" w:cs="Times New Roman"/>
                <w:b/>
                <w:bCs/>
                <w:color w:val="auto"/>
                <w:sz w:val="21"/>
                <w:szCs w:val="21"/>
                <w:lang w:val="en-US" w:eastAsia="zh-CN"/>
              </w:rPr>
              <w:t>W2</w:t>
            </w:r>
          </w:p>
        </w:tc>
        <w:tc>
          <w:tcPr>
            <w:tcW w:w="428" w:type="pct"/>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bidi="ar-SA"/>
              </w:rPr>
            </w:pPr>
            <w:r>
              <w:rPr>
                <w:rFonts w:hint="eastAsia" w:ascii="Times New Roman" w:hAnsi="Times New Roman" w:cs="Times New Roman"/>
                <w:b/>
                <w:bCs/>
                <w:color w:val="auto"/>
                <w:sz w:val="21"/>
                <w:szCs w:val="21"/>
                <w:lang w:val="en-US" w:eastAsia="zh-CN"/>
              </w:rPr>
              <w:t>W3</w:t>
            </w:r>
          </w:p>
        </w:tc>
        <w:tc>
          <w:tcPr>
            <w:tcW w:w="428" w:type="pct"/>
            <w:shd w:val="clear" w:color="auto" w:fill="auto"/>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bidi="ar-SA"/>
              </w:rPr>
            </w:pPr>
            <w:r>
              <w:rPr>
                <w:rFonts w:hint="eastAsia" w:ascii="Times New Roman" w:hAnsi="Times New Roman" w:cs="Times New Roman"/>
                <w:b/>
                <w:bCs/>
                <w:color w:val="auto"/>
                <w:sz w:val="21"/>
                <w:szCs w:val="21"/>
                <w:lang w:val="en-US" w:eastAsia="zh-CN"/>
              </w:rPr>
              <w:t>W4</w:t>
            </w:r>
          </w:p>
        </w:tc>
        <w:tc>
          <w:tcPr>
            <w:tcW w:w="428" w:type="pct"/>
            <w:shd w:val="clear" w:color="auto" w:fill="auto"/>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bidi="ar-SA"/>
              </w:rPr>
            </w:pPr>
            <w:r>
              <w:rPr>
                <w:rFonts w:hint="eastAsia" w:ascii="Times New Roman" w:hAnsi="Times New Roman" w:cs="Times New Roman"/>
                <w:b/>
                <w:bCs/>
                <w:color w:val="auto"/>
                <w:sz w:val="21"/>
                <w:szCs w:val="21"/>
                <w:lang w:val="en-US" w:eastAsia="zh-CN"/>
              </w:rPr>
              <w:t>W5</w:t>
            </w:r>
          </w:p>
        </w:tc>
        <w:tc>
          <w:tcPr>
            <w:tcW w:w="428" w:type="pct"/>
            <w:shd w:val="clear" w:color="auto" w:fill="auto"/>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bidi="ar-SA"/>
              </w:rPr>
            </w:pPr>
            <w:r>
              <w:rPr>
                <w:rFonts w:hint="eastAsia" w:ascii="Times New Roman" w:hAnsi="Times New Roman" w:cs="Times New Roman"/>
                <w:b/>
                <w:bCs/>
                <w:color w:val="auto"/>
                <w:sz w:val="21"/>
                <w:szCs w:val="21"/>
                <w:lang w:val="en-US" w:eastAsia="zh-CN"/>
              </w:rPr>
              <w:t>W6</w:t>
            </w:r>
          </w:p>
        </w:tc>
        <w:tc>
          <w:tcPr>
            <w:tcW w:w="428" w:type="pct"/>
            <w:shd w:val="clear" w:color="auto" w:fill="auto"/>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bidi="ar-SA"/>
              </w:rPr>
            </w:pPr>
            <w:r>
              <w:rPr>
                <w:rFonts w:hint="eastAsia" w:ascii="Times New Roman" w:hAnsi="Times New Roman" w:cs="Times New Roman"/>
                <w:b/>
                <w:bCs/>
                <w:color w:val="auto"/>
                <w:sz w:val="21"/>
                <w:szCs w:val="21"/>
                <w:lang w:val="en-US" w:eastAsia="zh-CN"/>
              </w:rPr>
              <w:t>W7</w:t>
            </w:r>
          </w:p>
        </w:tc>
        <w:tc>
          <w:tcPr>
            <w:tcW w:w="432" w:type="pct"/>
            <w:shd w:val="clear" w:color="auto" w:fill="auto"/>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bidi="ar-SA"/>
              </w:rPr>
            </w:pPr>
            <w:r>
              <w:rPr>
                <w:rFonts w:hint="eastAsia" w:ascii="Times New Roman" w:hAnsi="Times New Roman" w:cs="Times New Roman"/>
                <w:b/>
                <w:bCs/>
                <w:color w:val="auto"/>
                <w:sz w:val="21"/>
                <w:szCs w:val="21"/>
                <w:lang w:val="en-US" w:eastAsia="zh-CN"/>
              </w:rPr>
              <w:t>W8</w:t>
            </w:r>
          </w:p>
        </w:tc>
        <w:tc>
          <w:tcPr>
            <w:tcW w:w="461" w:type="pct"/>
            <w:vMerge w:val="restar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
                <w:bCs/>
                <w:color w:val="auto"/>
                <w:sz w:val="21"/>
                <w:szCs w:val="21"/>
                <w:lang w:val="en-US" w:eastAsia="zh-CN"/>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1"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检测项目</w:t>
            </w:r>
          </w:p>
        </w:tc>
        <w:tc>
          <w:tcPr>
            <w:tcW w:w="334"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单位</w:t>
            </w:r>
          </w:p>
        </w:tc>
        <w:tc>
          <w:tcPr>
            <w:tcW w:w="363"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检出限</w:t>
            </w:r>
          </w:p>
        </w:tc>
        <w:tc>
          <w:tcPr>
            <w:tcW w:w="3418" w:type="pct"/>
            <w:gridSpan w:val="8"/>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检测结果</w:t>
            </w:r>
          </w:p>
        </w:tc>
        <w:tc>
          <w:tcPr>
            <w:tcW w:w="461" w:type="pct"/>
            <w:vMerge w:val="continue"/>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1" w:type="pct"/>
            <w:vAlign w:val="center"/>
          </w:tcPr>
          <w:p>
            <w:pPr>
              <w:snapToGrid w:val="0"/>
              <w:spacing w:line="28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highlight w:val="none"/>
                <w:lang w:val="en-US" w:eastAsia="zh-CN"/>
              </w:rPr>
              <w:t>pH</w:t>
            </w:r>
          </w:p>
        </w:tc>
        <w:tc>
          <w:tcPr>
            <w:tcW w:w="334" w:type="pct"/>
            <w:vAlign w:val="center"/>
          </w:tcPr>
          <w:p>
            <w:pPr>
              <w:snapToGrid w:val="0"/>
              <w:spacing w:line="28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mg/L</w:t>
            </w:r>
          </w:p>
        </w:tc>
        <w:tc>
          <w:tcPr>
            <w:tcW w:w="363" w:type="pct"/>
            <w:vAlign w:val="center"/>
          </w:tcPr>
          <w:p>
            <w:pPr>
              <w:snapToGrid w:val="0"/>
              <w:spacing w:line="28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w:t>
            </w:r>
          </w:p>
        </w:tc>
        <w:tc>
          <w:tcPr>
            <w:tcW w:w="417"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7.52</w:t>
            </w:r>
          </w:p>
        </w:tc>
        <w:tc>
          <w:tcPr>
            <w:tcW w:w="42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7.50</w:t>
            </w:r>
          </w:p>
        </w:tc>
        <w:tc>
          <w:tcPr>
            <w:tcW w:w="42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7.54</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7.56</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7.58</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7.59</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7.61</w:t>
            </w:r>
          </w:p>
        </w:tc>
        <w:tc>
          <w:tcPr>
            <w:tcW w:w="432"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7.60</w:t>
            </w:r>
          </w:p>
        </w:tc>
        <w:tc>
          <w:tcPr>
            <w:tcW w:w="461" w:type="pct"/>
            <w:vAlign w:val="center"/>
          </w:tcPr>
          <w:p>
            <w:pPr>
              <w:snapToGrid w:val="0"/>
              <w:spacing w:line="28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1"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highlight w:val="none"/>
                <w:lang w:val="en-US" w:eastAsia="zh-CN"/>
              </w:rPr>
              <w:t>DO</w:t>
            </w:r>
          </w:p>
        </w:tc>
        <w:tc>
          <w:tcPr>
            <w:tcW w:w="334"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mg/L</w:t>
            </w:r>
          </w:p>
        </w:tc>
        <w:tc>
          <w:tcPr>
            <w:tcW w:w="363"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w:t>
            </w:r>
          </w:p>
        </w:tc>
        <w:tc>
          <w:tcPr>
            <w:tcW w:w="417"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5.68</w:t>
            </w:r>
          </w:p>
        </w:tc>
        <w:tc>
          <w:tcPr>
            <w:tcW w:w="42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5.76</w:t>
            </w:r>
          </w:p>
        </w:tc>
        <w:tc>
          <w:tcPr>
            <w:tcW w:w="42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5.69</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5.64</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5.51</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5.53</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5.50</w:t>
            </w:r>
          </w:p>
        </w:tc>
        <w:tc>
          <w:tcPr>
            <w:tcW w:w="432"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5.60</w:t>
            </w:r>
          </w:p>
        </w:tc>
        <w:tc>
          <w:tcPr>
            <w:tcW w:w="461"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1"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highlight w:val="none"/>
                <w:lang w:val="en-US" w:eastAsia="zh-CN"/>
              </w:rPr>
              <w:t>叶绿素a</w:t>
            </w:r>
          </w:p>
        </w:tc>
        <w:tc>
          <w:tcPr>
            <w:tcW w:w="334"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mg/L</w:t>
            </w:r>
          </w:p>
        </w:tc>
        <w:tc>
          <w:tcPr>
            <w:tcW w:w="363"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2</w:t>
            </w:r>
          </w:p>
        </w:tc>
        <w:tc>
          <w:tcPr>
            <w:tcW w:w="417"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ND</w:t>
            </w:r>
          </w:p>
        </w:tc>
        <w:tc>
          <w:tcPr>
            <w:tcW w:w="42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ND</w:t>
            </w:r>
          </w:p>
        </w:tc>
        <w:tc>
          <w:tcPr>
            <w:tcW w:w="42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ND</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ND</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ND</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ND</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ND</w:t>
            </w:r>
          </w:p>
        </w:tc>
        <w:tc>
          <w:tcPr>
            <w:tcW w:w="432"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ND</w:t>
            </w:r>
          </w:p>
        </w:tc>
        <w:tc>
          <w:tcPr>
            <w:tcW w:w="461"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1"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highlight w:val="none"/>
                <w:lang w:val="en-US" w:eastAsia="zh-CN"/>
              </w:rPr>
              <w:t>COD</w:t>
            </w:r>
            <w:r>
              <w:rPr>
                <w:rFonts w:hint="eastAsia" w:ascii="Times New Roman" w:hAnsi="Times New Roman" w:eastAsia="宋体" w:cs="Times New Roman"/>
                <w:color w:val="auto"/>
                <w:sz w:val="21"/>
                <w:szCs w:val="21"/>
                <w:highlight w:val="none"/>
                <w:vertAlign w:val="subscript"/>
                <w:lang w:val="en-US" w:eastAsia="zh-CN"/>
              </w:rPr>
              <w:t>Mn</w:t>
            </w:r>
          </w:p>
        </w:tc>
        <w:tc>
          <w:tcPr>
            <w:tcW w:w="334"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mg/L</w:t>
            </w:r>
          </w:p>
        </w:tc>
        <w:tc>
          <w:tcPr>
            <w:tcW w:w="363"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lang w:val="en-US" w:eastAsia="zh-CN"/>
              </w:rPr>
              <w:t>0.5μg/L</w:t>
            </w:r>
          </w:p>
        </w:tc>
        <w:tc>
          <w:tcPr>
            <w:tcW w:w="417"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3.2</w:t>
            </w:r>
          </w:p>
        </w:tc>
        <w:tc>
          <w:tcPr>
            <w:tcW w:w="42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3.1</w:t>
            </w:r>
          </w:p>
        </w:tc>
        <w:tc>
          <w:tcPr>
            <w:tcW w:w="42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3.1</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3.1</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3.1</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3.3</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3.3</w:t>
            </w:r>
          </w:p>
        </w:tc>
        <w:tc>
          <w:tcPr>
            <w:tcW w:w="432"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3.2</w:t>
            </w:r>
          </w:p>
        </w:tc>
        <w:tc>
          <w:tcPr>
            <w:tcW w:w="461"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1"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highlight w:val="none"/>
                <w:lang w:val="en-US" w:eastAsia="zh-CN"/>
              </w:rPr>
              <w:t>SS</w:t>
            </w:r>
          </w:p>
        </w:tc>
        <w:tc>
          <w:tcPr>
            <w:tcW w:w="334"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mg/L</w:t>
            </w:r>
          </w:p>
        </w:tc>
        <w:tc>
          <w:tcPr>
            <w:tcW w:w="363"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w:t>
            </w:r>
          </w:p>
        </w:tc>
        <w:tc>
          <w:tcPr>
            <w:tcW w:w="417"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69</w:t>
            </w:r>
          </w:p>
        </w:tc>
        <w:tc>
          <w:tcPr>
            <w:tcW w:w="42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66</w:t>
            </w:r>
          </w:p>
        </w:tc>
        <w:tc>
          <w:tcPr>
            <w:tcW w:w="42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59</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71</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63</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64</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65</w:t>
            </w:r>
          </w:p>
        </w:tc>
        <w:tc>
          <w:tcPr>
            <w:tcW w:w="432"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67</w:t>
            </w:r>
          </w:p>
        </w:tc>
        <w:tc>
          <w:tcPr>
            <w:tcW w:w="461"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1"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highlight w:val="none"/>
                <w:lang w:val="en-US" w:eastAsia="zh-CN"/>
              </w:rPr>
              <w:t>NH</w:t>
            </w:r>
            <w:r>
              <w:rPr>
                <w:rFonts w:hint="eastAsia" w:ascii="Times New Roman" w:hAnsi="Times New Roman" w:eastAsia="宋体" w:cs="Times New Roman"/>
                <w:color w:val="auto"/>
                <w:sz w:val="21"/>
                <w:szCs w:val="21"/>
                <w:highlight w:val="none"/>
                <w:vertAlign w:val="subscript"/>
                <w:lang w:val="en-US" w:eastAsia="zh-CN"/>
              </w:rPr>
              <w:t>3</w:t>
            </w:r>
            <w:r>
              <w:rPr>
                <w:rFonts w:hint="eastAsia" w:ascii="Times New Roman" w:hAnsi="Times New Roman" w:eastAsia="宋体" w:cs="Times New Roman"/>
                <w:color w:val="auto"/>
                <w:sz w:val="21"/>
                <w:szCs w:val="21"/>
                <w:highlight w:val="none"/>
                <w:lang w:val="en-US" w:eastAsia="zh-CN"/>
              </w:rPr>
              <w:t>-N</w:t>
            </w:r>
          </w:p>
        </w:tc>
        <w:tc>
          <w:tcPr>
            <w:tcW w:w="334"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mg/L</w:t>
            </w:r>
          </w:p>
        </w:tc>
        <w:tc>
          <w:tcPr>
            <w:tcW w:w="363"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0.025</w:t>
            </w:r>
          </w:p>
        </w:tc>
        <w:tc>
          <w:tcPr>
            <w:tcW w:w="417"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0.061</w:t>
            </w:r>
          </w:p>
        </w:tc>
        <w:tc>
          <w:tcPr>
            <w:tcW w:w="42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0.057</w:t>
            </w:r>
          </w:p>
        </w:tc>
        <w:tc>
          <w:tcPr>
            <w:tcW w:w="42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0.079</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0.062</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0.099</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0.136</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0.093</w:t>
            </w:r>
          </w:p>
        </w:tc>
        <w:tc>
          <w:tcPr>
            <w:tcW w:w="432"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0.168</w:t>
            </w:r>
          </w:p>
        </w:tc>
        <w:tc>
          <w:tcPr>
            <w:tcW w:w="461"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1"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highlight w:val="none"/>
                <w:lang w:val="en-US" w:eastAsia="zh-CN"/>
              </w:rPr>
              <w:t>TP</w:t>
            </w:r>
          </w:p>
        </w:tc>
        <w:tc>
          <w:tcPr>
            <w:tcW w:w="334"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mg/L</w:t>
            </w:r>
          </w:p>
        </w:tc>
        <w:tc>
          <w:tcPr>
            <w:tcW w:w="363"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0.01</w:t>
            </w:r>
          </w:p>
        </w:tc>
        <w:tc>
          <w:tcPr>
            <w:tcW w:w="417"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0.05</w:t>
            </w:r>
          </w:p>
        </w:tc>
        <w:tc>
          <w:tcPr>
            <w:tcW w:w="42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0.05</w:t>
            </w:r>
          </w:p>
        </w:tc>
        <w:tc>
          <w:tcPr>
            <w:tcW w:w="42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0.04</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0.05</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0.05</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0.04</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0.04</w:t>
            </w:r>
          </w:p>
        </w:tc>
        <w:tc>
          <w:tcPr>
            <w:tcW w:w="432"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0.03</w:t>
            </w:r>
          </w:p>
        </w:tc>
        <w:tc>
          <w:tcPr>
            <w:tcW w:w="461"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0.025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1"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highlight w:val="none"/>
                <w:lang w:val="en-US" w:eastAsia="zh-CN"/>
              </w:rPr>
              <w:t>TN</w:t>
            </w:r>
          </w:p>
        </w:tc>
        <w:tc>
          <w:tcPr>
            <w:tcW w:w="334"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mg/L</w:t>
            </w:r>
          </w:p>
        </w:tc>
        <w:tc>
          <w:tcPr>
            <w:tcW w:w="363"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0.05</w:t>
            </w:r>
          </w:p>
        </w:tc>
        <w:tc>
          <w:tcPr>
            <w:tcW w:w="417"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0.42</w:t>
            </w:r>
          </w:p>
        </w:tc>
        <w:tc>
          <w:tcPr>
            <w:tcW w:w="42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0.37</w:t>
            </w:r>
          </w:p>
        </w:tc>
        <w:tc>
          <w:tcPr>
            <w:tcW w:w="428" w:type="pct"/>
            <w:shd w:val="clear" w:color="auto" w:fill="C8C8C8" w:themeFill="accent3" w:themeFillTint="99"/>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1.23</w:t>
            </w:r>
          </w:p>
        </w:tc>
        <w:tc>
          <w:tcPr>
            <w:tcW w:w="428" w:type="pct"/>
            <w:shd w:val="clear" w:color="auto" w:fill="C8C8C8" w:themeFill="accent3" w:themeFillTint="99"/>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1.31</w:t>
            </w:r>
          </w:p>
        </w:tc>
        <w:tc>
          <w:tcPr>
            <w:tcW w:w="428" w:type="pct"/>
            <w:shd w:val="clear" w:color="auto" w:fill="C8C8C8" w:themeFill="accent3" w:themeFillTint="99"/>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1.39</w:t>
            </w:r>
          </w:p>
        </w:tc>
        <w:tc>
          <w:tcPr>
            <w:tcW w:w="428" w:type="pct"/>
            <w:shd w:val="clear" w:color="auto" w:fill="C8C8C8" w:themeFill="accent3" w:themeFillTint="99"/>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1.60</w:t>
            </w:r>
          </w:p>
        </w:tc>
        <w:tc>
          <w:tcPr>
            <w:tcW w:w="428" w:type="pct"/>
            <w:shd w:val="clear" w:color="auto" w:fill="C8C8C8" w:themeFill="accent3" w:themeFillTint="99"/>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1.79</w:t>
            </w:r>
          </w:p>
        </w:tc>
        <w:tc>
          <w:tcPr>
            <w:tcW w:w="432" w:type="pct"/>
            <w:shd w:val="clear" w:color="auto" w:fill="C8C8C8" w:themeFill="accent3" w:themeFillTint="99"/>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1.23</w:t>
            </w:r>
          </w:p>
        </w:tc>
        <w:tc>
          <w:tcPr>
            <w:tcW w:w="461"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20" w:type="pct"/>
            <w:gridSpan w:val="3"/>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bidi="ar-SA"/>
              </w:rPr>
            </w:pPr>
            <w:r>
              <w:rPr>
                <w:rFonts w:hint="eastAsia" w:ascii="Times New Roman" w:hAnsi="Times New Roman" w:cs="Times New Roman"/>
                <w:b/>
                <w:bCs/>
                <w:color w:val="auto"/>
                <w:sz w:val="21"/>
                <w:szCs w:val="21"/>
                <w:lang w:val="en-US" w:eastAsia="zh-CN"/>
              </w:rPr>
              <w:t>采样日期</w:t>
            </w:r>
          </w:p>
        </w:tc>
        <w:tc>
          <w:tcPr>
            <w:tcW w:w="3879" w:type="pct"/>
            <w:gridSpan w:val="9"/>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bidi="ar-SA"/>
              </w:rPr>
            </w:pPr>
            <w:r>
              <w:rPr>
                <w:rFonts w:hint="eastAsia" w:ascii="Times New Roman" w:hAnsi="Times New Roman" w:cs="Times New Roman"/>
                <w:b/>
                <w:bCs/>
                <w:color w:val="auto"/>
                <w:sz w:val="21"/>
                <w:szCs w:val="21"/>
                <w:lang w:val="en-US" w:eastAsia="zh-CN"/>
              </w:rPr>
              <w:t>2021.6.27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5" w:hRule="atLeast"/>
        </w:trPr>
        <w:tc>
          <w:tcPr>
            <w:tcW w:w="1120" w:type="pct"/>
            <w:gridSpan w:val="3"/>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b/>
                <w:bCs/>
                <w:sz w:val="21"/>
                <w:szCs w:val="21"/>
                <w:lang w:val="en-US" w:eastAsia="zh-CN"/>
              </w:rPr>
              <w:t>断面名称</w:t>
            </w:r>
          </w:p>
        </w:tc>
        <w:tc>
          <w:tcPr>
            <w:tcW w:w="417" w:type="pct"/>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bidi="ar-SA"/>
              </w:rPr>
            </w:pPr>
            <w:r>
              <w:rPr>
                <w:rFonts w:hint="eastAsia" w:ascii="Times New Roman" w:hAnsi="Times New Roman" w:cs="Times New Roman"/>
                <w:b/>
                <w:bCs/>
                <w:color w:val="auto"/>
                <w:sz w:val="21"/>
                <w:szCs w:val="21"/>
                <w:lang w:val="en-US" w:eastAsia="zh-CN"/>
              </w:rPr>
              <w:t>W1</w:t>
            </w:r>
          </w:p>
        </w:tc>
        <w:tc>
          <w:tcPr>
            <w:tcW w:w="428" w:type="pct"/>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bidi="ar-SA"/>
              </w:rPr>
            </w:pPr>
            <w:r>
              <w:rPr>
                <w:rFonts w:hint="eastAsia" w:ascii="Times New Roman" w:hAnsi="Times New Roman" w:cs="Times New Roman"/>
                <w:b/>
                <w:bCs/>
                <w:color w:val="auto"/>
                <w:sz w:val="21"/>
                <w:szCs w:val="21"/>
                <w:lang w:val="en-US" w:eastAsia="zh-CN"/>
              </w:rPr>
              <w:t>W2</w:t>
            </w:r>
          </w:p>
        </w:tc>
        <w:tc>
          <w:tcPr>
            <w:tcW w:w="428" w:type="pct"/>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bidi="ar-SA"/>
              </w:rPr>
            </w:pPr>
            <w:r>
              <w:rPr>
                <w:rFonts w:hint="eastAsia" w:ascii="Times New Roman" w:hAnsi="Times New Roman" w:cs="Times New Roman"/>
                <w:b/>
                <w:bCs/>
                <w:color w:val="auto"/>
                <w:sz w:val="21"/>
                <w:szCs w:val="21"/>
                <w:lang w:val="en-US" w:eastAsia="zh-CN"/>
              </w:rPr>
              <w:t>W3</w:t>
            </w:r>
          </w:p>
        </w:tc>
        <w:tc>
          <w:tcPr>
            <w:tcW w:w="428" w:type="pct"/>
            <w:shd w:val="clear" w:color="auto" w:fill="auto"/>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bidi="ar-SA"/>
              </w:rPr>
            </w:pPr>
            <w:r>
              <w:rPr>
                <w:rFonts w:hint="eastAsia" w:ascii="Times New Roman" w:hAnsi="Times New Roman" w:cs="Times New Roman"/>
                <w:b/>
                <w:bCs/>
                <w:color w:val="auto"/>
                <w:sz w:val="21"/>
                <w:szCs w:val="21"/>
                <w:lang w:val="en-US" w:eastAsia="zh-CN"/>
              </w:rPr>
              <w:t>W4</w:t>
            </w:r>
          </w:p>
        </w:tc>
        <w:tc>
          <w:tcPr>
            <w:tcW w:w="428" w:type="pct"/>
            <w:shd w:val="clear" w:color="auto" w:fill="auto"/>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bidi="ar-SA"/>
              </w:rPr>
            </w:pPr>
            <w:r>
              <w:rPr>
                <w:rFonts w:hint="eastAsia" w:ascii="Times New Roman" w:hAnsi="Times New Roman" w:cs="Times New Roman"/>
                <w:b/>
                <w:bCs/>
                <w:color w:val="auto"/>
                <w:sz w:val="21"/>
                <w:szCs w:val="21"/>
                <w:lang w:val="en-US" w:eastAsia="zh-CN"/>
              </w:rPr>
              <w:t>W5</w:t>
            </w:r>
          </w:p>
        </w:tc>
        <w:tc>
          <w:tcPr>
            <w:tcW w:w="428" w:type="pct"/>
            <w:shd w:val="clear" w:color="auto" w:fill="auto"/>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bidi="ar-SA"/>
              </w:rPr>
            </w:pPr>
            <w:r>
              <w:rPr>
                <w:rFonts w:hint="eastAsia" w:ascii="Times New Roman" w:hAnsi="Times New Roman" w:cs="Times New Roman"/>
                <w:b/>
                <w:bCs/>
                <w:color w:val="auto"/>
                <w:sz w:val="21"/>
                <w:szCs w:val="21"/>
                <w:lang w:val="en-US" w:eastAsia="zh-CN"/>
              </w:rPr>
              <w:t>W6</w:t>
            </w:r>
          </w:p>
        </w:tc>
        <w:tc>
          <w:tcPr>
            <w:tcW w:w="428" w:type="pct"/>
            <w:shd w:val="clear" w:color="auto" w:fill="auto"/>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bidi="ar-SA"/>
              </w:rPr>
            </w:pPr>
            <w:r>
              <w:rPr>
                <w:rFonts w:hint="eastAsia" w:ascii="Times New Roman" w:hAnsi="Times New Roman" w:cs="Times New Roman"/>
                <w:b/>
                <w:bCs/>
                <w:color w:val="auto"/>
                <w:sz w:val="21"/>
                <w:szCs w:val="21"/>
                <w:lang w:val="en-US" w:eastAsia="zh-CN"/>
              </w:rPr>
              <w:t>W7</w:t>
            </w:r>
          </w:p>
        </w:tc>
        <w:tc>
          <w:tcPr>
            <w:tcW w:w="432" w:type="pct"/>
            <w:shd w:val="clear" w:color="auto" w:fill="auto"/>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bidi="ar-SA"/>
              </w:rPr>
            </w:pPr>
            <w:r>
              <w:rPr>
                <w:rFonts w:hint="eastAsia" w:ascii="Times New Roman" w:hAnsi="Times New Roman" w:cs="Times New Roman"/>
                <w:b/>
                <w:bCs/>
                <w:color w:val="auto"/>
                <w:sz w:val="21"/>
                <w:szCs w:val="21"/>
                <w:lang w:val="en-US" w:eastAsia="zh-CN"/>
              </w:rPr>
              <w:t>W8</w:t>
            </w:r>
          </w:p>
        </w:tc>
        <w:tc>
          <w:tcPr>
            <w:tcW w:w="461" w:type="pct"/>
            <w:vMerge w:val="restar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
                <w:bCs/>
                <w:color w:val="auto"/>
                <w:sz w:val="21"/>
                <w:szCs w:val="21"/>
                <w:lang w:val="en-US" w:eastAsia="zh-CN"/>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1"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检测项目</w:t>
            </w:r>
          </w:p>
        </w:tc>
        <w:tc>
          <w:tcPr>
            <w:tcW w:w="334"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单位</w:t>
            </w:r>
          </w:p>
        </w:tc>
        <w:tc>
          <w:tcPr>
            <w:tcW w:w="363"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检出限</w:t>
            </w:r>
          </w:p>
        </w:tc>
        <w:tc>
          <w:tcPr>
            <w:tcW w:w="3418" w:type="pct"/>
            <w:gridSpan w:val="8"/>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检测结果</w:t>
            </w:r>
          </w:p>
        </w:tc>
        <w:tc>
          <w:tcPr>
            <w:tcW w:w="461" w:type="pct"/>
            <w:vMerge w:val="continue"/>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1" w:type="pct"/>
            <w:vAlign w:val="center"/>
          </w:tcPr>
          <w:p>
            <w:pPr>
              <w:snapToGrid w:val="0"/>
              <w:spacing w:line="280" w:lineRule="exact"/>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highlight w:val="none"/>
                <w:lang w:val="en-US" w:eastAsia="zh-CN"/>
              </w:rPr>
              <w:t>pH</w:t>
            </w:r>
          </w:p>
        </w:tc>
        <w:tc>
          <w:tcPr>
            <w:tcW w:w="334" w:type="pct"/>
            <w:vAlign w:val="center"/>
          </w:tcPr>
          <w:p>
            <w:pPr>
              <w:widowControl w:val="0"/>
              <w:spacing w:line="32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mg/L</w:t>
            </w:r>
          </w:p>
        </w:tc>
        <w:tc>
          <w:tcPr>
            <w:tcW w:w="363" w:type="pct"/>
            <w:vAlign w:val="center"/>
          </w:tcPr>
          <w:p>
            <w:pPr>
              <w:snapToGrid w:val="0"/>
              <w:spacing w:line="280" w:lineRule="exact"/>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w:t>
            </w:r>
          </w:p>
        </w:tc>
        <w:tc>
          <w:tcPr>
            <w:tcW w:w="417"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7.65</w:t>
            </w:r>
          </w:p>
        </w:tc>
        <w:tc>
          <w:tcPr>
            <w:tcW w:w="42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7.68</w:t>
            </w:r>
          </w:p>
        </w:tc>
        <w:tc>
          <w:tcPr>
            <w:tcW w:w="42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7.58</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7.60</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7.62</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7.59</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7.63</w:t>
            </w:r>
          </w:p>
        </w:tc>
        <w:tc>
          <w:tcPr>
            <w:tcW w:w="432"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7.64</w:t>
            </w:r>
          </w:p>
        </w:tc>
        <w:tc>
          <w:tcPr>
            <w:tcW w:w="461" w:type="pct"/>
            <w:vAlign w:val="center"/>
          </w:tcPr>
          <w:p>
            <w:pPr>
              <w:snapToGrid w:val="0"/>
              <w:spacing w:line="28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1" w:type="pct"/>
            <w:vAlign w:val="center"/>
          </w:tcPr>
          <w:p>
            <w:pPr>
              <w:widowControl w:val="0"/>
              <w:spacing w:line="320" w:lineRule="exact"/>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highlight w:val="none"/>
                <w:lang w:val="en-US" w:eastAsia="zh-CN"/>
              </w:rPr>
              <w:t>DO</w:t>
            </w:r>
          </w:p>
        </w:tc>
        <w:tc>
          <w:tcPr>
            <w:tcW w:w="334" w:type="pct"/>
            <w:vAlign w:val="center"/>
          </w:tcPr>
          <w:p>
            <w:pPr>
              <w:widowControl w:val="0"/>
              <w:spacing w:line="32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mg/L</w:t>
            </w:r>
          </w:p>
        </w:tc>
        <w:tc>
          <w:tcPr>
            <w:tcW w:w="363" w:type="pct"/>
            <w:vAlign w:val="center"/>
          </w:tcPr>
          <w:p>
            <w:pPr>
              <w:widowControl w:val="0"/>
              <w:spacing w:line="320" w:lineRule="exact"/>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w:t>
            </w:r>
          </w:p>
        </w:tc>
        <w:tc>
          <w:tcPr>
            <w:tcW w:w="417"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5.70</w:t>
            </w:r>
          </w:p>
        </w:tc>
        <w:tc>
          <w:tcPr>
            <w:tcW w:w="42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5.72</w:t>
            </w:r>
          </w:p>
        </w:tc>
        <w:tc>
          <w:tcPr>
            <w:tcW w:w="42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5.67</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5.63</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5.57</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5.54</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5.51</w:t>
            </w:r>
          </w:p>
        </w:tc>
        <w:tc>
          <w:tcPr>
            <w:tcW w:w="432"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5.53</w:t>
            </w:r>
          </w:p>
        </w:tc>
        <w:tc>
          <w:tcPr>
            <w:tcW w:w="461"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1" w:type="pct"/>
            <w:vAlign w:val="center"/>
          </w:tcPr>
          <w:p>
            <w:pPr>
              <w:widowControl w:val="0"/>
              <w:spacing w:line="320" w:lineRule="exact"/>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highlight w:val="none"/>
                <w:lang w:val="en-US" w:eastAsia="zh-CN"/>
              </w:rPr>
              <w:t>叶绿素a</w:t>
            </w:r>
          </w:p>
        </w:tc>
        <w:tc>
          <w:tcPr>
            <w:tcW w:w="334" w:type="pct"/>
            <w:vAlign w:val="center"/>
          </w:tcPr>
          <w:p>
            <w:pPr>
              <w:widowControl w:val="0"/>
              <w:spacing w:line="32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mg/L</w:t>
            </w:r>
          </w:p>
        </w:tc>
        <w:tc>
          <w:tcPr>
            <w:tcW w:w="363" w:type="pct"/>
            <w:vAlign w:val="center"/>
          </w:tcPr>
          <w:p>
            <w:pPr>
              <w:widowControl w:val="0"/>
              <w:spacing w:line="320" w:lineRule="exact"/>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2</w:t>
            </w:r>
          </w:p>
        </w:tc>
        <w:tc>
          <w:tcPr>
            <w:tcW w:w="417"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ND</w:t>
            </w:r>
          </w:p>
        </w:tc>
        <w:tc>
          <w:tcPr>
            <w:tcW w:w="42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ND</w:t>
            </w:r>
          </w:p>
        </w:tc>
        <w:tc>
          <w:tcPr>
            <w:tcW w:w="42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ND</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ND</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ND</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ND</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ND</w:t>
            </w:r>
          </w:p>
        </w:tc>
        <w:tc>
          <w:tcPr>
            <w:tcW w:w="432"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ND</w:t>
            </w:r>
          </w:p>
        </w:tc>
        <w:tc>
          <w:tcPr>
            <w:tcW w:w="461"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1" w:type="pct"/>
            <w:vAlign w:val="center"/>
          </w:tcPr>
          <w:p>
            <w:pPr>
              <w:widowControl w:val="0"/>
              <w:spacing w:line="320" w:lineRule="exact"/>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highlight w:val="none"/>
                <w:lang w:val="en-US" w:eastAsia="zh-CN"/>
              </w:rPr>
              <w:t>COD</w:t>
            </w:r>
            <w:r>
              <w:rPr>
                <w:rFonts w:hint="eastAsia" w:ascii="Times New Roman" w:hAnsi="Times New Roman" w:eastAsia="宋体" w:cs="Times New Roman"/>
                <w:color w:val="auto"/>
                <w:sz w:val="21"/>
                <w:szCs w:val="21"/>
                <w:highlight w:val="none"/>
                <w:vertAlign w:val="subscript"/>
                <w:lang w:val="en-US" w:eastAsia="zh-CN"/>
              </w:rPr>
              <w:t>Mn</w:t>
            </w:r>
          </w:p>
        </w:tc>
        <w:tc>
          <w:tcPr>
            <w:tcW w:w="334" w:type="pct"/>
            <w:vAlign w:val="center"/>
          </w:tcPr>
          <w:p>
            <w:pPr>
              <w:widowControl w:val="0"/>
              <w:spacing w:line="32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mg/L</w:t>
            </w:r>
          </w:p>
        </w:tc>
        <w:tc>
          <w:tcPr>
            <w:tcW w:w="363" w:type="pct"/>
            <w:vAlign w:val="center"/>
          </w:tcPr>
          <w:p>
            <w:pPr>
              <w:widowControl w:val="0"/>
              <w:spacing w:line="320" w:lineRule="exact"/>
              <w:jc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lang w:val="en-US" w:eastAsia="zh-CN"/>
              </w:rPr>
              <w:t>0.5μg/L</w:t>
            </w:r>
          </w:p>
        </w:tc>
        <w:tc>
          <w:tcPr>
            <w:tcW w:w="417"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3.2</w:t>
            </w:r>
          </w:p>
        </w:tc>
        <w:tc>
          <w:tcPr>
            <w:tcW w:w="42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3.1</w:t>
            </w:r>
          </w:p>
        </w:tc>
        <w:tc>
          <w:tcPr>
            <w:tcW w:w="42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3.1</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3.1</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3.2</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3.3</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3.1</w:t>
            </w:r>
          </w:p>
        </w:tc>
        <w:tc>
          <w:tcPr>
            <w:tcW w:w="432"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3.1</w:t>
            </w:r>
          </w:p>
        </w:tc>
        <w:tc>
          <w:tcPr>
            <w:tcW w:w="461"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1" w:type="pct"/>
            <w:vAlign w:val="center"/>
          </w:tcPr>
          <w:p>
            <w:pPr>
              <w:widowControl w:val="0"/>
              <w:spacing w:line="320" w:lineRule="exact"/>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highlight w:val="none"/>
                <w:lang w:val="en-US" w:eastAsia="zh-CN"/>
              </w:rPr>
              <w:t>SS</w:t>
            </w:r>
          </w:p>
        </w:tc>
        <w:tc>
          <w:tcPr>
            <w:tcW w:w="334" w:type="pct"/>
            <w:vAlign w:val="center"/>
          </w:tcPr>
          <w:p>
            <w:pPr>
              <w:widowControl w:val="0"/>
              <w:spacing w:line="32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mg/L</w:t>
            </w:r>
          </w:p>
        </w:tc>
        <w:tc>
          <w:tcPr>
            <w:tcW w:w="363" w:type="pct"/>
            <w:vAlign w:val="center"/>
          </w:tcPr>
          <w:p>
            <w:pPr>
              <w:widowControl w:val="0"/>
              <w:spacing w:line="320" w:lineRule="exact"/>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w:t>
            </w:r>
          </w:p>
        </w:tc>
        <w:tc>
          <w:tcPr>
            <w:tcW w:w="417"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71</w:t>
            </w:r>
          </w:p>
        </w:tc>
        <w:tc>
          <w:tcPr>
            <w:tcW w:w="42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69</w:t>
            </w:r>
          </w:p>
        </w:tc>
        <w:tc>
          <w:tcPr>
            <w:tcW w:w="42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72</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68</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73</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69</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69</w:t>
            </w:r>
          </w:p>
        </w:tc>
        <w:tc>
          <w:tcPr>
            <w:tcW w:w="432"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71</w:t>
            </w:r>
          </w:p>
        </w:tc>
        <w:tc>
          <w:tcPr>
            <w:tcW w:w="461"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1" w:type="pct"/>
            <w:vAlign w:val="center"/>
          </w:tcPr>
          <w:p>
            <w:pPr>
              <w:widowControl w:val="0"/>
              <w:spacing w:line="320" w:lineRule="exact"/>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highlight w:val="none"/>
                <w:lang w:val="en-US" w:eastAsia="zh-CN"/>
              </w:rPr>
              <w:t>NH</w:t>
            </w:r>
            <w:r>
              <w:rPr>
                <w:rFonts w:hint="eastAsia" w:ascii="Times New Roman" w:hAnsi="Times New Roman" w:eastAsia="宋体" w:cs="Times New Roman"/>
                <w:color w:val="auto"/>
                <w:sz w:val="21"/>
                <w:szCs w:val="21"/>
                <w:highlight w:val="none"/>
                <w:vertAlign w:val="subscript"/>
                <w:lang w:val="en-US" w:eastAsia="zh-CN"/>
              </w:rPr>
              <w:t>3</w:t>
            </w:r>
            <w:r>
              <w:rPr>
                <w:rFonts w:hint="eastAsia" w:ascii="Times New Roman" w:hAnsi="Times New Roman" w:eastAsia="宋体" w:cs="Times New Roman"/>
                <w:color w:val="auto"/>
                <w:sz w:val="21"/>
                <w:szCs w:val="21"/>
                <w:highlight w:val="none"/>
                <w:lang w:val="en-US" w:eastAsia="zh-CN"/>
              </w:rPr>
              <w:t>-N</w:t>
            </w:r>
          </w:p>
        </w:tc>
        <w:tc>
          <w:tcPr>
            <w:tcW w:w="334" w:type="pct"/>
            <w:vAlign w:val="center"/>
          </w:tcPr>
          <w:p>
            <w:pPr>
              <w:widowControl w:val="0"/>
              <w:spacing w:line="32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mg/L</w:t>
            </w:r>
          </w:p>
        </w:tc>
        <w:tc>
          <w:tcPr>
            <w:tcW w:w="363" w:type="pct"/>
            <w:vAlign w:val="center"/>
          </w:tcPr>
          <w:p>
            <w:pPr>
              <w:widowControl w:val="0"/>
              <w:spacing w:line="320" w:lineRule="exact"/>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0.025</w:t>
            </w:r>
          </w:p>
        </w:tc>
        <w:tc>
          <w:tcPr>
            <w:tcW w:w="417"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0.062</w:t>
            </w:r>
          </w:p>
        </w:tc>
        <w:tc>
          <w:tcPr>
            <w:tcW w:w="42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0.068</w:t>
            </w:r>
          </w:p>
        </w:tc>
        <w:tc>
          <w:tcPr>
            <w:tcW w:w="42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0.074</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0.062</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0.099</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0.130</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0.093</w:t>
            </w:r>
          </w:p>
        </w:tc>
        <w:tc>
          <w:tcPr>
            <w:tcW w:w="432"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0.178</w:t>
            </w:r>
          </w:p>
        </w:tc>
        <w:tc>
          <w:tcPr>
            <w:tcW w:w="461"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5" w:hRule="atLeast"/>
        </w:trPr>
        <w:tc>
          <w:tcPr>
            <w:tcW w:w="421" w:type="pct"/>
            <w:vAlign w:val="center"/>
          </w:tcPr>
          <w:p>
            <w:pPr>
              <w:widowControl w:val="0"/>
              <w:spacing w:line="320" w:lineRule="exact"/>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highlight w:val="none"/>
                <w:lang w:val="en-US" w:eastAsia="zh-CN"/>
              </w:rPr>
              <w:t>TP</w:t>
            </w:r>
          </w:p>
        </w:tc>
        <w:tc>
          <w:tcPr>
            <w:tcW w:w="334" w:type="pct"/>
            <w:vAlign w:val="center"/>
          </w:tcPr>
          <w:p>
            <w:pPr>
              <w:widowControl w:val="0"/>
              <w:spacing w:line="32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mg/L</w:t>
            </w:r>
          </w:p>
        </w:tc>
        <w:tc>
          <w:tcPr>
            <w:tcW w:w="363" w:type="pct"/>
            <w:vAlign w:val="center"/>
          </w:tcPr>
          <w:p>
            <w:pPr>
              <w:widowControl w:val="0"/>
              <w:spacing w:line="320" w:lineRule="exact"/>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0.01</w:t>
            </w:r>
          </w:p>
        </w:tc>
        <w:tc>
          <w:tcPr>
            <w:tcW w:w="417"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0.03</w:t>
            </w:r>
          </w:p>
        </w:tc>
        <w:tc>
          <w:tcPr>
            <w:tcW w:w="42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0.03</w:t>
            </w:r>
          </w:p>
        </w:tc>
        <w:tc>
          <w:tcPr>
            <w:tcW w:w="42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0.03</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0.03</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0.03</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0.04</w:t>
            </w:r>
          </w:p>
        </w:tc>
        <w:tc>
          <w:tcPr>
            <w:tcW w:w="428"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0.04</w:t>
            </w:r>
          </w:p>
        </w:tc>
        <w:tc>
          <w:tcPr>
            <w:tcW w:w="432" w:type="pct"/>
            <w:shd w:val="clear" w:color="auto" w:fill="auto"/>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0.04</w:t>
            </w:r>
          </w:p>
        </w:tc>
        <w:tc>
          <w:tcPr>
            <w:tcW w:w="461"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0.025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1" w:type="pct"/>
            <w:vAlign w:val="center"/>
          </w:tcPr>
          <w:p>
            <w:pPr>
              <w:widowControl w:val="0"/>
              <w:spacing w:line="320" w:lineRule="exact"/>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highlight w:val="none"/>
                <w:lang w:val="en-US" w:eastAsia="zh-CN"/>
              </w:rPr>
              <w:t>TN</w:t>
            </w:r>
          </w:p>
        </w:tc>
        <w:tc>
          <w:tcPr>
            <w:tcW w:w="334" w:type="pct"/>
            <w:vAlign w:val="center"/>
          </w:tcPr>
          <w:p>
            <w:pPr>
              <w:widowControl w:val="0"/>
              <w:spacing w:line="32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mg/L</w:t>
            </w:r>
          </w:p>
        </w:tc>
        <w:tc>
          <w:tcPr>
            <w:tcW w:w="363" w:type="pct"/>
            <w:vAlign w:val="center"/>
          </w:tcPr>
          <w:p>
            <w:pPr>
              <w:widowControl w:val="0"/>
              <w:spacing w:line="320" w:lineRule="exact"/>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0.05</w:t>
            </w:r>
          </w:p>
        </w:tc>
        <w:tc>
          <w:tcPr>
            <w:tcW w:w="417"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0.43</w:t>
            </w:r>
          </w:p>
        </w:tc>
        <w:tc>
          <w:tcPr>
            <w:tcW w:w="428"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0.44</w:t>
            </w:r>
          </w:p>
        </w:tc>
        <w:tc>
          <w:tcPr>
            <w:tcW w:w="42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1.21</w:t>
            </w:r>
          </w:p>
        </w:tc>
        <w:tc>
          <w:tcPr>
            <w:tcW w:w="42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0.93</w:t>
            </w:r>
          </w:p>
        </w:tc>
        <w:tc>
          <w:tcPr>
            <w:tcW w:w="42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1.11</w:t>
            </w:r>
          </w:p>
        </w:tc>
        <w:tc>
          <w:tcPr>
            <w:tcW w:w="42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1.60</w:t>
            </w:r>
          </w:p>
        </w:tc>
        <w:tc>
          <w:tcPr>
            <w:tcW w:w="428"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1.42</w:t>
            </w:r>
          </w:p>
        </w:tc>
        <w:tc>
          <w:tcPr>
            <w:tcW w:w="432" w:type="pct"/>
            <w:shd w:val="clear" w:color="auto" w:fill="DADADA" w:themeFill="accent3" w:themeFillTint="66"/>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1.74</w:t>
            </w:r>
          </w:p>
        </w:tc>
        <w:tc>
          <w:tcPr>
            <w:tcW w:w="461"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0.5</w:t>
            </w:r>
          </w:p>
        </w:tc>
      </w:tr>
    </w:tbl>
    <w:p>
      <w:pPr>
        <w:widowControl w:val="0"/>
        <w:spacing w:line="480" w:lineRule="exact"/>
        <w:ind w:firstLine="480" w:firstLineChars="200"/>
        <w:jc w:val="both"/>
        <w:rPr>
          <w:rFonts w:hint="default" w:ascii="Times New Roman" w:hAnsi="Times New Roman" w:eastAsia="宋体" w:cs="Times New Roman"/>
          <w:color w:val="0000FF"/>
        </w:rPr>
      </w:pPr>
      <w:r>
        <w:rPr>
          <w:rFonts w:hint="eastAsia" w:cs="Times New Roman"/>
          <w:color w:val="auto"/>
          <w:lang w:val="en-US" w:eastAsia="zh-CN"/>
        </w:rPr>
        <w:t>根据上表监测结果可知，本次监测期间除总氮外，其余监测指标均能满足《地表水环境质量标准》(GB3838-2002)中II类标准值要求。</w:t>
      </w:r>
    </w:p>
    <w:p>
      <w:pPr>
        <w:widowControl w:val="0"/>
        <w:spacing w:line="480" w:lineRule="exact"/>
        <w:ind w:firstLine="480" w:firstLineChars="200"/>
        <w:rPr>
          <w:rFonts w:hint="default" w:ascii="Times New Roman" w:hAnsi="Times New Roman" w:eastAsia="宋体" w:cs="Times New Roman"/>
          <w:color w:val="0000FF"/>
        </w:rPr>
      </w:pPr>
    </w:p>
    <w:p>
      <w:pPr>
        <w:widowControl w:val="0"/>
        <w:spacing w:line="480" w:lineRule="exact"/>
        <w:ind w:firstLine="480" w:firstLineChars="200"/>
        <w:rPr>
          <w:rFonts w:hint="default" w:ascii="Times New Roman" w:hAnsi="Times New Roman" w:eastAsia="宋体" w:cs="Times New Roman"/>
          <w:color w:val="0000FF"/>
        </w:rPr>
        <w:sectPr>
          <w:pgSz w:w="16838" w:h="11905" w:orient="landscape"/>
          <w:pgMar w:top="1440" w:right="1797" w:bottom="1440" w:left="1797" w:header="850" w:footer="992" w:gutter="0"/>
          <w:pgBorders>
            <w:top w:val="none" w:sz="0" w:space="0"/>
            <w:left w:val="none" w:sz="0" w:space="0"/>
            <w:bottom w:val="none" w:sz="0" w:space="0"/>
            <w:right w:val="none" w:sz="0" w:space="0"/>
          </w:pgBorders>
          <w:pgNumType w:fmt="decimal"/>
          <w:cols w:space="0" w:num="1"/>
          <w:docGrid w:type="lines" w:linePitch="392" w:charSpace="0"/>
        </w:sectPr>
      </w:pPr>
    </w:p>
    <w:p>
      <w:pPr>
        <w:widowControl w:val="0"/>
        <w:spacing w:line="480" w:lineRule="exact"/>
        <w:ind w:firstLine="480" w:firstLineChars="200"/>
        <w:jc w:val="both"/>
        <w:rPr>
          <w:rFonts w:hint="default" w:ascii="Times New Roman" w:hAnsi="Times New Roman" w:eastAsia="宋体" w:cs="Times New Roman"/>
          <w:color w:val="auto"/>
          <w:lang w:val="en-US"/>
        </w:rPr>
      </w:pPr>
      <w:r>
        <w:rPr>
          <w:rFonts w:hint="eastAsia" w:cs="Times New Roman"/>
          <w:color w:val="auto"/>
          <w:lang w:val="en-US" w:eastAsia="zh-CN"/>
        </w:rPr>
        <w:t>根据监测结果可知，2018年1月~2020年11月渔洋山水源地总氮、总磷、高锰酸盐指数现状浓度基本都超过《地表水环境质量标准》(GB3838-2002)中II类标准值，本次监测期间总氮浓度超过《地表水环境质量标准》(GB3838-2002)中II类标准值。</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太湖湖泊总</w:t>
      </w:r>
      <w:r>
        <w:rPr>
          <w:rFonts w:hint="eastAsia" w:cs="Times New Roman"/>
          <w:color w:val="auto"/>
          <w:lang w:val="en-US" w:eastAsia="zh-CN"/>
        </w:rPr>
        <w:t>氮、总</w:t>
      </w:r>
      <w:r>
        <w:rPr>
          <w:rFonts w:hint="default" w:ascii="Times New Roman" w:hAnsi="Times New Roman" w:eastAsia="宋体" w:cs="Times New Roman"/>
          <w:color w:val="auto"/>
        </w:rPr>
        <w:t>磷</w:t>
      </w:r>
      <w:r>
        <w:rPr>
          <w:rFonts w:hint="eastAsia" w:cs="Times New Roman"/>
          <w:color w:val="auto"/>
          <w:lang w:eastAsia="zh-CN"/>
        </w:rPr>
        <w:t>、</w:t>
      </w:r>
      <w:r>
        <w:rPr>
          <w:rFonts w:hint="eastAsia" w:cs="Times New Roman"/>
          <w:color w:val="auto"/>
          <w:lang w:val="en-US" w:eastAsia="zh-CN"/>
        </w:rPr>
        <w:t>高锰酸盐指数</w:t>
      </w:r>
      <w:r>
        <w:rPr>
          <w:rFonts w:hint="default" w:ascii="Times New Roman" w:hAnsi="Times New Roman" w:eastAsia="宋体" w:cs="Times New Roman"/>
          <w:color w:val="auto"/>
        </w:rPr>
        <w:t>超标的是历史遗留问题，造成太湖总</w:t>
      </w:r>
      <w:r>
        <w:rPr>
          <w:rFonts w:hint="eastAsia" w:cs="Times New Roman"/>
          <w:color w:val="auto"/>
          <w:lang w:val="en-US" w:eastAsia="zh-CN"/>
        </w:rPr>
        <w:t>氮、总</w:t>
      </w:r>
      <w:r>
        <w:rPr>
          <w:rFonts w:hint="default" w:ascii="Times New Roman" w:hAnsi="Times New Roman" w:eastAsia="宋体" w:cs="Times New Roman"/>
          <w:color w:val="auto"/>
        </w:rPr>
        <w:t>磷</w:t>
      </w:r>
      <w:r>
        <w:rPr>
          <w:rFonts w:hint="eastAsia" w:cs="Times New Roman"/>
          <w:color w:val="auto"/>
          <w:lang w:eastAsia="zh-CN"/>
        </w:rPr>
        <w:t>、</w:t>
      </w:r>
      <w:r>
        <w:rPr>
          <w:rFonts w:hint="eastAsia" w:cs="Times New Roman"/>
          <w:color w:val="auto"/>
          <w:lang w:val="en-US" w:eastAsia="zh-CN"/>
        </w:rPr>
        <w:t>高锰酸盐指</w:t>
      </w:r>
      <w:r>
        <w:rPr>
          <w:rFonts w:hint="default" w:ascii="Times New Roman" w:hAnsi="Times New Roman" w:eastAsia="宋体" w:cs="Times New Roman"/>
          <w:color w:val="auto"/>
        </w:rPr>
        <w:t>超标的原因有：①虽然目前不再允许围网养殖，但是2019年之前太湖周边存在大量养殖户，养殖户施肥养鱼养蟹，肥料中含有大量的含</w:t>
      </w:r>
      <w:r>
        <w:rPr>
          <w:rFonts w:hint="eastAsia" w:cs="Times New Roman"/>
          <w:color w:val="auto"/>
          <w:lang w:val="en-US" w:eastAsia="zh-CN"/>
        </w:rPr>
        <w:t>氮磷</w:t>
      </w:r>
      <w:r>
        <w:rPr>
          <w:rFonts w:hint="default" w:ascii="Times New Roman" w:hAnsi="Times New Roman" w:eastAsia="宋体" w:cs="Times New Roman"/>
          <w:color w:val="auto"/>
        </w:rPr>
        <w:t>物质，这些物质通过太湖周边沟渠进入太湖；②太湖流域结构性污染十分严重，化工、纺织印染、黑色冶金依然是重点污染行业。由于乡镇企业的快速发展和布局的分散性、经营方式的多变性及其初级粗加工，造成的污染极为严重。③来自生活污水排放和农业面源污染。由于流域附近的城镇生活污水处理率和污水脱氮脱磷率低下、农业面源污染底数不清、污染防治还缺乏法律保障和有效的治理措施等原因，</w:t>
      </w:r>
      <w:r>
        <w:rPr>
          <w:rFonts w:hint="eastAsia" w:cs="Times New Roman"/>
          <w:color w:val="auto"/>
          <w:lang w:val="en-US" w:eastAsia="zh-CN"/>
        </w:rPr>
        <w:t>氮</w:t>
      </w:r>
      <w:r>
        <w:rPr>
          <w:rFonts w:hint="default" w:ascii="Times New Roman" w:hAnsi="Times New Roman" w:eastAsia="宋体" w:cs="Times New Roman"/>
          <w:color w:val="auto"/>
        </w:rPr>
        <w:t>磷的污染还没有得到有效削减。④治理资金难以到位也是太湖水污染防治未能取得预期效果的重要原因。由于治理项目启动迟，资金到位晚，各项综合措施未能按时完成。仅以污水处理厂建设为例，原计划建设的96个城镇污水处理项目因行政区划等原因调整为54个，但目前已建成或部分建成投运的仅30个，完成率仅达到56％。</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本次项目为</w:t>
      </w:r>
      <w:r>
        <w:rPr>
          <w:rFonts w:hint="default" w:ascii="Times New Roman" w:hAnsi="Times New Roman" w:eastAsia="宋体" w:cs="Times New Roman"/>
          <w:color w:val="auto"/>
          <w:lang w:val="en-US" w:eastAsia="zh-CN"/>
        </w:rPr>
        <w:t>生态修复工程</w:t>
      </w:r>
      <w:r>
        <w:rPr>
          <w:rFonts w:hint="default" w:ascii="Times New Roman" w:hAnsi="Times New Roman" w:eastAsia="宋体" w:cs="Times New Roman"/>
          <w:color w:val="auto"/>
        </w:rPr>
        <w:t>项目，项目在施工期及运营期均不会向水体排放含氮、磷物质，项目的建设有助于改善工程周边水环境质量，改善湖泊生态环境状况、提升生态系统功能，促进经济可持续发展。</w:t>
      </w:r>
    </w:p>
    <w:p>
      <w:pPr>
        <w:pStyle w:val="5"/>
        <w:jc w:val="both"/>
        <w:rPr>
          <w:rFonts w:hint="default" w:ascii="Times New Roman" w:hAnsi="Times New Roman" w:eastAsia="宋体" w:cs="Times New Roman"/>
          <w:color w:val="auto"/>
        </w:rPr>
      </w:pPr>
      <w:bookmarkStart w:id="293" w:name="_Toc2506"/>
      <w:r>
        <w:rPr>
          <w:rFonts w:hint="default" w:ascii="Times New Roman" w:hAnsi="Times New Roman" w:eastAsia="宋体" w:cs="Times New Roman"/>
          <w:color w:val="auto"/>
        </w:rPr>
        <w:t>4.2.</w:t>
      </w:r>
      <w:r>
        <w:rPr>
          <w:rFonts w:hint="eastAsia" w:cs="Times New Roman"/>
          <w:color w:val="auto"/>
          <w:lang w:val="en-US" w:eastAsia="zh-CN"/>
        </w:rPr>
        <w:t>4</w:t>
      </w:r>
      <w:r>
        <w:rPr>
          <w:rFonts w:hint="default" w:ascii="Times New Roman" w:hAnsi="Times New Roman" w:eastAsia="宋体" w:cs="Times New Roman"/>
          <w:color w:val="auto"/>
        </w:rPr>
        <w:t>声环境现状监测与评价</w:t>
      </w:r>
      <w:bookmarkEnd w:id="288"/>
      <w:bookmarkEnd w:id="289"/>
      <w:bookmarkEnd w:id="290"/>
      <w:bookmarkEnd w:id="291"/>
      <w:bookmarkEnd w:id="292"/>
      <w:bookmarkEnd w:id="293"/>
    </w:p>
    <w:p>
      <w:pPr>
        <w:tabs>
          <w:tab w:val="left" w:pos="1666"/>
        </w:tabs>
        <w:spacing w:line="480" w:lineRule="exact"/>
        <w:ind w:firstLine="482" w:firstLineChars="200"/>
        <w:jc w:val="both"/>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1、声环境质量现状监测</w:t>
      </w:r>
    </w:p>
    <w:p>
      <w:pPr>
        <w:tabs>
          <w:tab w:val="left" w:pos="1666"/>
        </w:tabs>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lang w:val="en-US" w:eastAsia="zh-CN"/>
        </w:rPr>
        <w:t>监测布点、因子及监测时间和频率</w:t>
      </w:r>
    </w:p>
    <w:p>
      <w:pPr>
        <w:tabs>
          <w:tab w:val="left" w:pos="1666"/>
        </w:tabs>
        <w:spacing w:line="480" w:lineRule="exact"/>
        <w:ind w:firstLine="480" w:firstLineChars="200"/>
        <w:jc w:val="both"/>
        <w:rPr>
          <w:rFonts w:hint="default" w:ascii="Times New Roman" w:hAnsi="Times New Roman" w:eastAsia="宋体" w:cs="Times New Roman"/>
          <w:color w:val="auto"/>
          <w:lang w:val="zh-CN"/>
        </w:rPr>
      </w:pPr>
      <w:r>
        <w:rPr>
          <w:rFonts w:hint="default" w:ascii="Times New Roman" w:hAnsi="Times New Roman" w:eastAsia="宋体" w:cs="Times New Roman"/>
          <w:color w:val="auto"/>
        </w:rPr>
        <w:t>监测布点</w:t>
      </w:r>
      <w:r>
        <w:rPr>
          <w:rFonts w:hint="default" w:ascii="Times New Roman" w:hAnsi="Times New Roman" w:eastAsia="宋体" w:cs="Times New Roman"/>
          <w:color w:val="auto"/>
          <w:lang w:eastAsia="zh-CN"/>
        </w:rPr>
        <w:t>：</w:t>
      </w:r>
      <w:r>
        <w:rPr>
          <w:rFonts w:hint="eastAsia" w:cs="Times New Roman"/>
          <w:color w:val="auto"/>
          <w:lang w:val="en-US" w:eastAsia="zh-CN"/>
        </w:rPr>
        <w:t>根据导则、评价等级和范围，本项目在渔洋山景区布设3个</w:t>
      </w:r>
      <w:r>
        <w:rPr>
          <w:rFonts w:hint="default" w:ascii="Times New Roman" w:hAnsi="Times New Roman" w:eastAsia="宋体" w:cs="Times New Roman"/>
          <w:color w:val="auto"/>
          <w:lang w:val="zh-CN"/>
        </w:rPr>
        <w:t>监测点，详见</w:t>
      </w:r>
      <w:r>
        <w:rPr>
          <w:rFonts w:hint="eastAsia" w:ascii="Times New Roman" w:hAnsi="Times New Roman" w:cs="Times New Roman"/>
          <w:color w:val="auto"/>
          <w:szCs w:val="21"/>
          <w:highlight w:val="none"/>
          <w:lang w:val="en-US" w:eastAsia="zh-CN"/>
        </w:rPr>
        <w:t>图4.2-</w:t>
      </w:r>
      <w:r>
        <w:rPr>
          <w:rFonts w:hint="eastAsia" w:cs="Times New Roman"/>
          <w:color w:val="auto"/>
          <w:szCs w:val="21"/>
          <w:highlight w:val="none"/>
          <w:lang w:val="en-US" w:eastAsia="zh-CN"/>
        </w:rPr>
        <w:t>2</w:t>
      </w:r>
      <w:r>
        <w:rPr>
          <w:rFonts w:hint="eastAsia" w:ascii="Times New Roman" w:hAnsi="Times New Roman" w:cs="Times New Roman"/>
          <w:color w:val="auto"/>
          <w:szCs w:val="21"/>
          <w:highlight w:val="none"/>
          <w:lang w:val="en-US" w:eastAsia="zh-CN"/>
        </w:rPr>
        <w:t>。</w:t>
      </w:r>
      <w:r>
        <w:rPr>
          <w:rFonts w:hint="default" w:ascii="Times New Roman" w:hAnsi="Times New Roman" w:eastAsia="宋体" w:cs="Times New Roman"/>
          <w:color w:val="auto"/>
          <w:lang w:val="zh-CN"/>
        </w:rPr>
        <w:t>（</w:t>
      </w:r>
      <w:r>
        <w:rPr>
          <w:rFonts w:hint="default" w:ascii="Times New Roman" w:hAnsi="Times New Roman" w:eastAsia="宋体" w:cs="Times New Roman"/>
          <w:color w:val="auto"/>
        </w:rPr>
        <w:t>N1-</w:t>
      </w:r>
      <w:r>
        <w:rPr>
          <w:rFonts w:hint="default" w:ascii="Times New Roman" w:hAnsi="Times New Roman" w:eastAsia="宋体" w:cs="Times New Roman"/>
          <w:color w:val="auto"/>
          <w:lang w:val="zh-CN"/>
        </w:rPr>
        <w:t>N</w:t>
      </w:r>
      <w:r>
        <w:rPr>
          <w:rFonts w:hint="eastAsia" w:cs="Times New Roman"/>
          <w:color w:val="auto"/>
          <w:lang w:val="en-US" w:eastAsia="zh-CN"/>
        </w:rPr>
        <w:t>3</w:t>
      </w:r>
      <w:r>
        <w:rPr>
          <w:rFonts w:hint="default" w:ascii="Times New Roman" w:hAnsi="Times New Roman" w:eastAsia="宋体" w:cs="Times New Roman"/>
          <w:color w:val="auto"/>
          <w:lang w:val="zh-CN"/>
        </w:rPr>
        <w:t>）。</w:t>
      </w:r>
    </w:p>
    <w:p>
      <w:pPr>
        <w:tabs>
          <w:tab w:val="left" w:pos="1666"/>
        </w:tabs>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监测因子：连续</w:t>
      </w:r>
      <w:r>
        <w:rPr>
          <w:rFonts w:hint="default" w:ascii="Times New Roman" w:hAnsi="Times New Roman" w:eastAsia="宋体" w:cs="Times New Roman"/>
          <w:color w:val="auto"/>
        </w:rPr>
        <w:t>效声级A</w:t>
      </w:r>
      <w:r>
        <w:rPr>
          <w:rFonts w:hint="default" w:ascii="Times New Roman" w:hAnsi="Times New Roman" w:eastAsia="宋体" w:cs="Times New Roman"/>
          <w:color w:val="auto"/>
          <w:lang w:val="en-US" w:eastAsia="zh-CN"/>
        </w:rPr>
        <w:t>声级</w:t>
      </w:r>
    </w:p>
    <w:p>
      <w:pPr>
        <w:tabs>
          <w:tab w:val="left" w:pos="1666"/>
        </w:tabs>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监测</w:t>
      </w:r>
      <w:r>
        <w:rPr>
          <w:rFonts w:hint="default" w:ascii="Times New Roman" w:hAnsi="Times New Roman" w:eastAsia="宋体" w:cs="Times New Roman"/>
          <w:color w:val="auto"/>
          <w:lang w:val="en-US" w:eastAsia="zh-CN"/>
        </w:rPr>
        <w:t>时间和频次：</w:t>
      </w:r>
    </w:p>
    <w:p>
      <w:pPr>
        <w:tabs>
          <w:tab w:val="left" w:pos="1666"/>
        </w:tabs>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202</w:t>
      </w:r>
      <w:r>
        <w:rPr>
          <w:rFonts w:hint="eastAsia" w:cs="Times New Roman"/>
          <w:color w:val="auto"/>
          <w:lang w:val="en-US" w:eastAsia="zh-CN"/>
        </w:rPr>
        <w:t>1</w:t>
      </w:r>
      <w:r>
        <w:rPr>
          <w:rFonts w:hint="default" w:ascii="Times New Roman" w:hAnsi="Times New Roman" w:eastAsia="宋体" w:cs="Times New Roman"/>
          <w:color w:val="auto"/>
        </w:rPr>
        <w:t>年</w:t>
      </w:r>
      <w:r>
        <w:rPr>
          <w:rFonts w:hint="eastAsia" w:cs="Times New Roman"/>
          <w:color w:val="auto"/>
          <w:lang w:val="en-US" w:eastAsia="zh-CN"/>
        </w:rPr>
        <w:t>6</w:t>
      </w:r>
      <w:r>
        <w:rPr>
          <w:rFonts w:hint="default" w:ascii="Times New Roman" w:hAnsi="Times New Roman" w:eastAsia="宋体" w:cs="Times New Roman"/>
          <w:color w:val="auto"/>
        </w:rPr>
        <w:t>月</w:t>
      </w:r>
      <w:r>
        <w:rPr>
          <w:rFonts w:hint="eastAsia" w:cs="Times New Roman"/>
          <w:color w:val="auto"/>
          <w:lang w:val="en-US" w:eastAsia="zh-CN"/>
        </w:rPr>
        <w:t>25</w:t>
      </w:r>
      <w:r>
        <w:rPr>
          <w:rFonts w:hint="default" w:ascii="Times New Roman" w:hAnsi="Times New Roman" w:eastAsia="宋体" w:cs="Times New Roman"/>
          <w:color w:val="auto"/>
        </w:rPr>
        <w:t>日</w:t>
      </w:r>
      <w:r>
        <w:rPr>
          <w:rFonts w:hint="eastAsia" w:cs="Times New Roman"/>
          <w:color w:val="auto"/>
          <w:lang w:val="en-US" w:eastAsia="zh-CN"/>
        </w:rPr>
        <w:t>~2021年6月26日</w:t>
      </w:r>
      <w:r>
        <w:rPr>
          <w:rFonts w:hint="default" w:ascii="Times New Roman" w:hAnsi="Times New Roman" w:eastAsia="宋体" w:cs="Times New Roman"/>
          <w:color w:val="auto"/>
        </w:rPr>
        <w:t>昼间、夜间各1次。</w:t>
      </w:r>
    </w:p>
    <w:p>
      <w:pPr>
        <w:tabs>
          <w:tab w:val="left" w:pos="1666"/>
        </w:tabs>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（2）监测方法</w:t>
      </w:r>
    </w:p>
    <w:p>
      <w:pPr>
        <w:tabs>
          <w:tab w:val="left" w:pos="1666"/>
        </w:tabs>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按《声环境质量标准》(GB3096-2008)中规定的方法，使用符合国家计量规定的声级计，测量等效声级LAeq。</w:t>
      </w:r>
    </w:p>
    <w:p>
      <w:pPr>
        <w:autoSpaceDE w:val="0"/>
        <w:autoSpaceDN w:val="0"/>
        <w:adjustRightInd w:val="0"/>
        <w:spacing w:line="480" w:lineRule="atLeast"/>
        <w:ind w:firstLine="480" w:firstLineChars="200"/>
        <w:jc w:val="both"/>
        <w:rPr>
          <w:rFonts w:hint="default" w:ascii="Times New Roman" w:hAnsi="Times New Roman" w:eastAsia="宋体" w:cs="Times New Roman"/>
          <w:color w:val="auto"/>
          <w:lang w:val="en-US" w:eastAsia="zh-CN"/>
        </w:rPr>
      </w:pPr>
      <w:bookmarkStart w:id="294" w:name="_Toc503461625"/>
      <w:r>
        <w:rPr>
          <w:rFonts w:hint="default" w:ascii="Times New Roman" w:hAnsi="Times New Roman" w:eastAsia="宋体" w:cs="Times New Roman"/>
          <w:color w:val="auto"/>
          <w:lang w:val="en-US" w:eastAsia="zh-CN"/>
        </w:rPr>
        <w:t>（3）评价标准</w:t>
      </w:r>
    </w:p>
    <w:p>
      <w:pPr>
        <w:tabs>
          <w:tab w:val="left" w:pos="1666"/>
        </w:tabs>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本项目声环境质量采用《声环境质量标准》（GB3096-2008）表1中2类标准评价。</w:t>
      </w:r>
    </w:p>
    <w:p>
      <w:pPr>
        <w:autoSpaceDE w:val="0"/>
        <w:autoSpaceDN w:val="0"/>
        <w:adjustRightInd w:val="0"/>
        <w:spacing w:line="480" w:lineRule="atLeast"/>
        <w:ind w:firstLine="480" w:firstLineChars="200"/>
        <w:jc w:val="both"/>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lang w:val="zh-CN"/>
        </w:rPr>
        <w:t>监测结果</w:t>
      </w:r>
      <w:bookmarkEnd w:id="294"/>
    </w:p>
    <w:p>
      <w:pPr>
        <w:tabs>
          <w:tab w:val="left" w:pos="1666"/>
        </w:tabs>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监测结果详见表4.2-</w:t>
      </w:r>
      <w:r>
        <w:rPr>
          <w:rFonts w:hint="eastAsia" w:cs="Times New Roman"/>
          <w:color w:val="auto"/>
          <w:lang w:val="en-US" w:eastAsia="zh-CN"/>
        </w:rPr>
        <w:t>7</w:t>
      </w:r>
      <w:r>
        <w:rPr>
          <w:rFonts w:hint="default" w:ascii="Times New Roman" w:hAnsi="Times New Roman" w:eastAsia="宋体" w:cs="Times New Roman"/>
          <w:color w:val="auto"/>
        </w:rPr>
        <w:t>。</w:t>
      </w:r>
    </w:p>
    <w:p>
      <w:pPr>
        <w:tabs>
          <w:tab w:val="left" w:pos="1666"/>
        </w:tabs>
        <w:spacing w:line="480" w:lineRule="exact"/>
        <w:ind w:firstLine="482" w:firstLineChars="200"/>
        <w:jc w:val="center"/>
        <w:rPr>
          <w:rFonts w:hint="default" w:ascii="Times New Roman" w:hAnsi="Times New Roman" w:eastAsia="宋体" w:cs="Times New Roman"/>
          <w:b/>
          <w:bCs/>
          <w:color w:val="0000FF"/>
        </w:rPr>
      </w:pPr>
      <w:r>
        <w:rPr>
          <w:rFonts w:hint="default" w:ascii="Times New Roman" w:hAnsi="Times New Roman" w:eastAsia="宋体" w:cs="Times New Roman"/>
          <w:b/>
          <w:bCs/>
          <w:color w:val="auto"/>
        </w:rPr>
        <w:t>表4.2-</w:t>
      </w:r>
      <w:r>
        <w:rPr>
          <w:rFonts w:hint="eastAsia" w:cs="Times New Roman"/>
          <w:b/>
          <w:bCs/>
          <w:color w:val="auto"/>
          <w:lang w:val="en-US" w:eastAsia="zh-CN"/>
        </w:rPr>
        <w:t>7</w:t>
      </w:r>
      <w:r>
        <w:rPr>
          <w:rFonts w:hint="default" w:ascii="Times New Roman" w:hAnsi="Times New Roman" w:eastAsia="宋体" w:cs="Times New Roman"/>
          <w:b/>
          <w:bCs/>
          <w:color w:val="auto"/>
        </w:rPr>
        <w:t xml:space="preserve">  声环境现状监测结果汇总  单位：dB(A)</w:t>
      </w:r>
    </w:p>
    <w:tbl>
      <w:tblPr>
        <w:tblStyle w:val="55"/>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27"/>
        <w:gridCol w:w="2570"/>
        <w:gridCol w:w="1282"/>
        <w:gridCol w:w="933"/>
        <w:gridCol w:w="1116"/>
        <w:gridCol w:w="983"/>
        <w:gridCol w:w="11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64" w:type="pct"/>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监测时间</w:t>
            </w:r>
          </w:p>
        </w:tc>
        <w:tc>
          <w:tcPr>
            <w:tcW w:w="1391" w:type="pct"/>
            <w:vAlign w:val="center"/>
          </w:tcPr>
          <w:p>
            <w:pPr>
              <w:snapToGrid w:val="0"/>
              <w:spacing w:line="28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监测点号</w:t>
            </w:r>
          </w:p>
        </w:tc>
        <w:tc>
          <w:tcPr>
            <w:tcW w:w="694" w:type="pct"/>
            <w:vAlign w:val="center"/>
          </w:tcPr>
          <w:p>
            <w:pPr>
              <w:snapToGrid w:val="0"/>
              <w:spacing w:line="28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环境功能</w:t>
            </w:r>
          </w:p>
        </w:tc>
        <w:tc>
          <w:tcPr>
            <w:tcW w:w="505" w:type="pct"/>
            <w:vAlign w:val="center"/>
          </w:tcPr>
          <w:p>
            <w:pPr>
              <w:snapToGrid w:val="0"/>
              <w:spacing w:line="28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昼间</w:t>
            </w:r>
          </w:p>
        </w:tc>
        <w:tc>
          <w:tcPr>
            <w:tcW w:w="604" w:type="pct"/>
            <w:vAlign w:val="center"/>
          </w:tcPr>
          <w:p>
            <w:pPr>
              <w:snapToGrid w:val="0"/>
              <w:spacing w:line="28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达标状况</w:t>
            </w:r>
          </w:p>
        </w:tc>
        <w:tc>
          <w:tcPr>
            <w:tcW w:w="532" w:type="pct"/>
            <w:vAlign w:val="center"/>
          </w:tcPr>
          <w:p>
            <w:pPr>
              <w:snapToGrid w:val="0"/>
              <w:spacing w:line="28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夜间</w:t>
            </w:r>
          </w:p>
        </w:tc>
        <w:tc>
          <w:tcPr>
            <w:tcW w:w="608" w:type="pct"/>
            <w:vAlign w:val="center"/>
          </w:tcPr>
          <w:p>
            <w:pPr>
              <w:snapToGrid w:val="0"/>
              <w:spacing w:line="28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达标状况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64" w:type="pct"/>
            <w:vMerge w:val="restar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2021.0</w:t>
            </w:r>
            <w:r>
              <w:rPr>
                <w:rFonts w:hint="eastAsia" w:cs="Times New Roman"/>
                <w:color w:val="auto"/>
                <w:sz w:val="21"/>
                <w:szCs w:val="21"/>
                <w:lang w:val="en-US" w:eastAsia="zh-CN"/>
              </w:rPr>
              <w:t>6.25</w:t>
            </w:r>
          </w:p>
        </w:tc>
        <w:tc>
          <w:tcPr>
            <w:tcW w:w="1391" w:type="pct"/>
            <w:vAlign w:val="center"/>
          </w:tcPr>
          <w:p>
            <w:pPr>
              <w:widowControl w:val="0"/>
              <w:spacing w:line="320" w:lineRule="exact"/>
              <w:jc w:val="center"/>
              <w:rPr>
                <w:rFonts w:hint="eastAsia" w:cs="Times New Roman"/>
                <w:color w:val="auto"/>
                <w:sz w:val="21"/>
                <w:szCs w:val="21"/>
                <w:lang w:val="en-US" w:eastAsia="zh-CN"/>
              </w:rPr>
            </w:pPr>
            <w:r>
              <w:rPr>
                <w:rFonts w:hint="eastAsia" w:cs="Times New Roman"/>
                <w:color w:val="auto"/>
                <w:sz w:val="21"/>
                <w:szCs w:val="21"/>
                <w:lang w:val="en-US" w:eastAsia="zh-CN"/>
              </w:rPr>
              <w:t>N1渔洋山景区内</w:t>
            </w:r>
          </w:p>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（项目工程北侧范围外）</w:t>
            </w:r>
          </w:p>
        </w:tc>
        <w:tc>
          <w:tcPr>
            <w:tcW w:w="694" w:type="pct"/>
            <w:vMerge w:val="restart"/>
            <w:vAlign w:val="center"/>
          </w:tcPr>
          <w:p>
            <w:pPr>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2类</w:t>
            </w:r>
          </w:p>
        </w:tc>
        <w:tc>
          <w:tcPr>
            <w:tcW w:w="505" w:type="pct"/>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r>
              <w:rPr>
                <w:rFonts w:hint="eastAsia" w:cs="Times New Roman"/>
                <w:color w:val="auto"/>
                <w:sz w:val="21"/>
                <w:szCs w:val="21"/>
                <w:lang w:val="en-US" w:eastAsia="zh-CN"/>
              </w:rPr>
              <w:t>5.7</w:t>
            </w:r>
          </w:p>
        </w:tc>
        <w:tc>
          <w:tcPr>
            <w:tcW w:w="604"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532" w:type="pct"/>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w:t>
            </w:r>
            <w:r>
              <w:rPr>
                <w:rFonts w:hint="eastAsia" w:cs="Times New Roman"/>
                <w:color w:val="auto"/>
                <w:sz w:val="21"/>
                <w:szCs w:val="21"/>
                <w:lang w:val="en-US" w:eastAsia="zh-CN"/>
              </w:rPr>
              <w:t>4.3</w:t>
            </w:r>
          </w:p>
        </w:tc>
        <w:tc>
          <w:tcPr>
            <w:tcW w:w="608"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4" w:type="pct"/>
            <w:vMerge w:val="continue"/>
            <w:vAlign w:val="center"/>
          </w:tcPr>
          <w:p>
            <w:pPr>
              <w:snapToGrid w:val="0"/>
              <w:spacing w:line="280" w:lineRule="exact"/>
              <w:jc w:val="center"/>
              <w:rPr>
                <w:rFonts w:hint="default" w:ascii="Times New Roman" w:hAnsi="Times New Roman" w:eastAsia="宋体" w:cs="Times New Roman"/>
                <w:color w:val="auto"/>
                <w:sz w:val="21"/>
                <w:szCs w:val="21"/>
              </w:rPr>
            </w:pPr>
          </w:p>
        </w:tc>
        <w:tc>
          <w:tcPr>
            <w:tcW w:w="1391" w:type="pct"/>
            <w:vAlign w:val="center"/>
          </w:tcPr>
          <w:p>
            <w:pPr>
              <w:widowControl w:val="0"/>
              <w:spacing w:line="320" w:lineRule="exact"/>
              <w:jc w:val="center"/>
              <w:rPr>
                <w:rFonts w:hint="eastAsia" w:cs="Times New Roman"/>
                <w:color w:val="auto"/>
                <w:sz w:val="21"/>
                <w:szCs w:val="21"/>
                <w:lang w:val="en-US" w:eastAsia="zh-CN"/>
              </w:rPr>
            </w:pPr>
            <w:r>
              <w:rPr>
                <w:rFonts w:hint="eastAsia" w:cs="Times New Roman"/>
                <w:color w:val="auto"/>
                <w:sz w:val="21"/>
                <w:szCs w:val="21"/>
                <w:lang w:val="en-US" w:eastAsia="zh-CN"/>
              </w:rPr>
              <w:t>N2渔洋山景区内</w:t>
            </w:r>
          </w:p>
          <w:p>
            <w:pPr>
              <w:snapToGrid w:val="0"/>
              <w:spacing w:line="28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（项目工程中部范围外）</w:t>
            </w:r>
          </w:p>
        </w:tc>
        <w:tc>
          <w:tcPr>
            <w:tcW w:w="694" w:type="pct"/>
            <w:vMerge w:val="continue"/>
            <w:vAlign w:val="center"/>
          </w:tcPr>
          <w:p>
            <w:pPr>
              <w:snapToGrid w:val="0"/>
              <w:spacing w:line="280" w:lineRule="exact"/>
              <w:jc w:val="center"/>
              <w:rPr>
                <w:rFonts w:hint="default" w:ascii="Times New Roman" w:hAnsi="Times New Roman" w:eastAsia="宋体" w:cs="Times New Roman"/>
                <w:color w:val="auto"/>
                <w:sz w:val="21"/>
                <w:szCs w:val="21"/>
              </w:rPr>
            </w:pPr>
          </w:p>
        </w:tc>
        <w:tc>
          <w:tcPr>
            <w:tcW w:w="505" w:type="pct"/>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w:t>
            </w:r>
            <w:r>
              <w:rPr>
                <w:rFonts w:hint="eastAsia" w:cs="Times New Roman"/>
                <w:color w:val="auto"/>
                <w:sz w:val="21"/>
                <w:szCs w:val="21"/>
                <w:lang w:val="en-US" w:eastAsia="zh-CN"/>
              </w:rPr>
              <w:t>5.0</w:t>
            </w:r>
          </w:p>
        </w:tc>
        <w:tc>
          <w:tcPr>
            <w:tcW w:w="604"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532" w:type="pct"/>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w:t>
            </w:r>
            <w:r>
              <w:rPr>
                <w:rFonts w:hint="eastAsia" w:cs="Times New Roman"/>
                <w:color w:val="auto"/>
                <w:sz w:val="21"/>
                <w:szCs w:val="21"/>
                <w:lang w:val="en-US" w:eastAsia="zh-CN"/>
              </w:rPr>
              <w:t>4.9</w:t>
            </w:r>
          </w:p>
        </w:tc>
        <w:tc>
          <w:tcPr>
            <w:tcW w:w="608"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4" w:type="pct"/>
            <w:vMerge w:val="continue"/>
            <w:vAlign w:val="center"/>
          </w:tcPr>
          <w:p>
            <w:pPr>
              <w:widowControl w:val="0"/>
              <w:spacing w:line="320" w:lineRule="exact"/>
              <w:jc w:val="center"/>
              <w:rPr>
                <w:rFonts w:hint="default" w:ascii="Times New Roman" w:hAnsi="Times New Roman" w:eastAsia="宋体" w:cs="Times New Roman"/>
                <w:color w:val="auto"/>
                <w:sz w:val="21"/>
                <w:szCs w:val="21"/>
              </w:rPr>
            </w:pPr>
          </w:p>
        </w:tc>
        <w:tc>
          <w:tcPr>
            <w:tcW w:w="1391" w:type="pct"/>
            <w:vAlign w:val="center"/>
          </w:tcPr>
          <w:p>
            <w:pPr>
              <w:widowControl w:val="0"/>
              <w:spacing w:line="320" w:lineRule="exact"/>
              <w:jc w:val="center"/>
              <w:rPr>
                <w:rFonts w:hint="eastAsia" w:cs="Times New Roman"/>
                <w:color w:val="auto"/>
                <w:sz w:val="21"/>
                <w:szCs w:val="21"/>
                <w:lang w:val="en-US" w:eastAsia="zh-CN"/>
              </w:rPr>
            </w:pPr>
            <w:r>
              <w:rPr>
                <w:rFonts w:hint="eastAsia" w:cs="Times New Roman"/>
                <w:color w:val="auto"/>
                <w:sz w:val="21"/>
                <w:szCs w:val="21"/>
                <w:lang w:val="en-US" w:eastAsia="zh-CN"/>
              </w:rPr>
              <w:t>N3渔洋山景区内</w:t>
            </w:r>
          </w:p>
          <w:p>
            <w:pPr>
              <w:widowControl w:val="0"/>
              <w:spacing w:line="320" w:lineRule="exact"/>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（项目工程南侧范围外）</w:t>
            </w:r>
          </w:p>
        </w:tc>
        <w:tc>
          <w:tcPr>
            <w:tcW w:w="694" w:type="pct"/>
            <w:vMerge w:val="continue"/>
            <w:vAlign w:val="center"/>
          </w:tcPr>
          <w:p>
            <w:pPr>
              <w:snapToGrid w:val="0"/>
              <w:spacing w:line="280" w:lineRule="exact"/>
              <w:jc w:val="center"/>
              <w:rPr>
                <w:rFonts w:hint="default" w:ascii="Times New Roman" w:hAnsi="Times New Roman" w:eastAsia="宋体" w:cs="Times New Roman"/>
                <w:color w:val="auto"/>
                <w:sz w:val="21"/>
                <w:szCs w:val="21"/>
              </w:rPr>
            </w:pPr>
          </w:p>
        </w:tc>
        <w:tc>
          <w:tcPr>
            <w:tcW w:w="505" w:type="pct"/>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44.7</w:t>
            </w:r>
          </w:p>
        </w:tc>
        <w:tc>
          <w:tcPr>
            <w:tcW w:w="604"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532" w:type="pct"/>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45.</w:t>
            </w:r>
            <w:r>
              <w:rPr>
                <w:rFonts w:hint="eastAsia" w:cs="Times New Roman"/>
                <w:color w:val="auto"/>
                <w:sz w:val="21"/>
                <w:szCs w:val="21"/>
                <w:lang w:val="en-US" w:eastAsia="zh-CN"/>
              </w:rPr>
              <w:t>3</w:t>
            </w:r>
          </w:p>
        </w:tc>
        <w:tc>
          <w:tcPr>
            <w:tcW w:w="608"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4" w:type="pct"/>
            <w:vMerge w:val="restart"/>
            <w:vAlign w:val="center"/>
          </w:tcPr>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2021.0</w:t>
            </w:r>
            <w:r>
              <w:rPr>
                <w:rFonts w:hint="eastAsia" w:cs="Times New Roman"/>
                <w:color w:val="auto"/>
                <w:sz w:val="21"/>
                <w:szCs w:val="21"/>
                <w:lang w:val="en-US" w:eastAsia="zh-CN"/>
              </w:rPr>
              <w:t>6.26</w:t>
            </w:r>
          </w:p>
          <w:p>
            <w:pPr>
              <w:widowControl w:val="0"/>
              <w:spacing w:line="320" w:lineRule="exact"/>
              <w:jc w:val="center"/>
              <w:rPr>
                <w:rFonts w:hint="default" w:ascii="Times New Roman" w:hAnsi="Times New Roman" w:eastAsia="宋体" w:cs="Times New Roman"/>
                <w:color w:val="0000FF"/>
                <w:sz w:val="21"/>
                <w:szCs w:val="21"/>
              </w:rPr>
            </w:pPr>
          </w:p>
        </w:tc>
        <w:tc>
          <w:tcPr>
            <w:tcW w:w="1391" w:type="pct"/>
            <w:vAlign w:val="center"/>
          </w:tcPr>
          <w:p>
            <w:pPr>
              <w:widowControl w:val="0"/>
              <w:spacing w:line="320" w:lineRule="exact"/>
              <w:jc w:val="center"/>
              <w:rPr>
                <w:rFonts w:hint="eastAsia" w:cs="Times New Roman"/>
                <w:color w:val="auto"/>
                <w:sz w:val="21"/>
                <w:szCs w:val="21"/>
                <w:lang w:val="en-US" w:eastAsia="zh-CN"/>
              </w:rPr>
            </w:pPr>
            <w:r>
              <w:rPr>
                <w:rFonts w:hint="eastAsia" w:cs="Times New Roman"/>
                <w:color w:val="auto"/>
                <w:sz w:val="21"/>
                <w:szCs w:val="21"/>
                <w:lang w:val="en-US" w:eastAsia="zh-CN"/>
              </w:rPr>
              <w:t>N1渔洋山景区内</w:t>
            </w:r>
          </w:p>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（项目工程北侧范围外）</w:t>
            </w:r>
          </w:p>
        </w:tc>
        <w:tc>
          <w:tcPr>
            <w:tcW w:w="694" w:type="pct"/>
            <w:vMerge w:val="continue"/>
            <w:vAlign w:val="center"/>
          </w:tcPr>
          <w:p>
            <w:pPr>
              <w:snapToGrid w:val="0"/>
              <w:spacing w:line="280" w:lineRule="exact"/>
              <w:jc w:val="center"/>
              <w:rPr>
                <w:rFonts w:hint="default" w:ascii="Times New Roman" w:hAnsi="Times New Roman" w:eastAsia="宋体" w:cs="Times New Roman"/>
                <w:color w:val="auto"/>
                <w:sz w:val="21"/>
                <w:szCs w:val="21"/>
              </w:rPr>
            </w:pPr>
          </w:p>
        </w:tc>
        <w:tc>
          <w:tcPr>
            <w:tcW w:w="505" w:type="pct"/>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54.9</w:t>
            </w:r>
          </w:p>
        </w:tc>
        <w:tc>
          <w:tcPr>
            <w:tcW w:w="604"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532" w:type="pct"/>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45.3</w:t>
            </w:r>
          </w:p>
        </w:tc>
        <w:tc>
          <w:tcPr>
            <w:tcW w:w="608"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4" w:type="pct"/>
            <w:vMerge w:val="continue"/>
            <w:vAlign w:val="center"/>
          </w:tcPr>
          <w:p>
            <w:pPr>
              <w:snapToGrid w:val="0"/>
              <w:spacing w:line="280" w:lineRule="exact"/>
              <w:jc w:val="center"/>
              <w:rPr>
                <w:rFonts w:hint="default" w:ascii="Times New Roman" w:hAnsi="Times New Roman" w:eastAsia="宋体" w:cs="Times New Roman"/>
                <w:color w:val="0000FF"/>
                <w:sz w:val="21"/>
                <w:szCs w:val="21"/>
              </w:rPr>
            </w:pPr>
          </w:p>
        </w:tc>
        <w:tc>
          <w:tcPr>
            <w:tcW w:w="1391" w:type="pct"/>
            <w:vAlign w:val="center"/>
          </w:tcPr>
          <w:p>
            <w:pPr>
              <w:widowControl w:val="0"/>
              <w:spacing w:line="320" w:lineRule="exact"/>
              <w:jc w:val="center"/>
              <w:rPr>
                <w:rFonts w:hint="eastAsia" w:cs="Times New Roman"/>
                <w:color w:val="auto"/>
                <w:sz w:val="21"/>
                <w:szCs w:val="21"/>
                <w:lang w:val="en-US" w:eastAsia="zh-CN"/>
              </w:rPr>
            </w:pPr>
            <w:r>
              <w:rPr>
                <w:rFonts w:hint="eastAsia" w:cs="Times New Roman"/>
                <w:color w:val="auto"/>
                <w:sz w:val="21"/>
                <w:szCs w:val="21"/>
                <w:lang w:val="en-US" w:eastAsia="zh-CN"/>
              </w:rPr>
              <w:t>N2渔洋山景区内</w:t>
            </w:r>
          </w:p>
          <w:p>
            <w:pPr>
              <w:snapToGrid w:val="0"/>
              <w:spacing w:line="280" w:lineRule="exact"/>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（项目工程中部范围外）</w:t>
            </w:r>
          </w:p>
        </w:tc>
        <w:tc>
          <w:tcPr>
            <w:tcW w:w="694" w:type="pct"/>
            <w:vMerge w:val="continue"/>
            <w:vAlign w:val="center"/>
          </w:tcPr>
          <w:p>
            <w:pPr>
              <w:snapToGrid w:val="0"/>
              <w:spacing w:line="280" w:lineRule="exact"/>
              <w:jc w:val="center"/>
              <w:rPr>
                <w:rFonts w:hint="default" w:ascii="Times New Roman" w:hAnsi="Times New Roman" w:eastAsia="宋体" w:cs="Times New Roman"/>
                <w:color w:val="auto"/>
                <w:sz w:val="21"/>
                <w:szCs w:val="21"/>
              </w:rPr>
            </w:pPr>
          </w:p>
        </w:tc>
        <w:tc>
          <w:tcPr>
            <w:tcW w:w="505" w:type="pct"/>
            <w:vAlign w:val="center"/>
          </w:tcPr>
          <w:p>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54.</w:t>
            </w:r>
            <w:r>
              <w:rPr>
                <w:rFonts w:hint="eastAsia" w:cs="Times New Roman"/>
                <w:color w:val="auto"/>
                <w:sz w:val="21"/>
                <w:szCs w:val="21"/>
                <w:lang w:val="en-US" w:eastAsia="zh-CN"/>
              </w:rPr>
              <w:t>5</w:t>
            </w:r>
          </w:p>
        </w:tc>
        <w:tc>
          <w:tcPr>
            <w:tcW w:w="604"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532" w:type="pct"/>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w:t>
            </w:r>
            <w:r>
              <w:rPr>
                <w:rFonts w:hint="eastAsia" w:cs="Times New Roman"/>
                <w:color w:val="auto"/>
                <w:sz w:val="21"/>
                <w:szCs w:val="21"/>
                <w:lang w:val="en-US" w:eastAsia="zh-CN"/>
              </w:rPr>
              <w:t>4.7</w:t>
            </w:r>
          </w:p>
        </w:tc>
        <w:tc>
          <w:tcPr>
            <w:tcW w:w="608"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4" w:type="pct"/>
            <w:vMerge w:val="continue"/>
            <w:vAlign w:val="center"/>
          </w:tcPr>
          <w:p>
            <w:pPr>
              <w:widowControl w:val="0"/>
              <w:spacing w:line="320" w:lineRule="exact"/>
              <w:jc w:val="center"/>
              <w:rPr>
                <w:rFonts w:hint="default" w:ascii="Times New Roman" w:hAnsi="Times New Roman" w:eastAsia="宋体" w:cs="Times New Roman"/>
                <w:color w:val="0000FF"/>
                <w:sz w:val="21"/>
                <w:szCs w:val="21"/>
              </w:rPr>
            </w:pPr>
          </w:p>
        </w:tc>
        <w:tc>
          <w:tcPr>
            <w:tcW w:w="1391" w:type="pct"/>
            <w:vAlign w:val="center"/>
          </w:tcPr>
          <w:p>
            <w:pPr>
              <w:widowControl w:val="0"/>
              <w:spacing w:line="320" w:lineRule="exact"/>
              <w:jc w:val="center"/>
              <w:rPr>
                <w:rFonts w:hint="eastAsia" w:cs="Times New Roman"/>
                <w:color w:val="auto"/>
                <w:sz w:val="21"/>
                <w:szCs w:val="21"/>
                <w:lang w:val="en-US" w:eastAsia="zh-CN"/>
              </w:rPr>
            </w:pPr>
            <w:r>
              <w:rPr>
                <w:rFonts w:hint="eastAsia" w:cs="Times New Roman"/>
                <w:color w:val="auto"/>
                <w:sz w:val="21"/>
                <w:szCs w:val="21"/>
                <w:lang w:val="en-US" w:eastAsia="zh-CN"/>
              </w:rPr>
              <w:t>N3渔洋山景区内</w:t>
            </w:r>
          </w:p>
          <w:p>
            <w:pPr>
              <w:widowControl w:val="0"/>
              <w:spacing w:line="320" w:lineRule="exact"/>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（项目工程南侧范围外）</w:t>
            </w:r>
          </w:p>
        </w:tc>
        <w:tc>
          <w:tcPr>
            <w:tcW w:w="694" w:type="pct"/>
            <w:vMerge w:val="continue"/>
            <w:vAlign w:val="center"/>
          </w:tcPr>
          <w:p>
            <w:pPr>
              <w:snapToGrid w:val="0"/>
              <w:spacing w:line="280" w:lineRule="exact"/>
              <w:jc w:val="center"/>
              <w:rPr>
                <w:rFonts w:hint="default" w:ascii="Times New Roman" w:hAnsi="Times New Roman" w:eastAsia="宋体" w:cs="Times New Roman"/>
                <w:color w:val="auto"/>
                <w:sz w:val="21"/>
                <w:szCs w:val="21"/>
              </w:rPr>
            </w:pPr>
          </w:p>
        </w:tc>
        <w:tc>
          <w:tcPr>
            <w:tcW w:w="505" w:type="pct"/>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w:t>
            </w:r>
            <w:r>
              <w:rPr>
                <w:rFonts w:hint="eastAsia" w:cs="Times New Roman"/>
                <w:color w:val="auto"/>
                <w:sz w:val="21"/>
                <w:szCs w:val="21"/>
                <w:lang w:val="en-US" w:eastAsia="zh-CN"/>
              </w:rPr>
              <w:t>5.2</w:t>
            </w:r>
          </w:p>
        </w:tc>
        <w:tc>
          <w:tcPr>
            <w:tcW w:w="604"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532" w:type="pct"/>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r>
              <w:rPr>
                <w:rFonts w:hint="eastAsia" w:cs="Times New Roman"/>
                <w:color w:val="auto"/>
                <w:sz w:val="21"/>
                <w:szCs w:val="21"/>
                <w:lang w:val="en-US" w:eastAsia="zh-CN"/>
              </w:rPr>
              <w:t>5.0</w:t>
            </w:r>
          </w:p>
        </w:tc>
        <w:tc>
          <w:tcPr>
            <w:tcW w:w="608"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pPr>
        <w:tabs>
          <w:tab w:val="left" w:pos="1666"/>
        </w:tabs>
        <w:spacing w:line="480" w:lineRule="exact"/>
        <w:ind w:firstLine="480" w:firstLineChars="200"/>
        <w:jc w:val="both"/>
        <w:rPr>
          <w:rFonts w:hint="default" w:ascii="Times New Roman" w:hAnsi="Times New Roman" w:eastAsia="宋体" w:cs="Times New Roman"/>
          <w:color w:val="0000FF"/>
        </w:rPr>
      </w:pPr>
      <w:r>
        <w:rPr>
          <w:rFonts w:hint="default" w:ascii="Times New Roman" w:hAnsi="Times New Roman" w:eastAsia="宋体" w:cs="Times New Roman"/>
          <w:color w:val="auto"/>
        </w:rPr>
        <w:t>由表4.</w:t>
      </w:r>
      <w:r>
        <w:rPr>
          <w:rFonts w:hint="eastAsia" w:cs="Times New Roman"/>
          <w:color w:val="auto"/>
          <w:lang w:val="en-US" w:eastAsia="zh-CN"/>
        </w:rPr>
        <w:t>2-6</w:t>
      </w:r>
      <w:r>
        <w:rPr>
          <w:rFonts w:hint="default" w:ascii="Times New Roman" w:hAnsi="Times New Roman" w:eastAsia="宋体" w:cs="Times New Roman"/>
          <w:color w:val="auto"/>
        </w:rPr>
        <w:t>监测结果表明，各监测点位昼间和夜间均未出现超标现象，</w:t>
      </w:r>
      <w:r>
        <w:rPr>
          <w:rFonts w:hint="eastAsia" w:cs="Times New Roman"/>
          <w:color w:val="auto"/>
          <w:lang w:val="en-US" w:eastAsia="zh-CN"/>
        </w:rPr>
        <w:t>项目所在地</w:t>
      </w:r>
      <w:r>
        <w:rPr>
          <w:rFonts w:hint="default" w:ascii="Times New Roman" w:hAnsi="Times New Roman" w:eastAsia="宋体" w:cs="Times New Roman"/>
          <w:color w:val="auto"/>
        </w:rPr>
        <w:t>噪声现状满足《声环境质量标准》（GB3096-2008）表1中2类标准。</w:t>
      </w:r>
    </w:p>
    <w:p>
      <w:pPr>
        <w:pStyle w:val="5"/>
        <w:jc w:val="both"/>
        <w:rPr>
          <w:rFonts w:hint="default" w:ascii="Times New Roman" w:hAnsi="Times New Roman" w:eastAsia="宋体" w:cs="Times New Roman"/>
          <w:color w:val="auto"/>
        </w:rPr>
      </w:pPr>
      <w:bookmarkStart w:id="295" w:name="_Toc282770405"/>
      <w:bookmarkStart w:id="296" w:name="_Toc492644547"/>
      <w:bookmarkStart w:id="297" w:name="_Toc503461629"/>
      <w:bookmarkStart w:id="298" w:name="_Toc507334609"/>
      <w:bookmarkStart w:id="299" w:name="_Toc424517556"/>
      <w:bookmarkStart w:id="300" w:name="_Toc469907701"/>
      <w:bookmarkStart w:id="301" w:name="_Toc16358"/>
      <w:r>
        <w:rPr>
          <w:rFonts w:hint="default" w:ascii="Times New Roman" w:hAnsi="Times New Roman" w:eastAsia="宋体" w:cs="Times New Roman"/>
          <w:color w:val="auto"/>
        </w:rPr>
        <w:t>4.2.</w:t>
      </w:r>
      <w:r>
        <w:rPr>
          <w:rFonts w:hint="eastAsia" w:cs="Times New Roman"/>
          <w:color w:val="auto"/>
          <w:lang w:val="en-US" w:eastAsia="zh-CN"/>
        </w:rPr>
        <w:t>5</w:t>
      </w:r>
      <w:r>
        <w:rPr>
          <w:rFonts w:hint="default" w:ascii="Times New Roman" w:hAnsi="Times New Roman" w:eastAsia="宋体" w:cs="Times New Roman"/>
          <w:color w:val="auto"/>
        </w:rPr>
        <w:t>底泥现状与评价</w:t>
      </w:r>
      <w:bookmarkEnd w:id="295"/>
      <w:bookmarkEnd w:id="296"/>
      <w:bookmarkEnd w:id="297"/>
      <w:bookmarkEnd w:id="298"/>
      <w:bookmarkEnd w:id="299"/>
      <w:bookmarkEnd w:id="300"/>
      <w:bookmarkEnd w:id="301"/>
    </w:p>
    <w:p>
      <w:pPr>
        <w:spacing w:line="480" w:lineRule="exact"/>
        <w:ind w:firstLine="480" w:firstLineChars="200"/>
        <w:jc w:val="both"/>
        <w:rPr>
          <w:rFonts w:hint="default" w:ascii="Times New Roman" w:hAnsi="Times New Roman" w:eastAsia="宋体" w:cs="Times New Roman"/>
          <w:color w:val="auto"/>
        </w:rPr>
      </w:pPr>
      <w:bookmarkStart w:id="302" w:name="_Toc492644436"/>
      <w:r>
        <w:rPr>
          <w:rFonts w:hint="default" w:ascii="Times New Roman" w:hAnsi="Times New Roman" w:eastAsia="宋体" w:cs="Times New Roman"/>
          <w:color w:val="auto"/>
        </w:rPr>
        <w:t>（1）监测断面及监测因子</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监测断面：</w:t>
      </w:r>
      <w:r>
        <w:rPr>
          <w:rFonts w:hint="eastAsia" w:cs="Times New Roman"/>
          <w:color w:val="auto"/>
          <w:lang w:val="en-US" w:eastAsia="zh-CN"/>
        </w:rPr>
        <w:t>本项目</w:t>
      </w:r>
      <w:r>
        <w:rPr>
          <w:rFonts w:hint="default" w:ascii="Times New Roman" w:hAnsi="Times New Roman" w:eastAsia="宋体" w:cs="Times New Roman"/>
          <w:color w:val="auto"/>
          <w:lang w:val="en-US" w:eastAsia="zh-CN"/>
        </w:rPr>
        <w:t>底泥</w:t>
      </w:r>
      <w:r>
        <w:rPr>
          <w:rFonts w:hint="eastAsia" w:cs="Times New Roman"/>
          <w:color w:val="auto"/>
          <w:lang w:val="en-US" w:eastAsia="zh-CN"/>
        </w:rPr>
        <w:t>在工程范围内一级保护区内和二级保护区内分别设置1个</w:t>
      </w:r>
      <w:r>
        <w:rPr>
          <w:rFonts w:hint="default" w:ascii="Times New Roman" w:hAnsi="Times New Roman" w:eastAsia="宋体" w:cs="Times New Roman"/>
          <w:color w:val="auto"/>
          <w:lang w:val="en-US" w:eastAsia="zh-CN"/>
        </w:rPr>
        <w:t>监测断面</w:t>
      </w:r>
      <w:r>
        <w:rPr>
          <w:rFonts w:hint="eastAsia" w:cs="Times New Roman"/>
          <w:color w:val="auto"/>
          <w:lang w:val="en-US" w:eastAsia="zh-CN"/>
        </w:rPr>
        <w:t>，见</w:t>
      </w:r>
      <w:r>
        <w:rPr>
          <w:rFonts w:hint="eastAsia" w:ascii="Times New Roman" w:hAnsi="Times New Roman" w:cs="Times New Roman"/>
          <w:color w:val="auto"/>
          <w:szCs w:val="21"/>
          <w:highlight w:val="none"/>
          <w:lang w:val="en-US" w:eastAsia="zh-CN"/>
        </w:rPr>
        <w:t>图4.2-</w:t>
      </w:r>
      <w:r>
        <w:rPr>
          <w:rFonts w:hint="eastAsia" w:cs="Times New Roman"/>
          <w:color w:val="auto"/>
          <w:szCs w:val="21"/>
          <w:highlight w:val="none"/>
          <w:lang w:val="en-US" w:eastAsia="zh-CN"/>
        </w:rPr>
        <w:t>2</w:t>
      </w:r>
      <w:r>
        <w:rPr>
          <w:rFonts w:hint="eastAsia" w:ascii="Times New Roman" w:hAnsi="Times New Roman" w:cs="Times New Roman"/>
          <w:color w:val="auto"/>
          <w:szCs w:val="21"/>
          <w:highlight w:val="none"/>
          <w:lang w:val="en-US" w:eastAsia="zh-CN"/>
        </w:rPr>
        <w:t>。</w:t>
      </w:r>
      <w:r>
        <w:rPr>
          <w:rFonts w:hint="default" w:ascii="Times New Roman" w:hAnsi="Times New Roman" w:eastAsia="宋体" w:cs="Times New Roman"/>
          <w:color w:val="auto"/>
          <w:lang w:val="en-US" w:eastAsia="zh-CN"/>
        </w:rPr>
        <w:t>。</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监测因子：镉、汞、砷、铅、铬、铜、镍、锌、六六六总量、滴滴涕总量、苯并芘、pH、总磷、总氮、有机质。</w:t>
      </w:r>
    </w:p>
    <w:p>
      <w:pPr>
        <w:spacing w:line="480" w:lineRule="exact"/>
        <w:ind w:firstLine="482" w:firstLineChars="20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 4.2-</w:t>
      </w:r>
      <w:r>
        <w:rPr>
          <w:rFonts w:hint="eastAsia" w:cs="Times New Roman"/>
          <w:b/>
          <w:bCs/>
          <w:color w:val="auto"/>
          <w:lang w:val="en-US" w:eastAsia="zh-CN"/>
        </w:rPr>
        <w:t>7</w:t>
      </w:r>
      <w:r>
        <w:rPr>
          <w:rFonts w:hint="default" w:ascii="Times New Roman" w:hAnsi="Times New Roman" w:eastAsia="宋体" w:cs="Times New Roman"/>
          <w:b/>
          <w:bCs/>
          <w:color w:val="auto"/>
          <w:lang w:val="en-US" w:eastAsia="zh-CN"/>
        </w:rPr>
        <w:t xml:space="preserve"> 底泥环境监测断面信息表</w:t>
      </w:r>
    </w:p>
    <w:tbl>
      <w:tblPr>
        <w:tblStyle w:val="55"/>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5"/>
        <w:gridCol w:w="3233"/>
        <w:gridCol w:w="49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66" w:type="pct"/>
            <w:vAlign w:val="center"/>
          </w:tcPr>
          <w:p>
            <w:pPr>
              <w:snapToGrid w:val="0"/>
              <w:spacing w:line="280" w:lineRule="exact"/>
              <w:jc w:val="center"/>
              <w:rPr>
                <w:rFonts w:hint="eastAsia" w:ascii="Times New Roman" w:hAnsi="Times New Roman" w:eastAsia="宋体" w:cs="Times New Roman"/>
                <w:b/>
                <w:bCs/>
                <w:color w:val="auto"/>
                <w:sz w:val="21"/>
                <w:szCs w:val="21"/>
                <w:lang w:eastAsia="zh-CN"/>
              </w:rPr>
            </w:pPr>
            <w:r>
              <w:rPr>
                <w:rFonts w:hint="eastAsia" w:cs="Times New Roman"/>
                <w:b/>
                <w:bCs/>
                <w:color w:val="auto"/>
                <w:sz w:val="21"/>
                <w:szCs w:val="21"/>
                <w:lang w:val="en-US" w:eastAsia="zh-CN"/>
              </w:rPr>
              <w:t>点位</w:t>
            </w:r>
          </w:p>
        </w:tc>
        <w:tc>
          <w:tcPr>
            <w:tcW w:w="1750" w:type="pct"/>
            <w:vAlign w:val="center"/>
          </w:tcPr>
          <w:p>
            <w:pPr>
              <w:snapToGrid w:val="0"/>
              <w:spacing w:line="280" w:lineRule="exact"/>
              <w:jc w:val="center"/>
              <w:rPr>
                <w:rFonts w:hint="eastAsia" w:ascii="Times New Roman" w:hAnsi="Times New Roman" w:eastAsia="宋体" w:cs="Times New Roman"/>
                <w:b/>
                <w:bCs/>
                <w:color w:val="auto"/>
                <w:sz w:val="21"/>
                <w:szCs w:val="21"/>
                <w:lang w:eastAsia="zh-CN"/>
              </w:rPr>
            </w:pPr>
            <w:r>
              <w:rPr>
                <w:rFonts w:hint="eastAsia" w:cs="Times New Roman"/>
                <w:b/>
                <w:bCs/>
                <w:color w:val="auto"/>
                <w:sz w:val="21"/>
                <w:szCs w:val="21"/>
                <w:lang w:val="en-US" w:eastAsia="zh-CN"/>
              </w:rPr>
              <w:t>位置</w:t>
            </w:r>
          </w:p>
        </w:tc>
        <w:tc>
          <w:tcPr>
            <w:tcW w:w="2683" w:type="pct"/>
            <w:vAlign w:val="center"/>
          </w:tcPr>
          <w:p>
            <w:pPr>
              <w:snapToGrid w:val="0"/>
              <w:spacing w:line="280" w:lineRule="exact"/>
              <w:jc w:val="center"/>
              <w:rPr>
                <w:rFonts w:hint="default" w:ascii="Times New Roman" w:hAnsi="Times New Roman" w:eastAsia="宋体" w:cs="Times New Roman"/>
                <w:b/>
                <w:bCs/>
                <w:color w:val="auto"/>
                <w:sz w:val="21"/>
                <w:szCs w:val="21"/>
              </w:rPr>
            </w:pPr>
            <w:r>
              <w:rPr>
                <w:rFonts w:hint="eastAsia" w:cs="Times New Roman"/>
                <w:b/>
                <w:bCs/>
                <w:color w:val="auto"/>
                <w:sz w:val="21"/>
                <w:szCs w:val="21"/>
                <w:lang w:val="en-US" w:eastAsia="zh-CN"/>
              </w:rPr>
              <w:t>监测因子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66"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S1</w:t>
            </w:r>
          </w:p>
        </w:tc>
        <w:tc>
          <w:tcPr>
            <w:tcW w:w="1750" w:type="pct"/>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工程范围内一级保护区内</w:t>
            </w:r>
          </w:p>
        </w:tc>
        <w:tc>
          <w:tcPr>
            <w:tcW w:w="2683" w:type="pct"/>
            <w:vMerge w:val="restar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镉、汞、砷、铅、铬、铜、镍、锌、六六六总量、滴滴涕总量、苯并</w:t>
            </w:r>
            <w:r>
              <w:rPr>
                <w:rFonts w:hint="eastAsia" w:cs="Times New Roman"/>
                <w:color w:val="auto"/>
                <w:sz w:val="21"/>
                <w:szCs w:val="21"/>
                <w:lang w:eastAsia="zh-CN"/>
              </w:rPr>
              <w:t>（</w:t>
            </w:r>
            <w:r>
              <w:rPr>
                <w:rFonts w:hint="eastAsia" w:cs="Times New Roman"/>
                <w:color w:val="auto"/>
                <w:sz w:val="21"/>
                <w:szCs w:val="21"/>
                <w:lang w:val="en-US" w:eastAsia="zh-CN"/>
              </w:rPr>
              <w:t>a</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芘、pH、总磷、总氮、有机质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66" w:type="pct"/>
            <w:vAlign w:val="center"/>
          </w:tcPr>
          <w:p>
            <w:pPr>
              <w:snapToGrid w:val="0"/>
              <w:spacing w:line="28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S2</w:t>
            </w:r>
          </w:p>
        </w:tc>
        <w:tc>
          <w:tcPr>
            <w:tcW w:w="1750" w:type="pct"/>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工程范围内二级保护区内</w:t>
            </w:r>
          </w:p>
        </w:tc>
        <w:tc>
          <w:tcPr>
            <w:tcW w:w="2683" w:type="pct"/>
            <w:vMerge w:val="continue"/>
            <w:vAlign w:val="center"/>
          </w:tcPr>
          <w:p>
            <w:pPr>
              <w:jc w:val="center"/>
              <w:rPr>
                <w:rFonts w:hint="default" w:ascii="Times New Roman" w:hAnsi="Times New Roman" w:eastAsia="宋体" w:cs="Times New Roman"/>
                <w:color w:val="auto"/>
                <w:sz w:val="21"/>
                <w:szCs w:val="21"/>
              </w:rPr>
            </w:pPr>
          </w:p>
        </w:tc>
      </w:tr>
    </w:tbl>
    <w:p>
      <w:pPr>
        <w:spacing w:line="480" w:lineRule="exact"/>
        <w:ind w:firstLine="480" w:firstLineChars="200"/>
        <w:jc w:val="both"/>
        <w:rPr>
          <w:rFonts w:hint="eastAsia" w:cs="Times New Roman"/>
          <w:color w:val="auto"/>
          <w:lang w:val="en-US" w:eastAsia="zh-CN"/>
        </w:rPr>
      </w:pPr>
      <w:r>
        <w:rPr>
          <w:rFonts w:hint="eastAsia" w:cs="Times New Roman"/>
          <w:color w:val="auto"/>
          <w:lang w:val="en-US" w:eastAsia="zh-CN"/>
        </w:rPr>
        <w:t>（2）</w:t>
      </w:r>
      <w:r>
        <w:rPr>
          <w:rFonts w:hint="default" w:ascii="Times New Roman" w:hAnsi="Times New Roman" w:eastAsia="宋体" w:cs="Times New Roman"/>
          <w:color w:val="auto"/>
          <w:lang w:val="en-US" w:eastAsia="zh-CN"/>
        </w:rPr>
        <w:t>监测时间及频率：</w:t>
      </w:r>
      <w:r>
        <w:rPr>
          <w:rFonts w:hint="eastAsia" w:cs="Times New Roman"/>
          <w:color w:val="auto"/>
          <w:lang w:val="en-US" w:eastAsia="zh-CN"/>
        </w:rPr>
        <w:t>2021年6月25日，监测1天，每天采样1次。</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（3）监测方法：按照GB15618-2018有关规定进行。</w:t>
      </w:r>
    </w:p>
    <w:p>
      <w:pPr>
        <w:widowControl w:val="0"/>
        <w:spacing w:line="480" w:lineRule="exact"/>
        <w:ind w:firstLine="480" w:firstLineChars="200"/>
        <w:jc w:val="both"/>
        <w:rPr>
          <w:rFonts w:hint="default" w:ascii="Times New Roman" w:hAnsi="Times New Roman" w:eastAsia="宋体" w:cs="Times New Roman"/>
          <w:color w:val="auto"/>
          <w:lang w:val="en-US" w:eastAsia="zh-CN"/>
        </w:rPr>
      </w:pPr>
      <w:bookmarkStart w:id="303" w:name="_Toc503461631"/>
      <w:bookmarkStart w:id="304" w:name="_Toc17011"/>
      <w:r>
        <w:rPr>
          <w:rFonts w:hint="eastAsia" w:cs="Times New Roman"/>
          <w:color w:val="auto"/>
          <w:lang w:val="en-US" w:eastAsia="zh-CN"/>
        </w:rPr>
        <w:t>（4）</w:t>
      </w:r>
      <w:r>
        <w:rPr>
          <w:rFonts w:hint="default" w:ascii="Times New Roman" w:hAnsi="Times New Roman" w:eastAsia="宋体" w:cs="Times New Roman"/>
          <w:color w:val="auto"/>
          <w:lang w:val="en-US" w:eastAsia="zh-CN"/>
        </w:rPr>
        <w:t>监测数据及评价结果</w:t>
      </w:r>
    </w:p>
    <w:p>
      <w:pPr>
        <w:widowControl w:val="0"/>
        <w:spacing w:line="480" w:lineRule="exact"/>
        <w:ind w:firstLine="482" w:firstLineChars="20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表 4.2-</w:t>
      </w:r>
      <w:r>
        <w:rPr>
          <w:rFonts w:hint="eastAsia" w:cs="Times New Roman"/>
          <w:b/>
          <w:bCs/>
          <w:color w:val="auto"/>
          <w:lang w:val="en-US" w:eastAsia="zh-CN"/>
        </w:rPr>
        <w:t>9</w:t>
      </w:r>
      <w:r>
        <w:rPr>
          <w:rFonts w:hint="default" w:ascii="Times New Roman" w:hAnsi="Times New Roman" w:eastAsia="宋体" w:cs="Times New Roman"/>
          <w:b/>
          <w:bCs/>
          <w:color w:val="auto"/>
          <w:lang w:val="en-US" w:eastAsia="zh-CN"/>
        </w:rPr>
        <w:t xml:space="preserve"> 底泥环境监测</w:t>
      </w:r>
      <w:r>
        <w:rPr>
          <w:rFonts w:hint="eastAsia" w:ascii="Times New Roman" w:hAnsi="Times New Roman" w:cs="Times New Roman"/>
          <w:b/>
          <w:bCs/>
          <w:color w:val="auto"/>
          <w:lang w:val="en-US" w:eastAsia="zh-CN"/>
        </w:rPr>
        <w:t>结果</w:t>
      </w:r>
      <w:r>
        <w:rPr>
          <w:rFonts w:hint="default" w:ascii="Times New Roman" w:hAnsi="Times New Roman" w:eastAsia="宋体" w:cs="Times New Roman"/>
          <w:b/>
          <w:bCs/>
          <w:color w:val="auto"/>
          <w:lang w:val="en-US" w:eastAsia="zh-CN"/>
        </w:rPr>
        <w:t>表</w:t>
      </w:r>
      <w:r>
        <w:rPr>
          <w:rFonts w:hint="eastAsia" w:ascii="Times New Roman" w:hAnsi="Times New Roman" w:cs="Times New Roman"/>
          <w:b/>
          <w:bCs/>
          <w:color w:val="auto"/>
          <w:lang w:val="en-US" w:eastAsia="zh-CN"/>
        </w:rPr>
        <w:t xml:space="preserve">  mg/kg</w:t>
      </w:r>
    </w:p>
    <w:tbl>
      <w:tblPr>
        <w:tblStyle w:val="55"/>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78"/>
        <w:gridCol w:w="3114"/>
        <w:gridCol w:w="1668"/>
        <w:gridCol w:w="1598"/>
        <w:gridCol w:w="14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746" w:type="pct"/>
            <w:vMerge w:val="restart"/>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w:t>
            </w:r>
            <w:r>
              <w:rPr>
                <w:rFonts w:hint="eastAsia" w:ascii="Times New Roman" w:hAnsi="Times New Roman" w:cs="Times New Roman"/>
                <w:b/>
                <w:bCs/>
                <w:color w:val="auto"/>
                <w:sz w:val="21"/>
                <w:szCs w:val="21"/>
                <w:lang w:val="en-US" w:eastAsia="zh-CN"/>
              </w:rPr>
              <w:t>项目</w:t>
            </w:r>
          </w:p>
        </w:tc>
        <w:tc>
          <w:tcPr>
            <w:tcW w:w="3454" w:type="pct"/>
            <w:gridSpan w:val="3"/>
            <w:vAlign w:val="center"/>
          </w:tcPr>
          <w:p>
            <w:pPr>
              <w:snapToGrid w:val="0"/>
              <w:spacing w:line="280" w:lineRule="exact"/>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监测点位</w:t>
            </w:r>
          </w:p>
        </w:tc>
        <w:tc>
          <w:tcPr>
            <w:tcW w:w="799" w:type="pct"/>
            <w:vMerge w:val="restart"/>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746" w:type="pct"/>
            <w:vMerge w:val="continue"/>
            <w:vAlign w:val="center"/>
          </w:tcPr>
          <w:p>
            <w:pPr>
              <w:snapToGrid w:val="0"/>
              <w:spacing w:line="280" w:lineRule="exact"/>
              <w:jc w:val="center"/>
            </w:pPr>
          </w:p>
        </w:tc>
        <w:tc>
          <w:tcPr>
            <w:tcW w:w="1686" w:type="pct"/>
            <w:vAlign w:val="center"/>
          </w:tcPr>
          <w:p>
            <w:pPr>
              <w:snapToGrid w:val="0"/>
              <w:spacing w:line="280" w:lineRule="exact"/>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S1工程范围内一级保护区内</w:t>
            </w:r>
          </w:p>
        </w:tc>
        <w:tc>
          <w:tcPr>
            <w:tcW w:w="1767" w:type="pct"/>
            <w:gridSpan w:val="2"/>
            <w:vAlign w:val="center"/>
          </w:tcPr>
          <w:p>
            <w:pPr>
              <w:snapToGrid w:val="0"/>
              <w:spacing w:line="280" w:lineRule="exact"/>
              <w:jc w:val="center"/>
              <w:rPr>
                <w:rFonts w:hint="default" w:ascii="Times New Roman" w:hAnsi="Times New Roman" w:eastAsia="宋体" w:cs="Times New Roman"/>
                <w:b/>
                <w:bCs/>
                <w:color w:val="auto"/>
                <w:sz w:val="21"/>
                <w:szCs w:val="21"/>
              </w:rPr>
            </w:pPr>
            <w:r>
              <w:rPr>
                <w:rFonts w:hint="eastAsia" w:ascii="Times New Roman" w:hAnsi="Times New Roman" w:cs="Times New Roman"/>
                <w:b/>
                <w:bCs/>
                <w:color w:val="auto"/>
                <w:sz w:val="21"/>
                <w:szCs w:val="21"/>
                <w:lang w:val="en-US" w:eastAsia="zh-CN"/>
              </w:rPr>
              <w:t>S2工程范围内一级保护区内</w:t>
            </w:r>
          </w:p>
        </w:tc>
        <w:tc>
          <w:tcPr>
            <w:tcW w:w="799" w:type="pct"/>
            <w:vMerge w:val="continue"/>
            <w:vAlign w:val="center"/>
          </w:tcPr>
          <w:p>
            <w:pPr>
              <w:snapToGrid w:val="0"/>
              <w:spacing w:line="280" w:lineRule="exact"/>
              <w:jc w:val="center"/>
              <w:rPr>
                <w:rFonts w:hint="default" w:ascii="Times New Roman" w:hAnsi="Times New Roman" w:eastAsia="宋体" w:cs="Times New Roman"/>
                <w:b/>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46"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砷</w:t>
            </w:r>
          </w:p>
        </w:tc>
        <w:tc>
          <w:tcPr>
            <w:tcW w:w="1686"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15.4</w:t>
            </w:r>
          </w:p>
        </w:tc>
        <w:tc>
          <w:tcPr>
            <w:tcW w:w="903" w:type="pct"/>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13.3</w:t>
            </w:r>
          </w:p>
        </w:tc>
        <w:tc>
          <w:tcPr>
            <w:tcW w:w="864" w:type="pct"/>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13.2</w:t>
            </w:r>
          </w:p>
        </w:tc>
        <w:tc>
          <w:tcPr>
            <w:tcW w:w="799" w:type="pct"/>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46" w:type="pct"/>
            <w:vAlign w:val="center"/>
          </w:tcPr>
          <w:p>
            <w:pPr>
              <w:snapToGrid w:val="0"/>
              <w:spacing w:line="28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汞</w:t>
            </w:r>
          </w:p>
        </w:tc>
        <w:tc>
          <w:tcPr>
            <w:tcW w:w="1686" w:type="pct"/>
            <w:vAlign w:val="center"/>
          </w:tcPr>
          <w:p>
            <w:pPr>
              <w:snapToGrid w:val="0"/>
              <w:spacing w:line="28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0.064</w:t>
            </w:r>
          </w:p>
        </w:tc>
        <w:tc>
          <w:tcPr>
            <w:tcW w:w="903" w:type="pct"/>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0.047</w:t>
            </w:r>
          </w:p>
        </w:tc>
        <w:tc>
          <w:tcPr>
            <w:tcW w:w="864" w:type="pct"/>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0.049</w:t>
            </w:r>
          </w:p>
        </w:tc>
        <w:tc>
          <w:tcPr>
            <w:tcW w:w="799" w:type="pct"/>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46" w:type="pct"/>
            <w:vAlign w:val="center"/>
          </w:tcPr>
          <w:p>
            <w:pPr>
              <w:widowControl w:val="0"/>
              <w:spacing w:line="32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铬</w:t>
            </w:r>
          </w:p>
        </w:tc>
        <w:tc>
          <w:tcPr>
            <w:tcW w:w="1686"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w:t>
            </w:r>
          </w:p>
        </w:tc>
        <w:tc>
          <w:tcPr>
            <w:tcW w:w="903" w:type="pct"/>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864" w:type="pct"/>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11</w:t>
            </w:r>
          </w:p>
        </w:tc>
        <w:tc>
          <w:tcPr>
            <w:tcW w:w="799" w:type="pct"/>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46" w:type="pct"/>
            <w:vAlign w:val="center"/>
          </w:tcPr>
          <w:p>
            <w:pPr>
              <w:widowControl w:val="0"/>
              <w:spacing w:line="32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铜</w:t>
            </w:r>
          </w:p>
        </w:tc>
        <w:tc>
          <w:tcPr>
            <w:tcW w:w="1686"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62</w:t>
            </w:r>
          </w:p>
        </w:tc>
        <w:tc>
          <w:tcPr>
            <w:tcW w:w="903" w:type="pct"/>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59</w:t>
            </w:r>
          </w:p>
        </w:tc>
        <w:tc>
          <w:tcPr>
            <w:tcW w:w="864" w:type="pct"/>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56</w:t>
            </w:r>
          </w:p>
        </w:tc>
        <w:tc>
          <w:tcPr>
            <w:tcW w:w="799" w:type="pct"/>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46" w:type="pct"/>
            <w:vAlign w:val="center"/>
          </w:tcPr>
          <w:p>
            <w:pPr>
              <w:widowControl w:val="0"/>
              <w:spacing w:line="32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镍</w:t>
            </w:r>
          </w:p>
        </w:tc>
        <w:tc>
          <w:tcPr>
            <w:tcW w:w="1686"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83</w:t>
            </w:r>
          </w:p>
        </w:tc>
        <w:tc>
          <w:tcPr>
            <w:tcW w:w="903" w:type="pct"/>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80</w:t>
            </w:r>
          </w:p>
        </w:tc>
        <w:tc>
          <w:tcPr>
            <w:tcW w:w="864" w:type="pct"/>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74</w:t>
            </w:r>
          </w:p>
        </w:tc>
        <w:tc>
          <w:tcPr>
            <w:tcW w:w="799" w:type="pct"/>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46" w:type="pct"/>
            <w:vAlign w:val="center"/>
          </w:tcPr>
          <w:p>
            <w:pPr>
              <w:widowControl w:val="0"/>
              <w:spacing w:line="32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锌</w:t>
            </w:r>
          </w:p>
        </w:tc>
        <w:tc>
          <w:tcPr>
            <w:tcW w:w="1686"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195</w:t>
            </w:r>
          </w:p>
        </w:tc>
        <w:tc>
          <w:tcPr>
            <w:tcW w:w="903" w:type="pct"/>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222</w:t>
            </w:r>
          </w:p>
        </w:tc>
        <w:tc>
          <w:tcPr>
            <w:tcW w:w="864" w:type="pct"/>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220</w:t>
            </w:r>
          </w:p>
        </w:tc>
        <w:tc>
          <w:tcPr>
            <w:tcW w:w="799" w:type="pct"/>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46"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六六六总量</w:t>
            </w:r>
          </w:p>
        </w:tc>
        <w:tc>
          <w:tcPr>
            <w:tcW w:w="1686" w:type="pct"/>
            <w:vAlign w:val="center"/>
          </w:tcPr>
          <w:p>
            <w:pPr>
              <w:widowControl w:val="0"/>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ND</w:t>
            </w:r>
          </w:p>
        </w:tc>
        <w:tc>
          <w:tcPr>
            <w:tcW w:w="903" w:type="pct"/>
            <w:vAlign w:val="center"/>
          </w:tcPr>
          <w:p>
            <w:pPr>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ND</w:t>
            </w:r>
          </w:p>
        </w:tc>
        <w:tc>
          <w:tcPr>
            <w:tcW w:w="864" w:type="pct"/>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ND</w:t>
            </w:r>
          </w:p>
        </w:tc>
        <w:tc>
          <w:tcPr>
            <w:tcW w:w="799" w:type="pct"/>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46" w:type="pct"/>
            <w:vAlign w:val="center"/>
          </w:tcPr>
          <w:p>
            <w:pPr>
              <w:widowControl w:val="0"/>
              <w:spacing w:line="32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滴滴涕总量</w:t>
            </w:r>
          </w:p>
        </w:tc>
        <w:tc>
          <w:tcPr>
            <w:tcW w:w="1686" w:type="pct"/>
            <w:vAlign w:val="center"/>
          </w:tcPr>
          <w:p>
            <w:pPr>
              <w:widowControl w:val="0"/>
              <w:spacing w:line="320" w:lineRule="exact"/>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ND</w:t>
            </w:r>
          </w:p>
        </w:tc>
        <w:tc>
          <w:tcPr>
            <w:tcW w:w="903" w:type="pct"/>
            <w:vAlign w:val="center"/>
          </w:tcPr>
          <w:p>
            <w:pPr>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ND</w:t>
            </w:r>
          </w:p>
        </w:tc>
        <w:tc>
          <w:tcPr>
            <w:tcW w:w="864" w:type="pct"/>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ND</w:t>
            </w:r>
          </w:p>
        </w:tc>
        <w:tc>
          <w:tcPr>
            <w:tcW w:w="799" w:type="pct"/>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46" w:type="pct"/>
            <w:vAlign w:val="center"/>
          </w:tcPr>
          <w:p>
            <w:pPr>
              <w:widowControl w:val="0"/>
              <w:spacing w:line="32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苯并（a）芘</w:t>
            </w:r>
          </w:p>
        </w:tc>
        <w:tc>
          <w:tcPr>
            <w:tcW w:w="1686" w:type="pct"/>
            <w:vAlign w:val="center"/>
          </w:tcPr>
          <w:p>
            <w:pPr>
              <w:widowControl w:val="0"/>
              <w:spacing w:line="320" w:lineRule="exact"/>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ND</w:t>
            </w:r>
          </w:p>
        </w:tc>
        <w:tc>
          <w:tcPr>
            <w:tcW w:w="903" w:type="pct"/>
            <w:vAlign w:val="center"/>
          </w:tcPr>
          <w:p>
            <w:pPr>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ND</w:t>
            </w:r>
          </w:p>
        </w:tc>
        <w:tc>
          <w:tcPr>
            <w:tcW w:w="864" w:type="pct"/>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ND</w:t>
            </w:r>
          </w:p>
        </w:tc>
        <w:tc>
          <w:tcPr>
            <w:tcW w:w="799" w:type="pct"/>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46" w:type="pct"/>
            <w:vAlign w:val="center"/>
          </w:tcPr>
          <w:p>
            <w:pPr>
              <w:widowControl w:val="0"/>
              <w:spacing w:line="32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pH值</w:t>
            </w:r>
          </w:p>
        </w:tc>
        <w:tc>
          <w:tcPr>
            <w:tcW w:w="1686" w:type="pct"/>
            <w:vAlign w:val="center"/>
          </w:tcPr>
          <w:p>
            <w:pPr>
              <w:widowControl w:val="0"/>
              <w:spacing w:line="32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7.35</w:t>
            </w:r>
          </w:p>
        </w:tc>
        <w:tc>
          <w:tcPr>
            <w:tcW w:w="903" w:type="pct"/>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7.10</w:t>
            </w:r>
          </w:p>
        </w:tc>
        <w:tc>
          <w:tcPr>
            <w:tcW w:w="864" w:type="pct"/>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7.07</w:t>
            </w:r>
          </w:p>
        </w:tc>
        <w:tc>
          <w:tcPr>
            <w:tcW w:w="799" w:type="pct"/>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6.7~7.5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46" w:type="pct"/>
            <w:vAlign w:val="center"/>
          </w:tcPr>
          <w:p>
            <w:pPr>
              <w:widowControl w:val="0"/>
              <w:spacing w:line="32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镉</w:t>
            </w:r>
          </w:p>
        </w:tc>
        <w:tc>
          <w:tcPr>
            <w:tcW w:w="1686" w:type="pct"/>
            <w:vAlign w:val="center"/>
          </w:tcPr>
          <w:p>
            <w:pPr>
              <w:widowControl w:val="0"/>
              <w:spacing w:line="32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0.27</w:t>
            </w:r>
          </w:p>
        </w:tc>
        <w:tc>
          <w:tcPr>
            <w:tcW w:w="903" w:type="pct"/>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0.26</w:t>
            </w:r>
          </w:p>
        </w:tc>
        <w:tc>
          <w:tcPr>
            <w:tcW w:w="864" w:type="pct"/>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0.26</w:t>
            </w:r>
          </w:p>
        </w:tc>
        <w:tc>
          <w:tcPr>
            <w:tcW w:w="799" w:type="pct"/>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46" w:type="pct"/>
            <w:vAlign w:val="center"/>
          </w:tcPr>
          <w:p>
            <w:pPr>
              <w:widowControl w:val="0"/>
              <w:spacing w:line="32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总磷</w:t>
            </w:r>
          </w:p>
        </w:tc>
        <w:tc>
          <w:tcPr>
            <w:tcW w:w="1686" w:type="pct"/>
            <w:vAlign w:val="center"/>
          </w:tcPr>
          <w:p>
            <w:pPr>
              <w:widowControl w:val="0"/>
              <w:spacing w:line="32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473</w:t>
            </w:r>
          </w:p>
        </w:tc>
        <w:tc>
          <w:tcPr>
            <w:tcW w:w="903" w:type="pct"/>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437.1</w:t>
            </w:r>
          </w:p>
        </w:tc>
        <w:tc>
          <w:tcPr>
            <w:tcW w:w="864" w:type="pct"/>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429.0</w:t>
            </w:r>
          </w:p>
        </w:tc>
        <w:tc>
          <w:tcPr>
            <w:tcW w:w="799" w:type="pct"/>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46" w:type="pct"/>
            <w:vAlign w:val="center"/>
          </w:tcPr>
          <w:p>
            <w:pPr>
              <w:widowControl w:val="0"/>
              <w:spacing w:line="32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总氮</w:t>
            </w:r>
          </w:p>
        </w:tc>
        <w:tc>
          <w:tcPr>
            <w:tcW w:w="1686" w:type="pct"/>
            <w:vAlign w:val="center"/>
          </w:tcPr>
          <w:p>
            <w:pPr>
              <w:widowControl w:val="0"/>
              <w:spacing w:line="32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990.6</w:t>
            </w:r>
          </w:p>
        </w:tc>
        <w:tc>
          <w:tcPr>
            <w:tcW w:w="903" w:type="pct"/>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951.2</w:t>
            </w:r>
          </w:p>
        </w:tc>
        <w:tc>
          <w:tcPr>
            <w:tcW w:w="864" w:type="pct"/>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897.0</w:t>
            </w:r>
          </w:p>
        </w:tc>
        <w:tc>
          <w:tcPr>
            <w:tcW w:w="799" w:type="pct"/>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46" w:type="pct"/>
            <w:vAlign w:val="center"/>
          </w:tcPr>
          <w:p>
            <w:pPr>
              <w:widowControl w:val="0"/>
              <w:spacing w:line="32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有机质</w:t>
            </w:r>
          </w:p>
        </w:tc>
        <w:tc>
          <w:tcPr>
            <w:tcW w:w="1686" w:type="pct"/>
            <w:vAlign w:val="center"/>
          </w:tcPr>
          <w:p>
            <w:pPr>
              <w:widowControl w:val="0"/>
              <w:spacing w:line="32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41.3g/kg</w:t>
            </w:r>
          </w:p>
        </w:tc>
        <w:tc>
          <w:tcPr>
            <w:tcW w:w="903" w:type="pct"/>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33.6g/kg</w:t>
            </w:r>
          </w:p>
        </w:tc>
        <w:tc>
          <w:tcPr>
            <w:tcW w:w="864" w:type="pct"/>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33.7g/kg</w:t>
            </w:r>
          </w:p>
        </w:tc>
        <w:tc>
          <w:tcPr>
            <w:tcW w:w="799" w:type="pct"/>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46" w:type="pct"/>
            <w:vAlign w:val="center"/>
          </w:tcPr>
          <w:p>
            <w:pPr>
              <w:widowControl w:val="0"/>
              <w:spacing w:line="32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铅</w:t>
            </w:r>
          </w:p>
        </w:tc>
        <w:tc>
          <w:tcPr>
            <w:tcW w:w="1686" w:type="pct"/>
            <w:vAlign w:val="center"/>
          </w:tcPr>
          <w:p>
            <w:pPr>
              <w:widowControl w:val="0"/>
              <w:spacing w:line="32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32.6</w:t>
            </w:r>
          </w:p>
        </w:tc>
        <w:tc>
          <w:tcPr>
            <w:tcW w:w="903" w:type="pct"/>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31.2</w:t>
            </w:r>
          </w:p>
        </w:tc>
        <w:tc>
          <w:tcPr>
            <w:tcW w:w="864" w:type="pct"/>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31.6</w:t>
            </w:r>
          </w:p>
        </w:tc>
        <w:tc>
          <w:tcPr>
            <w:tcW w:w="799" w:type="pct"/>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120</w:t>
            </w:r>
          </w:p>
        </w:tc>
      </w:tr>
    </w:tbl>
    <w:p>
      <w:pPr>
        <w:spacing w:line="480" w:lineRule="exact"/>
        <w:ind w:firstLine="480" w:firstLineChars="200"/>
        <w:jc w:val="both"/>
        <w:rPr>
          <w:rFonts w:hint="default" w:ascii="Times New Roman" w:hAnsi="Times New Roman" w:eastAsia="宋体" w:cs="Times New Roman"/>
          <w:color w:val="auto"/>
        </w:rPr>
        <w:sectPr>
          <w:pgSz w:w="11905" w:h="16838"/>
          <w:pgMar w:top="1797" w:right="1440" w:bottom="1797" w:left="1440" w:header="850" w:footer="992" w:gutter="0"/>
          <w:pgBorders>
            <w:top w:val="none" w:sz="0" w:space="0"/>
            <w:left w:val="none" w:sz="0" w:space="0"/>
            <w:bottom w:val="none" w:sz="0" w:space="0"/>
            <w:right w:val="none" w:sz="0" w:space="0"/>
          </w:pgBorders>
          <w:pgNumType w:fmt="decimal"/>
          <w:cols w:space="0" w:num="1"/>
          <w:docGrid w:type="lines" w:linePitch="392" w:charSpace="0"/>
        </w:sectPr>
      </w:pPr>
      <w:r>
        <w:rPr>
          <w:rFonts w:hint="default" w:ascii="Times New Roman" w:hAnsi="Times New Roman" w:eastAsia="宋体" w:cs="Times New Roman"/>
          <w:color w:val="auto"/>
        </w:rPr>
        <w:t>根据监测结果，</w:t>
      </w:r>
      <w:r>
        <w:rPr>
          <w:rFonts w:hint="default" w:ascii="Times New Roman" w:hAnsi="Times New Roman" w:eastAsia="宋体" w:cs="Times New Roman"/>
          <w:color w:val="auto"/>
          <w:lang w:val="en-US" w:eastAsia="zh-CN"/>
        </w:rPr>
        <w:t>底泥</w:t>
      </w:r>
      <w:r>
        <w:rPr>
          <w:rFonts w:hint="default" w:ascii="Times New Roman" w:hAnsi="Times New Roman" w:eastAsia="宋体" w:cs="Times New Roman"/>
          <w:color w:val="auto"/>
        </w:rPr>
        <w:t>各监测因子</w:t>
      </w:r>
      <w:r>
        <w:rPr>
          <w:rFonts w:hint="eastAsia" w:cs="Times New Roman"/>
          <w:color w:val="auto"/>
          <w:lang w:val="en-US" w:eastAsia="zh-CN"/>
        </w:rPr>
        <w:t>指标均低于《土壤环境质量标准农用地土壤风险管控标准》（GB15618-2018）</w:t>
      </w:r>
      <w:r>
        <w:rPr>
          <w:rFonts w:hint="default" w:ascii="Times New Roman" w:hAnsi="Times New Roman" w:eastAsia="宋体" w:cs="Times New Roman"/>
          <w:color w:val="auto"/>
          <w:lang w:val="en-US" w:eastAsia="zh-CN"/>
        </w:rPr>
        <w:t>中</w:t>
      </w:r>
      <w:r>
        <w:rPr>
          <w:rFonts w:hint="eastAsia" w:cs="Times New Roman"/>
          <w:color w:val="auto"/>
          <w:lang w:val="en-US" w:eastAsia="zh-CN"/>
        </w:rPr>
        <w:t>农用地土壤污染风险筛选值，由此可见，本项目工程范围内湖区底泥质量良好</w:t>
      </w:r>
      <w:r>
        <w:rPr>
          <w:rFonts w:hint="default" w:ascii="Times New Roman" w:hAnsi="Times New Roman" w:eastAsia="宋体" w:cs="Times New Roman"/>
          <w:color w:val="auto"/>
        </w:rPr>
        <w:t>。</w:t>
      </w:r>
    </w:p>
    <w:p>
      <w:pPr>
        <w:spacing w:line="480" w:lineRule="exact"/>
        <w:ind w:firstLine="480" w:firstLineChars="200"/>
        <w:rPr>
          <w:rFonts w:hint="default" w:ascii="Times New Roman" w:hAnsi="Times New Roman" w:eastAsia="宋体" w:cs="Times New Roman"/>
          <w:color w:val="auto"/>
          <w:lang w:val="en-US" w:eastAsia="zh-CN"/>
        </w:rPr>
      </w:pPr>
      <w:r>
        <w:drawing>
          <wp:anchor distT="0" distB="0" distL="114300" distR="114300" simplePos="0" relativeHeight="251705344" behindDoc="0" locked="0" layoutInCell="1" allowOverlap="1">
            <wp:simplePos x="0" y="0"/>
            <wp:positionH relativeFrom="column">
              <wp:posOffset>765810</wp:posOffset>
            </wp:positionH>
            <wp:positionV relativeFrom="paragraph">
              <wp:posOffset>-141605</wp:posOffset>
            </wp:positionV>
            <wp:extent cx="4219575" cy="5915025"/>
            <wp:effectExtent l="0" t="0" r="9525" b="9525"/>
            <wp:wrapNone/>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63"/>
                    <a:stretch>
                      <a:fillRect/>
                    </a:stretch>
                  </pic:blipFill>
                  <pic:spPr>
                    <a:xfrm>
                      <a:off x="0" y="0"/>
                      <a:ext cx="4219575" cy="5915025"/>
                    </a:xfrm>
                    <a:prstGeom prst="rect">
                      <a:avLst/>
                    </a:prstGeom>
                    <a:noFill/>
                    <a:ln>
                      <a:noFill/>
                    </a:ln>
                  </pic:spPr>
                </pic:pic>
              </a:graphicData>
            </a:graphic>
          </wp:anchor>
        </w:drawing>
      </w: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widowControl w:val="0"/>
        <w:spacing w:line="480" w:lineRule="exact"/>
        <w:ind w:firstLine="480" w:firstLineChars="200"/>
        <w:jc w:val="both"/>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注：W:地表水监测点位；S：底泥监测点位；N噪声监测点位</w:t>
      </w:r>
    </w:p>
    <w:p>
      <w:pPr>
        <w:widowControl w:val="0"/>
        <w:spacing w:line="480" w:lineRule="exact"/>
        <w:ind w:firstLine="482" w:firstLineChars="200"/>
        <w:jc w:val="center"/>
        <w:rPr>
          <w:rFonts w:hint="default" w:ascii="Times New Roman" w:hAnsi="Times New Roman" w:eastAsia="宋体" w:cs="Times New Roman"/>
          <w:color w:val="auto"/>
          <w:lang w:val="en-US" w:eastAsia="zh-CN"/>
        </w:rPr>
      </w:pPr>
      <w:r>
        <w:rPr>
          <w:rFonts w:hint="eastAsia" w:ascii="Times New Roman" w:hAnsi="Times New Roman" w:cs="Times New Roman"/>
          <w:b/>
          <w:bCs/>
          <w:color w:val="auto"/>
          <w:lang w:val="en-US" w:eastAsia="zh-CN"/>
        </w:rPr>
        <w:t>图4.2-</w:t>
      </w:r>
      <w:r>
        <w:rPr>
          <w:rFonts w:hint="eastAsia" w:cs="Times New Roman"/>
          <w:b/>
          <w:bCs/>
          <w:color w:val="auto"/>
          <w:lang w:val="en-US" w:eastAsia="zh-CN"/>
        </w:rPr>
        <w:t>2</w:t>
      </w:r>
      <w:r>
        <w:rPr>
          <w:rFonts w:hint="eastAsia" w:ascii="Times New Roman" w:hAnsi="Times New Roman" w:cs="Times New Roman"/>
          <w:b/>
          <w:bCs/>
          <w:color w:val="auto"/>
          <w:lang w:val="en-US" w:eastAsia="zh-CN"/>
        </w:rPr>
        <w:t xml:space="preserve">  本项目监测点位图</w:t>
      </w: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p>
      <w:pPr>
        <w:spacing w:line="480" w:lineRule="exact"/>
        <w:ind w:firstLine="480" w:firstLineChars="200"/>
        <w:rPr>
          <w:rFonts w:hint="default" w:ascii="Times New Roman" w:hAnsi="Times New Roman" w:eastAsia="宋体" w:cs="Times New Roman"/>
          <w:color w:val="auto"/>
          <w:lang w:val="en-US" w:eastAsia="zh-CN"/>
        </w:rPr>
      </w:pPr>
    </w:p>
    <w:bookmarkEnd w:id="302"/>
    <w:bookmarkEnd w:id="303"/>
    <w:bookmarkEnd w:id="304"/>
    <w:p>
      <w:pPr>
        <w:pStyle w:val="3"/>
        <w:spacing w:before="117" w:after="117"/>
        <w:jc w:val="both"/>
        <w:rPr>
          <w:rFonts w:hint="default" w:ascii="Times New Roman" w:hAnsi="Times New Roman" w:eastAsia="宋体" w:cs="Times New Roman"/>
          <w:color w:val="auto"/>
          <w:lang w:val="en-US"/>
        </w:rPr>
      </w:pPr>
      <w:bookmarkStart w:id="305" w:name="_Toc492644437"/>
      <w:bookmarkStart w:id="306" w:name="_Toc29645"/>
      <w:bookmarkStart w:id="307" w:name="_Toc310244036"/>
      <w:bookmarkStart w:id="308" w:name="_Toc305841962"/>
      <w:bookmarkStart w:id="309" w:name="_Toc214355830"/>
      <w:bookmarkStart w:id="310" w:name="_Toc312155991"/>
      <w:bookmarkStart w:id="311" w:name="_Toc302113196"/>
      <w:r>
        <w:rPr>
          <w:rFonts w:hint="default" w:ascii="Times New Roman" w:hAnsi="Times New Roman" w:eastAsia="宋体" w:cs="Times New Roman"/>
          <w:color w:val="auto"/>
        </w:rPr>
        <w:t>5环境影响</w:t>
      </w:r>
      <w:r>
        <w:rPr>
          <w:rFonts w:hint="default" w:ascii="Times New Roman" w:hAnsi="Times New Roman" w:eastAsia="宋体" w:cs="Times New Roman"/>
          <w:color w:val="auto"/>
          <w:lang w:val="en-US" w:eastAsia="zh-CN"/>
        </w:rPr>
        <w:t>预测与</w:t>
      </w:r>
      <w:bookmarkEnd w:id="305"/>
      <w:r>
        <w:rPr>
          <w:rFonts w:hint="default" w:ascii="Times New Roman" w:hAnsi="Times New Roman" w:eastAsia="宋体" w:cs="Times New Roman"/>
          <w:color w:val="auto"/>
          <w:lang w:val="en-US" w:eastAsia="zh-CN"/>
        </w:rPr>
        <w:t>评价</w:t>
      </w:r>
      <w:bookmarkEnd w:id="306"/>
    </w:p>
    <w:p>
      <w:pPr>
        <w:pStyle w:val="4"/>
        <w:pageBreakBefore w:val="0"/>
        <w:widowControl w:val="0"/>
        <w:tabs>
          <w:tab w:val="left" w:pos="2160"/>
        </w:tabs>
        <w:kinsoku/>
        <w:wordWrap/>
        <w:overflowPunct/>
        <w:topLinePunct w:val="0"/>
        <w:bidi w:val="0"/>
        <w:adjustRightInd/>
        <w:snapToGrid/>
        <w:spacing w:before="0" w:beforeLines="0" w:after="0" w:afterLines="0" w:line="480" w:lineRule="exact"/>
        <w:jc w:val="both"/>
        <w:textAlignment w:val="auto"/>
        <w:rPr>
          <w:rFonts w:hint="default" w:ascii="Times New Roman" w:hAnsi="Times New Roman" w:eastAsia="宋体" w:cs="Times New Roman"/>
          <w:bCs/>
          <w:color w:val="auto"/>
          <w:sz w:val="30"/>
          <w:szCs w:val="30"/>
        </w:rPr>
      </w:pPr>
      <w:bookmarkStart w:id="312" w:name="_Toc370235916"/>
      <w:bookmarkStart w:id="313" w:name="_Toc6452"/>
      <w:bookmarkStart w:id="314" w:name="_Toc434412818"/>
      <w:bookmarkStart w:id="315" w:name="_Toc310244080"/>
      <w:bookmarkStart w:id="316" w:name="_Toc307410053"/>
      <w:bookmarkStart w:id="317" w:name="_Toc312156038"/>
      <w:bookmarkStart w:id="318" w:name="_Toc305591563"/>
      <w:bookmarkStart w:id="319" w:name="_Toc492644438"/>
      <w:bookmarkStart w:id="320" w:name="_Toc3730"/>
      <w:r>
        <w:rPr>
          <w:rFonts w:hint="default" w:ascii="Times New Roman" w:hAnsi="Times New Roman" w:eastAsia="宋体" w:cs="Times New Roman"/>
          <w:bCs/>
          <w:color w:val="auto"/>
          <w:sz w:val="30"/>
          <w:szCs w:val="30"/>
        </w:rPr>
        <w:t>5.1</w:t>
      </w:r>
      <w:r>
        <w:rPr>
          <w:rFonts w:hint="default" w:ascii="Times New Roman" w:hAnsi="Times New Roman" w:eastAsia="宋体" w:cs="Times New Roman"/>
          <w:bCs/>
          <w:color w:val="auto"/>
          <w:sz w:val="30"/>
          <w:szCs w:val="30"/>
          <w:lang w:val="en-US" w:eastAsia="zh-CN"/>
        </w:rPr>
        <w:t>环境空气</w:t>
      </w:r>
      <w:bookmarkEnd w:id="312"/>
      <w:bookmarkEnd w:id="313"/>
      <w:bookmarkEnd w:id="314"/>
      <w:bookmarkEnd w:id="315"/>
      <w:bookmarkEnd w:id="316"/>
      <w:bookmarkEnd w:id="317"/>
      <w:bookmarkEnd w:id="318"/>
      <w:bookmarkEnd w:id="319"/>
      <w:r>
        <w:rPr>
          <w:rFonts w:hint="default" w:ascii="Times New Roman" w:hAnsi="Times New Roman" w:eastAsia="宋体" w:cs="Times New Roman"/>
          <w:bCs/>
          <w:color w:val="auto"/>
          <w:sz w:val="30"/>
          <w:szCs w:val="30"/>
          <w:lang w:val="en-US" w:eastAsia="zh-CN"/>
        </w:rPr>
        <w:t>影响预测与评价</w:t>
      </w:r>
      <w:bookmarkEnd w:id="320"/>
    </w:p>
    <w:p>
      <w:pPr>
        <w:tabs>
          <w:tab w:val="left" w:pos="1666"/>
        </w:tabs>
        <w:spacing w:line="480" w:lineRule="exact"/>
        <w:ind w:firstLine="482" w:firstLineChars="200"/>
        <w:jc w:val="both"/>
        <w:rPr>
          <w:rFonts w:hint="default" w:ascii="Times New Roman" w:hAnsi="Times New Roman" w:eastAsia="宋体" w:cs="Times New Roman"/>
          <w:b/>
          <w:bCs/>
          <w:color w:val="auto"/>
          <w:lang w:val="en-US" w:eastAsia="zh-CN"/>
        </w:rPr>
      </w:pPr>
      <w:r>
        <w:rPr>
          <w:rFonts w:hint="eastAsia" w:cs="Times New Roman"/>
          <w:b/>
          <w:bCs/>
          <w:color w:val="auto"/>
          <w:lang w:val="en-US" w:eastAsia="zh-CN"/>
        </w:rPr>
        <w:t>1、施工期</w:t>
      </w:r>
    </w:p>
    <w:p>
      <w:pPr>
        <w:tabs>
          <w:tab w:val="left" w:pos="1666"/>
        </w:tabs>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本工程施工期对空气环境的影响主要来自运输车辆产生的道路扬尘和施工</w:t>
      </w:r>
      <w:r>
        <w:rPr>
          <w:rFonts w:hint="eastAsia" w:cs="Times New Roman"/>
          <w:color w:val="auto"/>
          <w:lang w:val="en-US" w:eastAsia="zh-CN"/>
        </w:rPr>
        <w:t>机械燃油废气</w:t>
      </w:r>
      <w:r>
        <w:rPr>
          <w:rFonts w:hint="default" w:ascii="Times New Roman" w:hAnsi="Times New Roman" w:eastAsia="宋体" w:cs="Times New Roman"/>
          <w:color w:val="auto"/>
        </w:rPr>
        <w:t>。</w:t>
      </w:r>
    </w:p>
    <w:p>
      <w:pPr>
        <w:tabs>
          <w:tab w:val="left" w:pos="1666"/>
        </w:tabs>
        <w:spacing w:line="480" w:lineRule="exact"/>
        <w:ind w:firstLine="480" w:firstLineChars="200"/>
        <w:jc w:val="both"/>
        <w:rPr>
          <w:rFonts w:hint="default" w:ascii="Times New Roman" w:hAnsi="Times New Roman" w:eastAsia="宋体" w:cs="Times New Roman"/>
          <w:b w:val="0"/>
          <w:bCs w:val="0"/>
          <w:color w:val="auto"/>
        </w:rPr>
      </w:pPr>
      <w:r>
        <w:rPr>
          <w:rFonts w:hint="eastAsia" w:cs="Times New Roman"/>
          <w:b w:val="0"/>
          <w:bCs w:val="0"/>
          <w:color w:val="auto"/>
          <w:lang w:val="en-US" w:eastAsia="zh-CN"/>
        </w:rPr>
        <w:t>（1）</w:t>
      </w:r>
      <w:r>
        <w:rPr>
          <w:rFonts w:hint="default" w:ascii="Times New Roman" w:hAnsi="Times New Roman" w:eastAsia="宋体" w:cs="Times New Roman"/>
          <w:b w:val="0"/>
          <w:bCs w:val="0"/>
          <w:color w:val="auto"/>
        </w:rPr>
        <w:t>道路扬尘</w:t>
      </w:r>
    </w:p>
    <w:p>
      <w:pPr>
        <w:tabs>
          <w:tab w:val="left" w:pos="1666"/>
        </w:tabs>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道路扬尘主要是由于施工车辆在运输材料而引起，引起扬尘的因素较多，主要跟车辆行驶速度、风速、路面积尘量和路面积尘湿度有关，其中风速直接影响到扬尘的传输距离。</w:t>
      </w:r>
    </w:p>
    <w:p>
      <w:pPr>
        <w:tabs>
          <w:tab w:val="left" w:pos="1666"/>
        </w:tabs>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本项目材料运输车辆采用汽车运输，沿线经过敏感道路二次扬尘会对其产生不利影响。</w:t>
      </w:r>
    </w:p>
    <w:p>
      <w:pPr>
        <w:tabs>
          <w:tab w:val="left" w:pos="1666"/>
        </w:tabs>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根据相关洒水降尘的试验结果表明，如果在干燥、晴朗天气对汽车行驶路面勤洒水，可以使扬尘产生量减少70%左右，收到很好的降尘效果，洒水降尘的试验资料见表5.1-</w:t>
      </w:r>
      <w:r>
        <w:rPr>
          <w:rFonts w:hint="eastAsia" w:cs="Times New Roman"/>
          <w:color w:val="auto"/>
          <w:lang w:val="en-US" w:eastAsia="zh-CN"/>
        </w:rPr>
        <w:t>1</w:t>
      </w:r>
      <w:r>
        <w:rPr>
          <w:rFonts w:hint="default" w:ascii="Times New Roman" w:hAnsi="Times New Roman" w:eastAsia="宋体" w:cs="Times New Roman"/>
          <w:color w:val="auto"/>
        </w:rPr>
        <w:t>。此外，试验结果还表明，当洒水频率为4~5次/d时，扬尘造成的污染距离可缩小到20~50m范围内。</w:t>
      </w:r>
    </w:p>
    <w:p>
      <w:pPr>
        <w:tabs>
          <w:tab w:val="left" w:pos="1666"/>
        </w:tabs>
        <w:spacing w:line="480" w:lineRule="exact"/>
        <w:ind w:firstLine="482" w:firstLineChars="20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表5.1-</w:t>
      </w:r>
      <w:r>
        <w:rPr>
          <w:rFonts w:hint="eastAsia" w:cs="Times New Roman"/>
          <w:b/>
          <w:bCs/>
          <w:color w:val="auto"/>
          <w:lang w:val="en-US" w:eastAsia="zh-CN"/>
        </w:rPr>
        <w:t>1</w:t>
      </w:r>
      <w:r>
        <w:rPr>
          <w:rFonts w:hint="default" w:ascii="Times New Roman" w:hAnsi="Times New Roman" w:eastAsia="宋体" w:cs="Times New Roman"/>
          <w:b/>
          <w:bCs/>
          <w:color w:val="auto"/>
        </w:rPr>
        <w:t xml:space="preserve"> 施工道路洒水降尘试验结果</w:t>
      </w:r>
    </w:p>
    <w:tbl>
      <w:tblPr>
        <w:tblStyle w:val="55"/>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577"/>
        <w:gridCol w:w="1364"/>
        <w:gridCol w:w="1364"/>
        <w:gridCol w:w="1364"/>
        <w:gridCol w:w="1364"/>
        <w:gridCol w:w="120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2133" w:type="pct"/>
            <w:gridSpan w:val="2"/>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b/>
                <w:bCs/>
                <w:color w:val="000000"/>
                <w:sz w:val="21"/>
                <w:szCs w:val="21"/>
                <w:lang w:val="en-US" w:eastAsia="zh-CN"/>
              </w:rPr>
              <w:t>距路边距离（m）</w:t>
            </w:r>
          </w:p>
        </w:tc>
        <w:tc>
          <w:tcPr>
            <w:tcW w:w="738" w:type="pct"/>
            <w:noWrap w:val="0"/>
            <w:vAlign w:val="center"/>
          </w:tcPr>
          <w:p>
            <w:pPr>
              <w:spacing w:line="32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5</w:t>
            </w:r>
          </w:p>
        </w:tc>
        <w:tc>
          <w:tcPr>
            <w:tcW w:w="738"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20</w:t>
            </w:r>
          </w:p>
        </w:tc>
        <w:tc>
          <w:tcPr>
            <w:tcW w:w="738"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50</w:t>
            </w:r>
          </w:p>
        </w:tc>
        <w:tc>
          <w:tcPr>
            <w:tcW w:w="650"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95" w:type="pct"/>
            <w:vMerge w:val="restar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TSP浓度（mg/Nm</w:t>
            </w:r>
            <w:r>
              <w:rPr>
                <w:rFonts w:hint="default" w:ascii="Times New Roman" w:hAnsi="Times New Roman" w:eastAsia="宋体" w:cs="Times New Roman"/>
                <w:color w:val="000000"/>
                <w:sz w:val="21"/>
                <w:szCs w:val="21"/>
                <w:vertAlign w:val="superscript"/>
                <w:lang w:val="en-US" w:eastAsia="zh-CN"/>
              </w:rPr>
              <w:t>3</w:t>
            </w:r>
            <w:r>
              <w:rPr>
                <w:rFonts w:hint="default" w:ascii="Times New Roman" w:hAnsi="Times New Roman" w:eastAsia="宋体" w:cs="Times New Roman"/>
                <w:color w:val="000000"/>
                <w:sz w:val="21"/>
                <w:szCs w:val="21"/>
                <w:lang w:val="en-US" w:eastAsia="zh-CN"/>
              </w:rPr>
              <w:t>）</w:t>
            </w:r>
          </w:p>
        </w:tc>
        <w:tc>
          <w:tcPr>
            <w:tcW w:w="738"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不洒水</w:t>
            </w:r>
          </w:p>
        </w:tc>
        <w:tc>
          <w:tcPr>
            <w:tcW w:w="738"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10.14</w:t>
            </w:r>
          </w:p>
        </w:tc>
        <w:tc>
          <w:tcPr>
            <w:tcW w:w="738"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2.89</w:t>
            </w:r>
          </w:p>
        </w:tc>
        <w:tc>
          <w:tcPr>
            <w:tcW w:w="738"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1.15</w:t>
            </w:r>
          </w:p>
        </w:tc>
        <w:tc>
          <w:tcPr>
            <w:tcW w:w="650"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0.86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95" w:type="pct"/>
            <w:vMerge w:val="continue"/>
            <w:noWrap w:val="0"/>
            <w:vAlign w:val="center"/>
          </w:tcPr>
          <w:p>
            <w:pPr>
              <w:spacing w:line="320" w:lineRule="exact"/>
              <w:jc w:val="center"/>
              <w:rPr>
                <w:rFonts w:hint="default" w:ascii="Times New Roman" w:hAnsi="Times New Roman" w:eastAsia="宋体" w:cs="Times New Roman"/>
                <w:color w:val="000000"/>
                <w:sz w:val="21"/>
                <w:szCs w:val="21"/>
              </w:rPr>
            </w:pPr>
          </w:p>
        </w:tc>
        <w:tc>
          <w:tcPr>
            <w:tcW w:w="738"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洒水</w:t>
            </w:r>
          </w:p>
        </w:tc>
        <w:tc>
          <w:tcPr>
            <w:tcW w:w="738"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2.01</w:t>
            </w:r>
          </w:p>
        </w:tc>
        <w:tc>
          <w:tcPr>
            <w:tcW w:w="738"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1.40</w:t>
            </w:r>
          </w:p>
        </w:tc>
        <w:tc>
          <w:tcPr>
            <w:tcW w:w="738"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0.68</w:t>
            </w:r>
          </w:p>
        </w:tc>
        <w:tc>
          <w:tcPr>
            <w:tcW w:w="650"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33" w:type="pct"/>
            <w:gridSpan w:val="2"/>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除尘率（%）</w:t>
            </w:r>
          </w:p>
        </w:tc>
        <w:tc>
          <w:tcPr>
            <w:tcW w:w="738"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80.2</w:t>
            </w:r>
          </w:p>
        </w:tc>
        <w:tc>
          <w:tcPr>
            <w:tcW w:w="738"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51.6</w:t>
            </w:r>
          </w:p>
        </w:tc>
        <w:tc>
          <w:tcPr>
            <w:tcW w:w="738"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41.7</w:t>
            </w:r>
          </w:p>
        </w:tc>
        <w:tc>
          <w:tcPr>
            <w:tcW w:w="650"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30.2</w:t>
            </w:r>
          </w:p>
        </w:tc>
      </w:tr>
    </w:tbl>
    <w:p>
      <w:pPr>
        <w:tabs>
          <w:tab w:val="left" w:pos="1666"/>
        </w:tabs>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由上表可知，采取洒水措施可有效降低道路运输扬尘带来的不利影响。因此，为尽可能的降低道路运输扬尘对沿线敏感点的影响，应定时对路面进行洒水。同时，进出工地的土石方、物料等运输车辆，应严格按照既定的线路进行运输，在运输过程中应采用密闭车斗，并保证物料不遗撒外漏。若无密闭车斗，物料的装载高度不得超过车辆槽帮上沿，车斗应用苫布遮盖严实。苫布边缘至少要遮住槽帮上沿以下15cm，保证物料等不露出。运输车辆应优先选择远离镇区的路线，尽量避免从镇区内部穿过；严格控制车速，禁止超速超载等易加重扬尘的污染行为；严格执行施工期的各项防尘措施，车辆运输路线两侧的环境空气影响将得到有效的控制。</w:t>
      </w:r>
    </w:p>
    <w:p>
      <w:pPr>
        <w:tabs>
          <w:tab w:val="left" w:pos="1666"/>
        </w:tabs>
        <w:spacing w:line="480" w:lineRule="exact"/>
        <w:ind w:firstLine="480" w:firstLineChars="200"/>
        <w:jc w:val="both"/>
        <w:rPr>
          <w:rFonts w:hint="default" w:ascii="Times New Roman" w:hAnsi="Times New Roman" w:eastAsia="宋体" w:cs="Times New Roman"/>
          <w:b w:val="0"/>
          <w:bCs w:val="0"/>
          <w:color w:val="auto"/>
        </w:rPr>
      </w:pPr>
      <w:r>
        <w:rPr>
          <w:rFonts w:hint="eastAsia" w:cs="Times New Roman"/>
          <w:b w:val="0"/>
          <w:bCs w:val="0"/>
          <w:color w:val="auto"/>
          <w:lang w:val="en-US" w:eastAsia="zh-CN"/>
        </w:rPr>
        <w:t>（3）</w:t>
      </w:r>
      <w:r>
        <w:rPr>
          <w:rFonts w:hint="default" w:ascii="Times New Roman" w:hAnsi="Times New Roman" w:eastAsia="宋体" w:cs="Times New Roman"/>
          <w:b w:val="0"/>
          <w:bCs w:val="0"/>
          <w:color w:val="auto"/>
        </w:rPr>
        <w:t>施工机械和车辆尾气</w:t>
      </w:r>
    </w:p>
    <w:p>
      <w:pPr>
        <w:tabs>
          <w:tab w:val="left" w:pos="1666"/>
        </w:tabs>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施工车辆、施工机械等因燃油产生的CO、</w:t>
      </w:r>
      <w:r>
        <w:rPr>
          <w:rFonts w:hint="eastAsia" w:cs="Times New Roman"/>
          <w:color w:val="auto"/>
          <w:lang w:val="en-US" w:eastAsia="zh-CN"/>
        </w:rPr>
        <w:t>SO</w:t>
      </w:r>
      <w:r>
        <w:rPr>
          <w:rFonts w:hint="eastAsia" w:cs="Times New Roman"/>
          <w:color w:val="auto"/>
          <w:vertAlign w:val="subscript"/>
          <w:lang w:val="en-US" w:eastAsia="zh-CN"/>
        </w:rPr>
        <w:t>2</w:t>
      </w:r>
      <w:r>
        <w:rPr>
          <w:rFonts w:hint="default" w:ascii="Times New Roman" w:hAnsi="Times New Roman" w:eastAsia="宋体" w:cs="Times New Roman"/>
          <w:color w:val="auto"/>
        </w:rPr>
        <w:t>、NO</w:t>
      </w:r>
      <w:r>
        <w:rPr>
          <w:rFonts w:hint="default" w:ascii="Times New Roman" w:hAnsi="Times New Roman" w:eastAsia="宋体" w:cs="Times New Roman"/>
          <w:color w:val="auto"/>
          <w:vertAlign w:val="subscript"/>
        </w:rPr>
        <w:t>X</w:t>
      </w:r>
      <w:r>
        <w:rPr>
          <w:rFonts w:hint="default" w:ascii="Times New Roman" w:hAnsi="Times New Roman" w:eastAsia="宋体" w:cs="Times New Roman"/>
          <w:color w:val="auto"/>
        </w:rPr>
        <w:t>等污染物等废气污染物对环境空气也将有所影响。施工车辆、施工机械在现场范围内活动，尾气呈面源污染形式，尾气扩散范围有限。这部分污染物排放时间和排放量相对较少，且工程地区地势平坦、开阔，有利于废气稀释、扩散，所以不会对周围环境空气有明显影响。</w:t>
      </w:r>
    </w:p>
    <w:p>
      <w:pPr>
        <w:tabs>
          <w:tab w:val="left" w:pos="1666"/>
        </w:tabs>
        <w:spacing w:line="480" w:lineRule="exact"/>
        <w:ind w:firstLine="480" w:firstLineChars="200"/>
        <w:jc w:val="both"/>
        <w:rPr>
          <w:rFonts w:hint="eastAsia" w:ascii="Times New Roman" w:hAnsi="Times New Roman" w:eastAsia="宋体" w:cs="Times New Roman"/>
          <w:b w:val="0"/>
          <w:bCs w:val="0"/>
          <w:color w:val="auto"/>
          <w:lang w:eastAsia="zh-CN"/>
        </w:rPr>
      </w:pPr>
      <w:r>
        <w:rPr>
          <w:rFonts w:hint="eastAsia" w:cs="Times New Roman"/>
          <w:b w:val="0"/>
          <w:bCs w:val="0"/>
          <w:color w:val="auto"/>
          <w:lang w:val="en-US" w:eastAsia="zh-CN"/>
        </w:rPr>
        <w:t>2、运营期</w:t>
      </w:r>
    </w:p>
    <w:p>
      <w:pPr>
        <w:tabs>
          <w:tab w:val="left" w:pos="1666"/>
        </w:tabs>
        <w:spacing w:line="480" w:lineRule="exact"/>
        <w:ind w:firstLine="480" w:firstLineChars="200"/>
        <w:jc w:val="both"/>
        <w:rPr>
          <w:rFonts w:hint="default" w:ascii="Times New Roman" w:hAnsi="Times New Roman" w:eastAsia="宋体" w:cs="Times New Roman"/>
          <w:color w:val="auto"/>
        </w:rPr>
      </w:pPr>
      <w:r>
        <w:rPr>
          <w:rFonts w:hint="eastAsia" w:cs="Times New Roman"/>
          <w:color w:val="auto"/>
          <w:lang w:val="en-US" w:eastAsia="zh-CN"/>
        </w:rPr>
        <w:t>本项目运营期无废气产生</w:t>
      </w:r>
      <w:r>
        <w:rPr>
          <w:rFonts w:hint="default" w:ascii="Times New Roman" w:hAnsi="Times New Roman" w:eastAsia="宋体" w:cs="Times New Roman"/>
          <w:color w:val="auto"/>
        </w:rPr>
        <w:t>。</w:t>
      </w:r>
    </w:p>
    <w:bookmarkEnd w:id="307"/>
    <w:bookmarkEnd w:id="308"/>
    <w:bookmarkEnd w:id="309"/>
    <w:bookmarkEnd w:id="310"/>
    <w:bookmarkEnd w:id="311"/>
    <w:p>
      <w:pPr>
        <w:pStyle w:val="4"/>
        <w:pageBreakBefore w:val="0"/>
        <w:widowControl w:val="0"/>
        <w:tabs>
          <w:tab w:val="left" w:pos="2160"/>
        </w:tabs>
        <w:kinsoku/>
        <w:wordWrap/>
        <w:overflowPunct/>
        <w:topLinePunct w:val="0"/>
        <w:bidi w:val="0"/>
        <w:adjustRightInd/>
        <w:snapToGrid/>
        <w:spacing w:before="0" w:beforeLines="0" w:after="0" w:afterLines="0" w:line="480" w:lineRule="exact"/>
        <w:jc w:val="both"/>
        <w:textAlignment w:val="auto"/>
        <w:rPr>
          <w:rFonts w:hint="default" w:ascii="Times New Roman" w:hAnsi="Times New Roman" w:eastAsia="宋体" w:cs="Times New Roman"/>
          <w:bCs/>
          <w:color w:val="auto"/>
          <w:sz w:val="30"/>
          <w:szCs w:val="30"/>
        </w:rPr>
      </w:pPr>
      <w:bookmarkStart w:id="321" w:name="_Toc492644439"/>
      <w:bookmarkStart w:id="322" w:name="_Toc12101"/>
      <w:bookmarkStart w:id="323" w:name="_Toc307410065"/>
      <w:bookmarkStart w:id="324" w:name="_Toc310244092"/>
      <w:bookmarkStart w:id="325" w:name="_Toc305591575"/>
      <w:bookmarkStart w:id="326" w:name="_Toc312156050"/>
      <w:r>
        <w:rPr>
          <w:rFonts w:hint="default" w:ascii="Times New Roman" w:hAnsi="Times New Roman" w:eastAsia="宋体" w:cs="Times New Roman"/>
          <w:bCs/>
          <w:color w:val="auto"/>
          <w:sz w:val="30"/>
          <w:szCs w:val="30"/>
        </w:rPr>
        <w:t>5.2水环境影响预测与评价</w:t>
      </w:r>
      <w:bookmarkEnd w:id="321"/>
      <w:bookmarkEnd w:id="322"/>
    </w:p>
    <w:p>
      <w:pPr>
        <w:tabs>
          <w:tab w:val="left" w:pos="1666"/>
        </w:tabs>
        <w:spacing w:line="480" w:lineRule="exact"/>
        <w:ind w:firstLine="482" w:firstLineChars="200"/>
        <w:jc w:val="both"/>
        <w:rPr>
          <w:rFonts w:hint="default" w:ascii="Times New Roman" w:hAnsi="Times New Roman" w:eastAsia="宋体" w:cs="Times New Roman"/>
          <w:b/>
          <w:bCs/>
          <w:color w:val="auto"/>
          <w:lang w:val="en-US" w:eastAsia="zh-CN"/>
        </w:rPr>
      </w:pPr>
      <w:r>
        <w:rPr>
          <w:rFonts w:hint="eastAsia" w:cs="Times New Roman"/>
          <w:b/>
          <w:bCs/>
          <w:color w:val="auto"/>
          <w:lang w:val="en-US" w:eastAsia="zh-CN"/>
        </w:rPr>
        <w:t>1、施工期</w:t>
      </w:r>
    </w:p>
    <w:p>
      <w:pPr>
        <w:tabs>
          <w:tab w:val="left" w:pos="1666"/>
        </w:tabs>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本项目施工期主要考虑悬浮物扩散影响，项目施工期</w:t>
      </w:r>
      <w:r>
        <w:rPr>
          <w:rFonts w:hint="eastAsia" w:ascii="Times New Roman" w:hAnsi="Times New Roman" w:eastAsia="宋体" w:cs="Times New Roman"/>
          <w:color w:val="auto"/>
          <w:lang w:val="en-US" w:eastAsia="zh-CN"/>
        </w:rPr>
        <w:t>水下施工过程中由于</w:t>
      </w:r>
      <w:r>
        <w:rPr>
          <w:rFonts w:hint="eastAsia" w:cs="Times New Roman"/>
          <w:color w:val="auto"/>
          <w:lang w:val="en-US" w:eastAsia="zh-CN"/>
        </w:rPr>
        <w:t>打桩过程的</w:t>
      </w:r>
      <w:r>
        <w:rPr>
          <w:rFonts w:hint="default" w:ascii="Times New Roman" w:hAnsi="Times New Roman" w:eastAsia="宋体" w:cs="Times New Roman"/>
          <w:color w:val="auto"/>
        </w:rPr>
        <w:t>机械搅动作用，造成水体悬浮物含量升高，水质下降。本次按照</w:t>
      </w:r>
      <w:r>
        <w:rPr>
          <w:rFonts w:hint="eastAsia" w:cs="Times New Roman"/>
          <w:color w:val="auto"/>
          <w:lang w:val="en-US" w:eastAsia="zh-CN"/>
        </w:rPr>
        <w:t>0.14</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/h计算，则每个</w:t>
      </w:r>
      <w:r>
        <w:rPr>
          <w:rFonts w:hint="eastAsia" w:cs="Times New Roman"/>
          <w:color w:val="auto"/>
          <w:lang w:val="en-US" w:eastAsia="zh-CN"/>
        </w:rPr>
        <w:t>打桩点</w:t>
      </w:r>
      <w:r>
        <w:rPr>
          <w:rFonts w:hint="default" w:ascii="Times New Roman" w:hAnsi="Times New Roman" w:eastAsia="宋体" w:cs="Times New Roman"/>
          <w:color w:val="auto"/>
        </w:rPr>
        <w:t>的悬浮物排放源强约</w:t>
      </w:r>
      <w:r>
        <w:rPr>
          <w:rFonts w:hint="eastAsia" w:cs="Times New Roman"/>
          <w:color w:val="auto"/>
          <w:lang w:val="en-US" w:eastAsia="zh-CN"/>
        </w:rPr>
        <w:t>0.002k</w:t>
      </w:r>
      <w:r>
        <w:rPr>
          <w:rFonts w:hint="default" w:ascii="Times New Roman" w:hAnsi="Times New Roman" w:eastAsia="宋体" w:cs="Times New Roman"/>
          <w:color w:val="auto"/>
        </w:rPr>
        <w:t>g/s。源强典型释放点选取</w:t>
      </w:r>
      <w:r>
        <w:rPr>
          <w:rFonts w:hint="eastAsia" w:cs="Times New Roman"/>
          <w:color w:val="auto"/>
          <w:lang w:val="en-US" w:eastAsia="zh-CN"/>
        </w:rPr>
        <w:t>围隔及拦渔网工程范围</w:t>
      </w:r>
      <w:r>
        <w:rPr>
          <w:rFonts w:hint="default" w:ascii="Times New Roman" w:hAnsi="Times New Roman" w:eastAsia="宋体" w:cs="Times New Roman"/>
          <w:color w:val="auto"/>
        </w:rPr>
        <w:t>最外侧线作为控制边界，</w:t>
      </w:r>
      <w:r>
        <w:rPr>
          <w:rFonts w:hint="eastAsia" w:cs="Times New Roman"/>
          <w:color w:val="auto"/>
          <w:lang w:val="en-US" w:eastAsia="zh-CN"/>
        </w:rPr>
        <w:t>打桩</w:t>
      </w:r>
      <w:r>
        <w:rPr>
          <w:rFonts w:hint="default" w:ascii="Times New Roman" w:hAnsi="Times New Roman" w:eastAsia="宋体" w:cs="Times New Roman"/>
          <w:color w:val="auto"/>
        </w:rPr>
        <w:t>位置作为典型的悬浮物排放点，按照预定源强排放。</w:t>
      </w:r>
    </w:p>
    <w:p>
      <w:pPr>
        <w:tabs>
          <w:tab w:val="left" w:pos="1666"/>
        </w:tabs>
        <w:spacing w:line="480" w:lineRule="exact"/>
        <w:ind w:firstLine="482" w:firstLineChars="200"/>
        <w:jc w:val="both"/>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2、运营期</w:t>
      </w:r>
    </w:p>
    <w:p>
      <w:pPr>
        <w:tabs>
          <w:tab w:val="left" w:pos="1666"/>
        </w:tabs>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本工程实施后，可使太湖水体有序流动，改善水动力条件，太湖水质改善和水环境功能达标，有利于修复及完善湖滨带生态系统，改造及修复湖泊水生生态系统，增强水体的自净能力。</w:t>
      </w:r>
    </w:p>
    <w:p>
      <w:pPr>
        <w:pStyle w:val="5"/>
        <w:jc w:val="both"/>
        <w:rPr>
          <w:rFonts w:hint="default" w:ascii="Times New Roman" w:hAnsi="Times New Roman" w:eastAsia="宋体" w:cs="Times New Roman"/>
          <w:color w:val="auto"/>
        </w:rPr>
      </w:pPr>
      <w:bookmarkStart w:id="327" w:name="_Toc503461646"/>
      <w:bookmarkStart w:id="328" w:name="_Toc507334617"/>
      <w:bookmarkStart w:id="329" w:name="_Toc492644555"/>
      <w:bookmarkStart w:id="330" w:name="_Toc31961"/>
      <w:r>
        <w:rPr>
          <w:rFonts w:hint="default" w:ascii="Times New Roman" w:hAnsi="Times New Roman" w:eastAsia="宋体" w:cs="Times New Roman"/>
          <w:color w:val="auto"/>
        </w:rPr>
        <w:t>5.2.1水环境预测模型</w:t>
      </w:r>
      <w:bookmarkEnd w:id="323"/>
      <w:bookmarkEnd w:id="324"/>
      <w:bookmarkEnd w:id="325"/>
      <w:bookmarkEnd w:id="326"/>
      <w:bookmarkEnd w:id="327"/>
      <w:bookmarkEnd w:id="328"/>
      <w:bookmarkEnd w:id="329"/>
      <w:bookmarkEnd w:id="330"/>
    </w:p>
    <w:p>
      <w:pPr>
        <w:tabs>
          <w:tab w:val="left" w:pos="1666"/>
        </w:tabs>
        <w:spacing w:line="480" w:lineRule="exact"/>
        <w:ind w:firstLine="482" w:firstLineChars="200"/>
        <w:jc w:val="both"/>
        <w:rPr>
          <w:rFonts w:hint="default" w:ascii="Times New Roman" w:hAnsi="Times New Roman" w:eastAsia="宋体" w:cs="Times New Roman"/>
          <w:b/>
          <w:bCs/>
          <w:color w:val="auto"/>
          <w:lang w:val="en-US" w:eastAsia="zh-CN"/>
        </w:rPr>
      </w:pPr>
      <w:bookmarkStart w:id="331" w:name="_Toc447887812"/>
      <w:bookmarkStart w:id="332" w:name="_Toc307410070"/>
      <w:bookmarkStart w:id="333" w:name="_Toc302113260"/>
      <w:bookmarkStart w:id="334" w:name="_Toc310244097"/>
      <w:bookmarkStart w:id="335" w:name="_Toc312156056"/>
      <w:r>
        <w:rPr>
          <w:rFonts w:hint="default" w:ascii="Times New Roman" w:hAnsi="Times New Roman" w:eastAsia="宋体" w:cs="Times New Roman"/>
          <w:b/>
          <w:bCs/>
          <w:color w:val="auto"/>
          <w:lang w:val="en-US" w:eastAsia="zh-CN"/>
        </w:rPr>
        <w:t>1、模型的建立</w:t>
      </w:r>
    </w:p>
    <w:p>
      <w:pPr>
        <w:tabs>
          <w:tab w:val="left" w:pos="1666"/>
        </w:tabs>
        <w:spacing w:line="480" w:lineRule="exact"/>
        <w:ind w:firstLine="480" w:firstLineChars="20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丹麦水利研究所开发的Mike21模型系统由波浪模型、水动力模型、对流扩散模型、常规水质模型和富营养化模型等组成。Mike21是目前国际上同类模型中功能比较齐全、应用比较广泛的模型系统，可模拟海洋、河口、湖泊、河流、水库等水体的水流、水质、富营养化预测、水生生态、泥沙输运等问题。</w:t>
      </w:r>
    </w:p>
    <w:p>
      <w:pPr>
        <w:tabs>
          <w:tab w:val="left" w:pos="1666"/>
        </w:tabs>
        <w:spacing w:line="480" w:lineRule="exact"/>
        <w:ind w:firstLine="480" w:firstLineChars="20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在水动力模型的基础上，采用Mike21软件，沿水深平均的平面二维恒定流和悬浮物扩散数学模型来描述悬浮物的运动形态。悬浮物扩散数学模型的计算范围和网格同水动力数学模型。</w:t>
      </w:r>
    </w:p>
    <w:p>
      <w:pPr>
        <w:tabs>
          <w:tab w:val="left" w:pos="1666"/>
        </w:tabs>
        <w:spacing w:line="480" w:lineRule="exact"/>
        <w:ind w:firstLine="480" w:firstLineChars="20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eastAsia="zh-CN"/>
        </w:rPr>
        <w:t>）</w:t>
      </w:r>
      <w:r>
        <w:rPr>
          <w:rFonts w:hint="eastAsia" w:cs="Times New Roman"/>
          <w:color w:val="auto"/>
          <w:lang w:val="en-US" w:eastAsia="zh-CN"/>
        </w:rPr>
        <w:t>基本</w:t>
      </w:r>
      <w:r>
        <w:rPr>
          <w:rFonts w:hint="default" w:ascii="Times New Roman" w:hAnsi="Times New Roman" w:eastAsia="宋体" w:cs="Times New Roman"/>
          <w:color w:val="auto"/>
          <w:lang w:eastAsia="zh-CN"/>
        </w:rPr>
        <w:t>方程</w:t>
      </w:r>
    </w:p>
    <w:p>
      <w:pPr>
        <w:tabs>
          <w:tab w:val="left" w:pos="1666"/>
        </w:tabs>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平面二维悬浮物扩散方程可写为：</w:t>
      </w:r>
    </w:p>
    <w:p>
      <w:pPr>
        <w:tabs>
          <w:tab w:val="left" w:pos="1666"/>
        </w:tabs>
        <w:spacing w:line="480" w:lineRule="exact"/>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drawing>
          <wp:anchor distT="0" distB="0" distL="114300" distR="114300" simplePos="0" relativeHeight="251706368" behindDoc="0" locked="0" layoutInCell="1" allowOverlap="1">
            <wp:simplePos x="0" y="0"/>
            <wp:positionH relativeFrom="column">
              <wp:posOffset>752475</wp:posOffset>
            </wp:positionH>
            <wp:positionV relativeFrom="paragraph">
              <wp:posOffset>53340</wp:posOffset>
            </wp:positionV>
            <wp:extent cx="4105275" cy="423545"/>
            <wp:effectExtent l="0" t="0" r="9525" b="14605"/>
            <wp:wrapNone/>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64"/>
                    <a:stretch>
                      <a:fillRect/>
                    </a:stretch>
                  </pic:blipFill>
                  <pic:spPr>
                    <a:xfrm>
                      <a:off x="0" y="0"/>
                      <a:ext cx="4105275" cy="423545"/>
                    </a:xfrm>
                    <a:prstGeom prst="rect">
                      <a:avLst/>
                    </a:prstGeom>
                    <a:noFill/>
                    <a:ln>
                      <a:noFill/>
                    </a:ln>
                  </pic:spPr>
                </pic:pic>
              </a:graphicData>
            </a:graphic>
          </wp:anchor>
        </w:drawing>
      </w:r>
    </w:p>
    <w:p>
      <w:pPr>
        <w:tabs>
          <w:tab w:val="left" w:pos="1666"/>
        </w:tabs>
        <w:spacing w:line="480" w:lineRule="exact"/>
        <w:ind w:firstLine="480" w:firstLineChars="200"/>
        <w:rPr>
          <w:rFonts w:hint="default" w:ascii="Times New Roman" w:hAnsi="Times New Roman" w:eastAsia="宋体" w:cs="Times New Roman"/>
          <w:color w:val="auto"/>
          <w:vertAlign w:val="baseline"/>
          <w:lang w:val="en-US" w:eastAsia="zh-CN"/>
        </w:rPr>
      </w:pPr>
    </w:p>
    <w:bookmarkEnd w:id="331"/>
    <w:bookmarkEnd w:id="332"/>
    <w:bookmarkEnd w:id="333"/>
    <w:bookmarkEnd w:id="334"/>
    <w:bookmarkEnd w:id="335"/>
    <w:p>
      <w:pPr>
        <w:spacing w:line="520" w:lineRule="exact"/>
        <w:ind w:firstLine="480" w:firstLineChars="200"/>
        <w:jc w:val="both"/>
        <w:rPr>
          <w:rFonts w:hint="default" w:ascii="Times New Roman" w:hAnsi="Times New Roman" w:eastAsia="宋体" w:cs="Times New Roman"/>
          <w:color w:val="auto"/>
          <w:sz w:val="24"/>
          <w:szCs w:val="24"/>
        </w:rPr>
      </w:pPr>
      <w:bookmarkStart w:id="336" w:name="_Toc312156059"/>
      <w:bookmarkStart w:id="337" w:name="_Toc492644557"/>
      <w:bookmarkStart w:id="338" w:name="_Toc307410073"/>
      <w:bookmarkStart w:id="339" w:name="_Toc310244100"/>
      <w:bookmarkStart w:id="340" w:name="_Toc302113263"/>
      <w:bookmarkStart w:id="341" w:name="_Toc507334619"/>
      <w:bookmarkStart w:id="342" w:name="_Toc503461655"/>
      <w:r>
        <w:rPr>
          <w:rFonts w:hint="default" w:ascii="Times New Roman" w:hAnsi="Times New Roman" w:eastAsia="宋体" w:cs="Times New Roman"/>
          <w:color w:val="auto"/>
          <w:sz w:val="24"/>
          <w:szCs w:val="24"/>
        </w:rPr>
        <w:t>式中：S——悬浮物浓度；</w:t>
      </w:r>
    </w:p>
    <w:p>
      <w:pPr>
        <w:spacing w:line="520" w:lineRule="exact"/>
        <w:ind w:firstLine="1200" w:firstLineChars="5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Dx、Dy——x、y向紊动扩散系数；</w:t>
      </w:r>
    </w:p>
    <w:p>
      <w:pPr>
        <w:spacing w:line="520" w:lineRule="exact"/>
        <w:ind w:firstLine="1200" w:firstLineChars="5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k=αω，——α为沉降系数，ω为悬浮物沉速；</w:t>
      </w:r>
    </w:p>
    <w:p>
      <w:pPr>
        <w:spacing w:line="520" w:lineRule="exact"/>
        <w:ind w:firstLine="1200" w:firstLineChars="5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M——悬浮物释放源强。</w:t>
      </w:r>
    </w:p>
    <w:p>
      <w:pPr>
        <w:spacing w:line="52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②计算范围和网格</w:t>
      </w:r>
    </w:p>
    <w:p>
      <w:pPr>
        <w:spacing w:line="52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悬浮物扩散数学模型的计算范围和网格见水动力数学模型。</w:t>
      </w:r>
    </w:p>
    <w:p>
      <w:pPr>
        <w:spacing w:line="52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a、水动力控制方程：</w:t>
      </w:r>
    </w:p>
    <w:p>
      <w:pPr>
        <w:spacing w:line="52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笛卡尔坐标系下的二维水动力控制方程是不可压流体三维雷诺Navier-Stokes平均方程沿水深方向积分的连续方程和动量方程，可用如下方程表示：</w:t>
      </w:r>
    </w:p>
    <w:p>
      <w:pPr>
        <w:spacing w:line="52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anchor distT="0" distB="0" distL="114300" distR="114300" simplePos="0" relativeHeight="251707392" behindDoc="0" locked="0" layoutInCell="1" allowOverlap="1">
            <wp:simplePos x="0" y="0"/>
            <wp:positionH relativeFrom="column">
              <wp:posOffset>1838325</wp:posOffset>
            </wp:positionH>
            <wp:positionV relativeFrom="paragraph">
              <wp:posOffset>259715</wp:posOffset>
            </wp:positionV>
            <wp:extent cx="1333500" cy="433070"/>
            <wp:effectExtent l="0" t="0" r="0" b="5080"/>
            <wp:wrapNone/>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65"/>
                    <a:stretch>
                      <a:fillRect/>
                    </a:stretch>
                  </pic:blipFill>
                  <pic:spPr>
                    <a:xfrm>
                      <a:off x="0" y="0"/>
                      <a:ext cx="1333500" cy="433070"/>
                    </a:xfrm>
                    <a:prstGeom prst="rect">
                      <a:avLst/>
                    </a:prstGeom>
                    <a:noFill/>
                    <a:ln>
                      <a:noFill/>
                    </a:ln>
                  </pic:spPr>
                </pic:pic>
              </a:graphicData>
            </a:graphic>
          </wp:anchor>
        </w:drawing>
      </w:r>
      <w:r>
        <w:rPr>
          <w:rFonts w:hint="default" w:ascii="Times New Roman" w:hAnsi="Times New Roman" w:eastAsia="宋体" w:cs="Times New Roman"/>
          <w:color w:val="auto"/>
          <w:sz w:val="24"/>
          <w:szCs w:val="24"/>
        </w:rPr>
        <w:t>连续性方程：</w:t>
      </w:r>
    </w:p>
    <w:p>
      <w:pPr>
        <w:spacing w:line="480" w:lineRule="exact"/>
        <w:ind w:firstLine="480" w:firstLineChars="200"/>
        <w:rPr>
          <w:rFonts w:hint="default" w:ascii="Times New Roman" w:hAnsi="Times New Roman" w:eastAsia="宋体" w:cs="Times New Roman"/>
          <w:color w:val="auto"/>
        </w:rPr>
      </w:pPr>
    </w:p>
    <w:p>
      <w:pPr>
        <w:spacing w:line="480" w:lineRule="exact"/>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动量方程：</w:t>
      </w:r>
    </w:p>
    <w:p>
      <w:pPr>
        <w:spacing w:line="480" w:lineRule="exact"/>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drawing>
          <wp:anchor distT="0" distB="0" distL="114300" distR="114300" simplePos="0" relativeHeight="251708416" behindDoc="0" locked="0" layoutInCell="1" allowOverlap="1">
            <wp:simplePos x="0" y="0"/>
            <wp:positionH relativeFrom="column">
              <wp:posOffset>847725</wp:posOffset>
            </wp:positionH>
            <wp:positionV relativeFrom="paragraph">
              <wp:posOffset>34290</wp:posOffset>
            </wp:positionV>
            <wp:extent cx="3759200" cy="408305"/>
            <wp:effectExtent l="0" t="0" r="12700" b="10795"/>
            <wp:wrapNone/>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66"/>
                    <a:stretch>
                      <a:fillRect/>
                    </a:stretch>
                  </pic:blipFill>
                  <pic:spPr>
                    <a:xfrm>
                      <a:off x="0" y="0"/>
                      <a:ext cx="3759200" cy="408305"/>
                    </a:xfrm>
                    <a:prstGeom prst="rect">
                      <a:avLst/>
                    </a:prstGeom>
                    <a:noFill/>
                    <a:ln>
                      <a:noFill/>
                    </a:ln>
                  </pic:spPr>
                </pic:pic>
              </a:graphicData>
            </a:graphic>
          </wp:anchor>
        </w:drawing>
      </w:r>
    </w:p>
    <w:p>
      <w:pPr>
        <w:spacing w:line="480" w:lineRule="exact"/>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drawing>
          <wp:anchor distT="0" distB="0" distL="114300" distR="114300" simplePos="0" relativeHeight="251709440" behindDoc="0" locked="0" layoutInCell="1" allowOverlap="1">
            <wp:simplePos x="0" y="0"/>
            <wp:positionH relativeFrom="column">
              <wp:posOffset>809625</wp:posOffset>
            </wp:positionH>
            <wp:positionV relativeFrom="paragraph">
              <wp:posOffset>243840</wp:posOffset>
            </wp:positionV>
            <wp:extent cx="3934460" cy="450215"/>
            <wp:effectExtent l="0" t="0" r="8890" b="6985"/>
            <wp:wrapNone/>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67"/>
                    <a:stretch>
                      <a:fillRect/>
                    </a:stretch>
                  </pic:blipFill>
                  <pic:spPr>
                    <a:xfrm>
                      <a:off x="0" y="0"/>
                      <a:ext cx="3934460" cy="450215"/>
                    </a:xfrm>
                    <a:prstGeom prst="rect">
                      <a:avLst/>
                    </a:prstGeom>
                    <a:noFill/>
                    <a:ln>
                      <a:noFill/>
                    </a:ln>
                  </pic:spPr>
                </pic:pic>
              </a:graphicData>
            </a:graphic>
          </wp:anchor>
        </w:drawing>
      </w:r>
    </w:p>
    <w:p>
      <w:pPr>
        <w:spacing w:line="480" w:lineRule="exact"/>
        <w:ind w:firstLine="480" w:firstLineChars="200"/>
        <w:rPr>
          <w:rFonts w:hint="default" w:ascii="Times New Roman" w:hAnsi="Times New Roman" w:eastAsia="宋体" w:cs="Times New Roman"/>
          <w:color w:val="auto"/>
        </w:rPr>
      </w:pPr>
    </w:p>
    <w:p>
      <w:pPr>
        <w:spacing w:line="52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其中：t表示时间；x,y是笛卡尔坐标；h表示总水深；η表示水位；ρ表示水的密度；</w:t>
      </w:r>
      <w:r>
        <w:rPr>
          <w:rFonts w:hint="default" w:ascii="Times New Roman" w:hAnsi="Times New Roman" w:eastAsia="宋体" w:cs="Times New Roman"/>
          <w:color w:val="auto"/>
          <w:position w:val="-6"/>
          <w:sz w:val="24"/>
          <w:szCs w:val="24"/>
        </w:rPr>
        <w:object>
          <v:shape id="_x0000_i1032" o:spt="75" type="#_x0000_t75" style="height:17pt;width:10pt;" o:ole="t" filled="f" o:preferrelative="t" stroked="f" coordsize="21600,21600">
            <v:path/>
            <v:fill on="f" alignshape="1" focussize="0,0"/>
            <v:stroke on="f"/>
            <v:imagedata r:id="rId69" o:title=""/>
            <o:lock v:ext="edit" aspectratio="t"/>
            <w10:wrap type="none"/>
            <w10:anchorlock/>
          </v:shape>
          <o:OLEObject Type="Embed" ProgID="Equation.3" ShapeID="_x0000_i1032" DrawAspect="Content" ObjectID="_1468075732" r:id="rId68">
            <o:LockedField>false</o:LockedField>
          </o:OLEObject>
        </w:object>
      </w:r>
      <w:r>
        <w:rPr>
          <w:rFonts w:hint="default" w:ascii="Times New Roman" w:hAnsi="Times New Roman" w:eastAsia="宋体" w:cs="Times New Roman"/>
          <w:color w:val="auto"/>
          <w:sz w:val="24"/>
          <w:szCs w:val="24"/>
        </w:rPr>
        <w:t>和</w:t>
      </w:r>
      <w:r>
        <w:rPr>
          <w:rFonts w:hint="default" w:ascii="Times New Roman" w:hAnsi="Times New Roman" w:eastAsia="宋体" w:cs="Times New Roman"/>
          <w:color w:val="auto"/>
          <w:position w:val="-6"/>
          <w:sz w:val="24"/>
          <w:szCs w:val="24"/>
        </w:rPr>
        <w:object>
          <v:shape id="_x0000_i1033" o:spt="75" type="#_x0000_t75" style="height:17pt;width:10pt;" o:ole="t" filled="f" o:preferrelative="t" stroked="f" coordsize="21600,21600">
            <v:path/>
            <v:fill on="f" alignshape="1" focussize="0,0"/>
            <v:stroke on="f"/>
            <v:imagedata r:id="rId71" o:title=""/>
            <o:lock v:ext="edit" aspectratio="t"/>
            <w10:wrap type="none"/>
            <w10:anchorlock/>
          </v:shape>
          <o:OLEObject Type="Embed" ProgID="Equation.3" ShapeID="_x0000_i1033" DrawAspect="Content" ObjectID="_1468075733" r:id="rId70">
            <o:LockedField>false</o:LockedField>
          </o:OLEObject>
        </w:object>
      </w:r>
      <w:r>
        <w:rPr>
          <w:rFonts w:hint="default" w:ascii="Times New Roman" w:hAnsi="Times New Roman" w:eastAsia="宋体" w:cs="Times New Roman"/>
          <w:color w:val="auto"/>
          <w:sz w:val="24"/>
          <w:szCs w:val="24"/>
        </w:rPr>
        <w:t>表示水深平均的值；f=2Ωsinφ表示Coriolis因子（Ω是地球自转的角速度，φ是地理纬度）；Pa表示大气压；S为源汇项；g表示重力加速度；</w:t>
      </w:r>
    </w:p>
    <w:p>
      <w:pPr>
        <w:spacing w:line="480" w:lineRule="exact"/>
        <w:ind w:firstLine="480" w:firstLineChars="200"/>
        <w:jc w:val="both"/>
        <w:rPr>
          <w:rFonts w:hint="default" w:ascii="Times New Roman" w:hAnsi="Times New Roman" w:eastAsia="宋体" w:cs="Times New Roman"/>
          <w:color w:val="auto"/>
          <w:lang w:val="en-US"/>
        </w:rPr>
      </w:pPr>
      <w:r>
        <w:rPr>
          <w:rFonts w:hint="default" w:ascii="Times New Roman" w:hAnsi="Times New Roman" w:eastAsia="宋体" w:cs="Times New Roman"/>
          <w:color w:val="auto"/>
          <w:sz w:val="24"/>
          <w:szCs w:val="24"/>
        </w:rPr>
        <w:drawing>
          <wp:anchor distT="0" distB="0" distL="114300" distR="114300" simplePos="0" relativeHeight="251710464" behindDoc="0" locked="0" layoutInCell="1" allowOverlap="1">
            <wp:simplePos x="0" y="0"/>
            <wp:positionH relativeFrom="column">
              <wp:posOffset>19050</wp:posOffset>
            </wp:positionH>
            <wp:positionV relativeFrom="paragraph">
              <wp:posOffset>34290</wp:posOffset>
            </wp:positionV>
            <wp:extent cx="1333500" cy="265430"/>
            <wp:effectExtent l="0" t="0" r="0" b="1270"/>
            <wp:wrapNone/>
            <wp:docPr id="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
                    <pic:cNvPicPr>
                      <a:picLocks noChangeAspect="1"/>
                    </pic:cNvPicPr>
                  </pic:nvPicPr>
                  <pic:blipFill>
                    <a:blip r:embed="rId72"/>
                    <a:stretch>
                      <a:fillRect/>
                    </a:stretch>
                  </pic:blipFill>
                  <pic:spPr>
                    <a:xfrm>
                      <a:off x="0" y="0"/>
                      <a:ext cx="1333500" cy="265430"/>
                    </a:xfrm>
                    <a:prstGeom prst="rect">
                      <a:avLst/>
                    </a:prstGeom>
                    <a:noFill/>
                    <a:ln>
                      <a:noFill/>
                    </a:ln>
                  </pic:spPr>
                </pic:pic>
              </a:graphicData>
            </a:graphic>
          </wp:anchor>
        </w:drawing>
      </w:r>
      <w:r>
        <w:rPr>
          <w:rFonts w:hint="eastAsia" w:cs="Times New Roman"/>
          <w:color w:val="auto"/>
          <w:lang w:val="en-US" w:eastAsia="zh-CN"/>
        </w:rPr>
        <w:t xml:space="preserve">              </w:t>
      </w:r>
      <w:r>
        <w:rPr>
          <w:rFonts w:hint="default" w:ascii="Times New Roman" w:hAnsi="Times New Roman" w:eastAsia="宋体" w:cs="Times New Roman"/>
          <w:color w:val="auto"/>
          <w:sz w:val="24"/>
          <w:szCs w:val="24"/>
        </w:rPr>
        <w:t>ρ</w:t>
      </w:r>
      <w:r>
        <w:rPr>
          <w:rFonts w:hint="default" w:ascii="Times New Roman" w:hAnsi="Times New Roman" w:eastAsia="宋体" w:cs="Times New Roman"/>
          <w:color w:val="auto"/>
          <w:sz w:val="24"/>
          <w:szCs w:val="24"/>
          <w:vertAlign w:val="subscript"/>
        </w:rPr>
        <w:t>0</w:t>
      </w:r>
      <w:r>
        <w:rPr>
          <w:rFonts w:hint="default" w:ascii="Times New Roman" w:hAnsi="Times New Roman" w:eastAsia="宋体" w:cs="Times New Roman"/>
          <w:color w:val="auto"/>
          <w:sz w:val="24"/>
          <w:szCs w:val="24"/>
        </w:rPr>
        <w:t>表示水的相对密度；（u</w:t>
      </w:r>
      <w:r>
        <w:rPr>
          <w:rFonts w:hint="default" w:ascii="Times New Roman" w:hAnsi="Times New Roman" w:eastAsia="宋体" w:cs="Times New Roman"/>
          <w:color w:val="auto"/>
          <w:sz w:val="24"/>
          <w:szCs w:val="24"/>
          <w:vertAlign w:val="subscript"/>
        </w:rPr>
        <w:t>s</w:t>
      </w:r>
      <w:r>
        <w:rPr>
          <w:rFonts w:hint="default" w:ascii="Times New Roman" w:hAnsi="Times New Roman" w:eastAsia="宋体" w:cs="Times New Roman"/>
          <w:color w:val="auto"/>
          <w:sz w:val="24"/>
          <w:szCs w:val="24"/>
        </w:rPr>
        <w:t>，v</w:t>
      </w:r>
      <w:r>
        <w:rPr>
          <w:rFonts w:hint="default" w:ascii="Times New Roman" w:hAnsi="Times New Roman" w:eastAsia="宋体" w:cs="Times New Roman"/>
          <w:color w:val="auto"/>
          <w:sz w:val="24"/>
          <w:szCs w:val="24"/>
          <w:vertAlign w:val="subscript"/>
        </w:rPr>
        <w:t>s</w:t>
      </w:r>
      <w:r>
        <w:rPr>
          <w:rFonts w:hint="default" w:ascii="Times New Roman" w:hAnsi="Times New Roman" w:eastAsia="宋体" w:cs="Times New Roman"/>
          <w:color w:val="auto"/>
          <w:sz w:val="24"/>
          <w:szCs w:val="24"/>
        </w:rPr>
        <w:t>）表示外界排放到环境水体的速率；τ</w:t>
      </w:r>
      <w:r>
        <w:rPr>
          <w:rFonts w:hint="default" w:ascii="Times New Roman" w:hAnsi="Times New Roman" w:eastAsia="宋体" w:cs="Times New Roman"/>
          <w:color w:val="auto"/>
          <w:sz w:val="24"/>
          <w:szCs w:val="24"/>
          <w:vertAlign w:val="subscript"/>
        </w:rPr>
        <w:t>sx</w:t>
      </w:r>
      <w:r>
        <w:rPr>
          <w:rFonts w:hint="default" w:ascii="Times New Roman" w:hAnsi="Times New Roman" w:eastAsia="宋体" w:cs="Times New Roman"/>
          <w:color w:val="auto"/>
          <w:sz w:val="24"/>
          <w:szCs w:val="24"/>
        </w:rPr>
        <w:t>、τ</w:t>
      </w:r>
      <w:r>
        <w:rPr>
          <w:rFonts w:hint="default" w:ascii="Times New Roman" w:hAnsi="Times New Roman" w:eastAsia="宋体" w:cs="Times New Roman"/>
          <w:color w:val="auto"/>
          <w:sz w:val="24"/>
          <w:szCs w:val="24"/>
          <w:vertAlign w:val="subscript"/>
        </w:rPr>
        <w:t>sy</w:t>
      </w:r>
      <w:r>
        <w:rPr>
          <w:rFonts w:hint="default" w:ascii="Times New Roman" w:hAnsi="Times New Roman" w:eastAsia="宋体" w:cs="Times New Roman"/>
          <w:color w:val="auto"/>
          <w:sz w:val="24"/>
          <w:szCs w:val="24"/>
        </w:rPr>
        <w:t>为x,y方向上自由表面风对水面的剪切应力；τ</w:t>
      </w:r>
      <w:r>
        <w:rPr>
          <w:rFonts w:hint="default" w:ascii="Times New Roman" w:hAnsi="Times New Roman" w:eastAsia="宋体" w:cs="Times New Roman"/>
          <w:color w:val="auto"/>
          <w:sz w:val="24"/>
          <w:szCs w:val="24"/>
          <w:vertAlign w:val="subscript"/>
        </w:rPr>
        <w:t>bx</w:t>
      </w:r>
      <w:r>
        <w:rPr>
          <w:rFonts w:hint="default" w:ascii="Times New Roman" w:hAnsi="Times New Roman" w:eastAsia="宋体" w:cs="Times New Roman"/>
          <w:color w:val="auto"/>
          <w:sz w:val="24"/>
          <w:szCs w:val="24"/>
        </w:rPr>
        <w:t>、τ</w:t>
      </w:r>
      <w:r>
        <w:rPr>
          <w:rFonts w:hint="default" w:ascii="Times New Roman" w:hAnsi="Times New Roman" w:eastAsia="宋体" w:cs="Times New Roman"/>
          <w:color w:val="auto"/>
          <w:sz w:val="24"/>
          <w:szCs w:val="24"/>
          <w:vertAlign w:val="subscript"/>
        </w:rPr>
        <w:t>by</w:t>
      </w:r>
      <w:r>
        <w:rPr>
          <w:rFonts w:hint="default" w:ascii="Times New Roman" w:hAnsi="Times New Roman" w:eastAsia="宋体" w:cs="Times New Roman"/>
          <w:color w:val="auto"/>
          <w:sz w:val="24"/>
          <w:szCs w:val="24"/>
        </w:rPr>
        <w:t>表示x,y方向上的底床摩擦应力项。</w:t>
      </w:r>
    </w:p>
    <w:p>
      <w:pPr>
        <w:spacing w:line="52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rPr>
        <w:drawing>
          <wp:anchor distT="0" distB="0" distL="114300" distR="114300" simplePos="0" relativeHeight="251711488" behindDoc="0" locked="0" layoutInCell="1" allowOverlap="1">
            <wp:simplePos x="0" y="0"/>
            <wp:positionH relativeFrom="column">
              <wp:posOffset>2038350</wp:posOffset>
            </wp:positionH>
            <wp:positionV relativeFrom="paragraph">
              <wp:posOffset>656590</wp:posOffset>
            </wp:positionV>
            <wp:extent cx="2129155" cy="450215"/>
            <wp:effectExtent l="0" t="0" r="4445" b="6985"/>
            <wp:wrapNone/>
            <wp:docPr id="4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pic:cNvPicPr>
                      <a:picLocks noChangeAspect="1"/>
                    </pic:cNvPicPr>
                  </pic:nvPicPr>
                  <pic:blipFill>
                    <a:blip r:embed="rId73"/>
                    <a:stretch>
                      <a:fillRect/>
                    </a:stretch>
                  </pic:blipFill>
                  <pic:spPr>
                    <a:xfrm>
                      <a:off x="0" y="0"/>
                      <a:ext cx="2129155" cy="450215"/>
                    </a:xfrm>
                    <a:prstGeom prst="rect">
                      <a:avLst/>
                    </a:prstGeom>
                    <a:noFill/>
                    <a:ln>
                      <a:noFill/>
                    </a:ln>
                  </pic:spPr>
                </pic:pic>
              </a:graphicData>
            </a:graphic>
          </wp:anchor>
        </w:drawing>
      </w:r>
      <w:r>
        <w:rPr>
          <w:rFonts w:hint="default" w:ascii="Times New Roman" w:hAnsi="Times New Roman" w:eastAsia="宋体" w:cs="Times New Roman"/>
          <w:color w:val="auto"/>
          <w:sz w:val="24"/>
          <w:szCs w:val="24"/>
        </w:rPr>
        <w:t>横向应力Tij包括粘滞阻力、紊流摩擦阻力和差动平流摩擦阻力，可用垂向流速平均的涡粘方程来计算：</w:t>
      </w:r>
    </w:p>
    <w:p>
      <w:pPr>
        <w:spacing w:line="480" w:lineRule="exact"/>
        <w:ind w:firstLine="480" w:firstLineChars="200"/>
        <w:rPr>
          <w:rFonts w:hint="default" w:ascii="Times New Roman" w:hAnsi="Times New Roman" w:eastAsia="宋体" w:cs="Times New Roman"/>
          <w:color w:val="auto"/>
        </w:rPr>
      </w:pPr>
    </w:p>
    <w:p>
      <w:pPr>
        <w:spacing w:line="52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b、水质模型基本方程</w:t>
      </w:r>
    </w:p>
    <w:p>
      <w:pPr>
        <w:spacing w:line="52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水质方程是以质量平衡方程为基础的。由于三维水质输移方程包涵很多不可确定的参数，在现有条件下，模型的验证存在困难，考虑到资料及模型计算工作量等因素，采用垂向平均的二维水质模型。二维水质输移方程为：</w:t>
      </w:r>
    </w:p>
    <w:p>
      <w:pPr>
        <w:spacing w:line="480" w:lineRule="exact"/>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drawing>
          <wp:anchor distT="0" distB="0" distL="114300" distR="114300" simplePos="0" relativeHeight="251712512" behindDoc="0" locked="0" layoutInCell="1" allowOverlap="1">
            <wp:simplePos x="0" y="0"/>
            <wp:positionH relativeFrom="column">
              <wp:posOffset>1619250</wp:posOffset>
            </wp:positionH>
            <wp:positionV relativeFrom="paragraph">
              <wp:posOffset>62865</wp:posOffset>
            </wp:positionV>
            <wp:extent cx="3002280" cy="381635"/>
            <wp:effectExtent l="0" t="0" r="7620" b="18415"/>
            <wp:wrapNone/>
            <wp:docPr id="5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pic:cNvPicPr>
                      <a:picLocks noChangeAspect="1"/>
                    </pic:cNvPicPr>
                  </pic:nvPicPr>
                  <pic:blipFill>
                    <a:blip r:embed="rId74"/>
                    <a:stretch>
                      <a:fillRect/>
                    </a:stretch>
                  </pic:blipFill>
                  <pic:spPr>
                    <a:xfrm>
                      <a:off x="0" y="0"/>
                      <a:ext cx="3002280" cy="381635"/>
                    </a:xfrm>
                    <a:prstGeom prst="rect">
                      <a:avLst/>
                    </a:prstGeom>
                    <a:noFill/>
                    <a:ln>
                      <a:noFill/>
                    </a:ln>
                  </pic:spPr>
                </pic:pic>
              </a:graphicData>
            </a:graphic>
          </wp:anchor>
        </w:drawing>
      </w:r>
    </w:p>
    <w:p>
      <w:pPr>
        <w:pStyle w:val="2"/>
        <w:rPr>
          <w:rFonts w:hint="default" w:ascii="Times New Roman" w:hAnsi="Times New Roman" w:eastAsia="宋体" w:cs="Times New Roman"/>
          <w:color w:val="auto"/>
        </w:rPr>
      </w:pPr>
    </w:p>
    <w:p>
      <w:pPr>
        <w:spacing w:line="52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式中：C</w:t>
      </w:r>
      <w:r>
        <w:rPr>
          <w:rFonts w:hint="default" w:ascii="Times New Roman" w:hAnsi="Times New Roman" w:eastAsia="宋体" w:cs="Times New Roman"/>
          <w:color w:val="auto"/>
          <w:sz w:val="24"/>
          <w:szCs w:val="24"/>
          <w:vertAlign w:val="subscript"/>
        </w:rPr>
        <w:t>i</w:t>
      </w:r>
      <w:r>
        <w:rPr>
          <w:rFonts w:hint="default" w:ascii="Times New Roman" w:hAnsi="Times New Roman" w:eastAsia="宋体" w:cs="Times New Roman"/>
          <w:color w:val="auto"/>
          <w:sz w:val="24"/>
          <w:szCs w:val="24"/>
        </w:rPr>
        <w:t>—污染物浓度；</w:t>
      </w:r>
    </w:p>
    <w:p>
      <w:pPr>
        <w:spacing w:line="520" w:lineRule="exact"/>
        <w:ind w:firstLine="1200" w:firstLineChars="5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U、V—x、y方向上的流速分量；</w:t>
      </w:r>
    </w:p>
    <w:p>
      <w:pPr>
        <w:spacing w:line="520" w:lineRule="exact"/>
        <w:ind w:firstLine="1200" w:firstLineChars="5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Ex、Ey—x、y向上的扩散系数；</w:t>
      </w:r>
    </w:p>
    <w:p>
      <w:pPr>
        <w:spacing w:line="520" w:lineRule="exact"/>
        <w:ind w:firstLine="1200" w:firstLineChars="5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K</w:t>
      </w:r>
      <w:r>
        <w:rPr>
          <w:rFonts w:hint="default" w:ascii="Times New Roman" w:hAnsi="Times New Roman" w:eastAsia="宋体" w:cs="Times New Roman"/>
          <w:color w:val="auto"/>
          <w:sz w:val="24"/>
          <w:szCs w:val="24"/>
          <w:vertAlign w:val="subscript"/>
        </w:rPr>
        <w:t>i</w:t>
      </w:r>
      <w:r>
        <w:rPr>
          <w:rFonts w:hint="default" w:ascii="Times New Roman" w:hAnsi="Times New Roman" w:eastAsia="宋体" w:cs="Times New Roman"/>
          <w:color w:val="auto"/>
          <w:sz w:val="24"/>
          <w:szCs w:val="24"/>
        </w:rPr>
        <w:t>—污染物降解系数。</w:t>
      </w:r>
    </w:p>
    <w:p>
      <w:pPr>
        <w:spacing w:line="52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③水文边界条件</w:t>
      </w:r>
    </w:p>
    <w:p>
      <w:pPr>
        <w:spacing w:line="52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根据施工进度计划，本工程</w:t>
      </w:r>
      <w:r>
        <w:rPr>
          <w:rFonts w:hint="eastAsia" w:ascii="Times New Roman" w:hAnsi="Times New Roman" w:eastAsia="宋体" w:cs="Times New Roman"/>
          <w:color w:val="auto"/>
          <w:sz w:val="24"/>
          <w:szCs w:val="24"/>
          <w:lang w:val="en-US" w:eastAsia="zh-CN"/>
        </w:rPr>
        <w:t>水下</w:t>
      </w:r>
      <w:r>
        <w:rPr>
          <w:rFonts w:hint="default" w:ascii="Times New Roman" w:hAnsi="Times New Roman" w:eastAsia="宋体" w:cs="Times New Roman"/>
          <w:color w:val="auto"/>
          <w:sz w:val="24"/>
          <w:szCs w:val="24"/>
        </w:rPr>
        <w:t>作业在非汛期进行，因此水文边界条件选择平、枯水期。</w:t>
      </w:r>
    </w:p>
    <w:p>
      <w:pPr>
        <w:spacing w:line="52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④水质边界条件</w:t>
      </w:r>
    </w:p>
    <w:p>
      <w:pPr>
        <w:spacing w:line="52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数学模型通常使用开边界（水边）和闭边界（岸边）两种边界条件。对于开边界，流入计算域时：</w:t>
      </w:r>
    </w:p>
    <w:p>
      <w:pPr>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anchor distT="0" distB="0" distL="114300" distR="114300" simplePos="0" relativeHeight="251713536" behindDoc="0" locked="0" layoutInCell="1" allowOverlap="1">
            <wp:simplePos x="0" y="0"/>
            <wp:positionH relativeFrom="column">
              <wp:posOffset>1903095</wp:posOffset>
            </wp:positionH>
            <wp:positionV relativeFrom="paragraph">
              <wp:posOffset>1905</wp:posOffset>
            </wp:positionV>
            <wp:extent cx="1776095" cy="509270"/>
            <wp:effectExtent l="0" t="0" r="14605" b="5080"/>
            <wp:wrapNone/>
            <wp:docPr id="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8"/>
                    <pic:cNvPicPr>
                      <a:picLocks noChangeAspect="1"/>
                    </pic:cNvPicPr>
                  </pic:nvPicPr>
                  <pic:blipFill>
                    <a:blip r:embed="rId75"/>
                    <a:stretch>
                      <a:fillRect/>
                    </a:stretch>
                  </pic:blipFill>
                  <pic:spPr>
                    <a:xfrm>
                      <a:off x="0" y="0"/>
                      <a:ext cx="1776095" cy="509270"/>
                    </a:xfrm>
                    <a:prstGeom prst="rect">
                      <a:avLst/>
                    </a:prstGeom>
                    <a:noFill/>
                    <a:ln>
                      <a:noFill/>
                    </a:ln>
                  </pic:spPr>
                </pic:pic>
              </a:graphicData>
            </a:graphic>
          </wp:anchor>
        </w:drawing>
      </w:r>
    </w:p>
    <w:p>
      <w:pPr>
        <w:pStyle w:val="2"/>
        <w:rPr>
          <w:rFonts w:hint="default"/>
        </w:rPr>
      </w:pPr>
    </w:p>
    <w:p>
      <w:pPr>
        <w:spacing w:line="52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考虑到模型的范围足够大，取流入计算域的浓度值为零。</w:t>
      </w:r>
    </w:p>
    <w:p>
      <w:pPr>
        <w:spacing w:line="52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anchor distT="0" distB="0" distL="114300" distR="114300" simplePos="0" relativeHeight="251714560" behindDoc="0" locked="0" layoutInCell="1" allowOverlap="1">
            <wp:simplePos x="0" y="0"/>
            <wp:positionH relativeFrom="column">
              <wp:posOffset>2207895</wp:posOffset>
            </wp:positionH>
            <wp:positionV relativeFrom="paragraph">
              <wp:posOffset>245745</wp:posOffset>
            </wp:positionV>
            <wp:extent cx="1195070" cy="342265"/>
            <wp:effectExtent l="0" t="0" r="5080" b="635"/>
            <wp:wrapNone/>
            <wp:docPr id="5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9"/>
                    <pic:cNvPicPr>
                      <a:picLocks noChangeAspect="1"/>
                    </pic:cNvPicPr>
                  </pic:nvPicPr>
                  <pic:blipFill>
                    <a:blip r:embed="rId76"/>
                    <a:stretch>
                      <a:fillRect/>
                    </a:stretch>
                  </pic:blipFill>
                  <pic:spPr>
                    <a:xfrm>
                      <a:off x="0" y="0"/>
                      <a:ext cx="1195070" cy="342265"/>
                    </a:xfrm>
                    <a:prstGeom prst="rect">
                      <a:avLst/>
                    </a:prstGeom>
                    <a:noFill/>
                    <a:ln>
                      <a:noFill/>
                    </a:ln>
                  </pic:spPr>
                </pic:pic>
              </a:graphicData>
            </a:graphic>
          </wp:anchor>
        </w:drawing>
      </w:r>
      <w:r>
        <w:rPr>
          <w:rFonts w:hint="default" w:ascii="Times New Roman" w:hAnsi="Times New Roman" w:eastAsia="宋体" w:cs="Times New Roman"/>
          <w:color w:val="auto"/>
          <w:sz w:val="24"/>
          <w:szCs w:val="24"/>
        </w:rPr>
        <w:t>⑤初始条件</w:t>
      </w:r>
    </w:p>
    <w:p>
      <w:pPr>
        <w:jc w:val="center"/>
        <w:rPr>
          <w:rFonts w:hint="default" w:ascii="Times New Roman" w:hAnsi="Times New Roman" w:eastAsia="宋体" w:cs="Times New Roman"/>
          <w:color w:val="auto"/>
          <w:sz w:val="24"/>
          <w:szCs w:val="24"/>
        </w:rPr>
      </w:pPr>
    </w:p>
    <w:p>
      <w:pPr>
        <w:spacing w:line="52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式中C</w:t>
      </w:r>
      <w:r>
        <w:rPr>
          <w:rFonts w:hint="default" w:ascii="Times New Roman" w:hAnsi="Times New Roman" w:eastAsia="宋体" w:cs="Times New Roman"/>
          <w:color w:val="auto"/>
          <w:sz w:val="24"/>
          <w:szCs w:val="24"/>
          <w:vertAlign w:val="subscript"/>
        </w:rPr>
        <w:t>0</w:t>
      </w:r>
      <w:r>
        <w:rPr>
          <w:rFonts w:hint="default" w:ascii="Times New Roman" w:hAnsi="Times New Roman" w:eastAsia="宋体" w:cs="Times New Roman"/>
          <w:color w:val="auto"/>
          <w:sz w:val="24"/>
          <w:szCs w:val="24"/>
        </w:rPr>
        <w:t>为计算初始时刻水域中各点的浓度值，计算中取为零。</w:t>
      </w:r>
    </w:p>
    <w:p>
      <w:pPr>
        <w:spacing w:line="52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⑥计算参数</w:t>
      </w:r>
    </w:p>
    <w:p>
      <w:pPr>
        <w:spacing w:line="52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扩散系数：本次悬浮物扩散系数取为水流涡粘系数的倍数值，根据研究范围水动力特性及已有经验，该倍数值取为1。</w:t>
      </w:r>
    </w:p>
    <w:p>
      <w:pPr>
        <w:spacing w:line="52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沉速：</w:t>
      </w:r>
      <w:r>
        <w:rPr>
          <w:rFonts w:hint="eastAsia" w:ascii="Times New Roman" w:hAnsi="Times New Roman" w:eastAsia="宋体" w:cs="Times New Roman"/>
          <w:color w:val="auto"/>
          <w:sz w:val="24"/>
          <w:szCs w:val="24"/>
          <w:lang w:val="en-US" w:eastAsia="zh-CN"/>
        </w:rPr>
        <w:t>太湖</w:t>
      </w:r>
      <w:r>
        <w:rPr>
          <w:rFonts w:hint="default" w:ascii="Times New Roman" w:hAnsi="Times New Roman" w:eastAsia="宋体" w:cs="Times New Roman"/>
          <w:color w:val="auto"/>
          <w:sz w:val="24"/>
          <w:szCs w:val="24"/>
        </w:rPr>
        <w:t>底层粉粒（底泥粒径小于0.5mm）的体积百分含量约为71.89%。根据离散颗粒自由沉淀速度公式，当颗粒物粒径为0.5mm时，沉降速度约为0.002cm/s。类比环保部已批复的《东太湖综合整治后续工程环境影响报告书》中SS沉降速度取值，并考虑底质沉降再悬浮等因素，取沉降速率为0.00004m/s。</w:t>
      </w:r>
    </w:p>
    <w:p>
      <w:pPr>
        <w:spacing w:line="52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（2）施工期悬浮物源强确定</w:t>
      </w:r>
    </w:p>
    <w:p>
      <w:pPr>
        <w:spacing w:line="52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悬浮泥沙发生量参照中</w:t>
      </w:r>
      <w:r>
        <w:rPr>
          <w:rFonts w:hint="eastAsia" w:cs="Times New Roman"/>
          <w:color w:val="auto"/>
          <w:sz w:val="24"/>
          <w:szCs w:val="24"/>
          <w:lang w:val="en-US" w:eastAsia="zh-CN"/>
        </w:rPr>
        <w:t>下</w:t>
      </w:r>
      <w:r>
        <w:rPr>
          <w:rFonts w:hint="default" w:ascii="Times New Roman" w:hAnsi="Times New Roman" w:eastAsia="宋体" w:cs="Times New Roman"/>
          <w:color w:val="auto"/>
          <w:sz w:val="24"/>
          <w:szCs w:val="24"/>
        </w:rPr>
        <w:t>式：</w:t>
      </w:r>
    </w:p>
    <w:p>
      <w:pPr>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anchor distT="0" distB="0" distL="114300" distR="114300" simplePos="0" relativeHeight="251715584" behindDoc="0" locked="0" layoutInCell="1" allowOverlap="1">
            <wp:simplePos x="0" y="0"/>
            <wp:positionH relativeFrom="column">
              <wp:posOffset>2245995</wp:posOffset>
            </wp:positionH>
            <wp:positionV relativeFrom="paragraph">
              <wp:posOffset>39370</wp:posOffset>
            </wp:positionV>
            <wp:extent cx="1166495" cy="462915"/>
            <wp:effectExtent l="0" t="0" r="14605" b="13335"/>
            <wp:wrapNone/>
            <wp:docPr id="6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0"/>
                    <pic:cNvPicPr>
                      <a:picLocks noChangeAspect="1"/>
                    </pic:cNvPicPr>
                  </pic:nvPicPr>
                  <pic:blipFill>
                    <a:blip r:embed="rId77"/>
                    <a:stretch>
                      <a:fillRect/>
                    </a:stretch>
                  </pic:blipFill>
                  <pic:spPr>
                    <a:xfrm>
                      <a:off x="0" y="0"/>
                      <a:ext cx="1166495" cy="462915"/>
                    </a:xfrm>
                    <a:prstGeom prst="rect">
                      <a:avLst/>
                    </a:prstGeom>
                    <a:noFill/>
                    <a:ln>
                      <a:noFill/>
                    </a:ln>
                  </pic:spPr>
                </pic:pic>
              </a:graphicData>
            </a:graphic>
          </wp:anchor>
        </w:drawing>
      </w:r>
    </w:p>
    <w:p>
      <w:pPr>
        <w:pStyle w:val="2"/>
        <w:rPr>
          <w:rFonts w:hint="default"/>
        </w:rPr>
      </w:pPr>
    </w:p>
    <w:p>
      <w:pPr>
        <w:spacing w:line="52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Q —悬浮物发生量（t/h）；</w:t>
      </w:r>
    </w:p>
    <w:p>
      <w:pPr>
        <w:spacing w:line="52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w:t>
      </w:r>
      <w:r>
        <w:rPr>
          <w:rFonts w:hint="default" w:ascii="Times New Roman" w:hAnsi="Times New Roman" w:eastAsia="宋体" w:cs="Times New Roman"/>
          <w:color w:val="auto"/>
          <w:sz w:val="24"/>
          <w:szCs w:val="24"/>
          <w:vertAlign w:val="subscript"/>
        </w:rPr>
        <w:t>0</w:t>
      </w:r>
      <w:r>
        <w:rPr>
          <w:rFonts w:hint="default" w:ascii="Times New Roman" w:hAnsi="Times New Roman" w:eastAsia="宋体" w:cs="Times New Roman"/>
          <w:color w:val="auto"/>
          <w:sz w:val="24"/>
          <w:szCs w:val="24"/>
        </w:rPr>
        <w:t>—悬浮物发生系数（t/m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p>
    <w:p>
      <w:pPr>
        <w:spacing w:line="52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R</w:t>
      </w:r>
      <w:r>
        <w:rPr>
          <w:rFonts w:hint="default" w:ascii="Times New Roman" w:hAnsi="Times New Roman" w:eastAsia="宋体" w:cs="Times New Roman"/>
          <w:color w:val="auto"/>
          <w:sz w:val="24"/>
          <w:szCs w:val="24"/>
          <w:vertAlign w:val="subscript"/>
        </w:rPr>
        <w:t>0</w:t>
      </w:r>
      <w:r>
        <w:rPr>
          <w:rFonts w:hint="default" w:ascii="Times New Roman" w:hAnsi="Times New Roman" w:eastAsia="宋体" w:cs="Times New Roman"/>
          <w:color w:val="auto"/>
          <w:sz w:val="24"/>
          <w:szCs w:val="24"/>
        </w:rPr>
        <w:t>—指定发生系数W</w:t>
      </w:r>
      <w:r>
        <w:rPr>
          <w:rFonts w:hint="default" w:ascii="Times New Roman" w:hAnsi="Times New Roman" w:eastAsia="宋体" w:cs="Times New Roman"/>
          <w:color w:val="auto"/>
          <w:sz w:val="24"/>
          <w:szCs w:val="24"/>
          <w:vertAlign w:val="subscript"/>
        </w:rPr>
        <w:t>0</w:t>
      </w:r>
      <w:r>
        <w:rPr>
          <w:rFonts w:hint="default" w:ascii="Times New Roman" w:hAnsi="Times New Roman" w:eastAsia="宋体" w:cs="Times New Roman"/>
          <w:color w:val="auto"/>
          <w:sz w:val="24"/>
          <w:szCs w:val="24"/>
        </w:rPr>
        <w:t>时的悬浮物粒径累计百分比；</w:t>
      </w:r>
    </w:p>
    <w:p>
      <w:pPr>
        <w:spacing w:line="52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R —现场流速中SS临界粒子的粒径累计百分比；</w:t>
      </w:r>
    </w:p>
    <w:p>
      <w:pPr>
        <w:spacing w:line="52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T—工作效率，m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/h。</w:t>
      </w:r>
    </w:p>
    <w:p>
      <w:pPr>
        <w:spacing w:line="52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根据经验，悬浮物发生系数为0.0186t/m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太湖</w:t>
      </w:r>
      <w:r>
        <w:rPr>
          <w:rFonts w:hint="default" w:ascii="Times New Roman" w:hAnsi="Times New Roman" w:eastAsia="宋体" w:cs="Times New Roman"/>
          <w:color w:val="auto"/>
          <w:sz w:val="24"/>
          <w:szCs w:val="24"/>
        </w:rPr>
        <w:t>底层粉粒（底泥粒径小于0.5mm）的体积百分含量约为71.89%。根据离散颗粒自由沉淀速度公式，当颗粒物粒径小于0.5mm时，湖区沉降速度小于0.002cm/s，据此可判断，当粒径小于0.5mm时，颗粒物不易沉降，可认为是SS临界粒子。因此，R/R</w:t>
      </w:r>
      <w:r>
        <w:rPr>
          <w:rFonts w:hint="default" w:ascii="Times New Roman" w:hAnsi="Times New Roman" w:eastAsia="宋体" w:cs="Times New Roman"/>
          <w:color w:val="auto"/>
          <w:sz w:val="24"/>
          <w:szCs w:val="24"/>
          <w:vertAlign w:val="subscript"/>
        </w:rPr>
        <w:t>0</w:t>
      </w:r>
      <w:r>
        <w:rPr>
          <w:rFonts w:hint="default" w:ascii="Times New Roman" w:hAnsi="Times New Roman" w:eastAsia="宋体" w:cs="Times New Roman"/>
          <w:color w:val="auto"/>
          <w:sz w:val="24"/>
          <w:szCs w:val="24"/>
        </w:rPr>
        <w:t>取0.72。</w:t>
      </w:r>
    </w:p>
    <w:p>
      <w:pPr>
        <w:spacing w:line="52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本工程</w:t>
      </w:r>
      <w:r>
        <w:rPr>
          <w:rFonts w:hint="eastAsia" w:cs="Times New Roman"/>
          <w:color w:val="auto"/>
          <w:sz w:val="24"/>
          <w:szCs w:val="24"/>
          <w:lang w:val="en-US" w:eastAsia="zh-CN"/>
        </w:rPr>
        <w:t>打桩</w:t>
      </w:r>
      <w:r>
        <w:rPr>
          <w:rFonts w:hint="default" w:ascii="Times New Roman" w:hAnsi="Times New Roman" w:eastAsia="宋体" w:cs="Times New Roman"/>
          <w:color w:val="auto"/>
          <w:sz w:val="24"/>
          <w:szCs w:val="24"/>
        </w:rPr>
        <w:t>工作效率为</w:t>
      </w:r>
      <w:r>
        <w:rPr>
          <w:rFonts w:hint="eastAsia" w:cs="Times New Roman"/>
          <w:color w:val="auto"/>
          <w:sz w:val="24"/>
          <w:szCs w:val="24"/>
          <w:lang w:val="en-US" w:eastAsia="zh-CN"/>
        </w:rPr>
        <w:t>0.6</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/h，根据上述悬浮物发生公式计算，</w:t>
      </w:r>
      <w:r>
        <w:rPr>
          <w:rFonts w:hint="eastAsia" w:cs="Times New Roman"/>
          <w:color w:val="auto"/>
          <w:sz w:val="24"/>
          <w:szCs w:val="24"/>
          <w:lang w:val="en-US" w:eastAsia="zh-CN"/>
        </w:rPr>
        <w:t>本项目</w:t>
      </w:r>
      <w:r>
        <w:rPr>
          <w:rFonts w:hint="default" w:ascii="Times New Roman" w:hAnsi="Times New Roman" w:eastAsia="宋体" w:cs="Times New Roman"/>
          <w:color w:val="auto"/>
          <w:sz w:val="24"/>
          <w:szCs w:val="24"/>
        </w:rPr>
        <w:t>最大施工源强约为</w:t>
      </w:r>
      <w:r>
        <w:rPr>
          <w:rFonts w:hint="eastAsia" w:cs="Times New Roman"/>
          <w:color w:val="auto"/>
          <w:sz w:val="24"/>
          <w:szCs w:val="24"/>
          <w:lang w:val="en-US" w:eastAsia="zh-CN"/>
        </w:rPr>
        <w:t>0.002</w:t>
      </w:r>
      <w:r>
        <w:rPr>
          <w:rFonts w:hint="default" w:ascii="Times New Roman" w:hAnsi="Times New Roman" w:eastAsia="宋体" w:cs="Times New Roman"/>
          <w:color w:val="auto"/>
          <w:sz w:val="24"/>
          <w:szCs w:val="24"/>
        </w:rPr>
        <w:t>kg/s，排放方式为连续点源排放。</w:t>
      </w:r>
    </w:p>
    <w:p>
      <w:pPr>
        <w:spacing w:line="52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（3）施工期悬浮物预测结果分析 </w:t>
      </w:r>
    </w:p>
    <w:p>
      <w:pPr>
        <w:spacing w:line="52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根据项目数据方案，本次选择最不利影响，</w:t>
      </w:r>
      <w:r>
        <w:rPr>
          <w:rFonts w:hint="default" w:ascii="Times New Roman" w:hAnsi="Times New Roman" w:eastAsia="宋体" w:cs="Times New Roman"/>
          <w:color w:val="auto"/>
          <w:kern w:val="2"/>
          <w:sz w:val="24"/>
          <w:szCs w:val="24"/>
          <w:lang w:val="en-US" w:eastAsia="zh-CN" w:bidi="ar-SA"/>
        </w:rPr>
        <w:t>源强典型释放点选取</w:t>
      </w:r>
      <w:r>
        <w:rPr>
          <w:rFonts w:hint="default" w:ascii="Times New Roman" w:hAnsi="Times New Roman" w:eastAsia="宋体" w:cs="Times New Roman"/>
          <w:color w:val="auto"/>
        </w:rPr>
        <w:t>强典型释放点选取</w:t>
      </w:r>
      <w:r>
        <w:rPr>
          <w:rFonts w:hint="eastAsia" w:cs="Times New Roman"/>
          <w:color w:val="auto"/>
          <w:lang w:val="en-US" w:eastAsia="zh-CN"/>
        </w:rPr>
        <w:t>围隔及拦渔网工程范围</w:t>
      </w:r>
      <w:r>
        <w:rPr>
          <w:rFonts w:hint="default" w:ascii="Times New Roman" w:hAnsi="Times New Roman" w:eastAsia="宋体" w:cs="Times New Roman"/>
          <w:color w:val="auto"/>
        </w:rPr>
        <w:t>最外侧线作为控制边界，</w:t>
      </w:r>
      <w:r>
        <w:rPr>
          <w:rFonts w:hint="eastAsia" w:cs="Times New Roman"/>
          <w:color w:val="auto"/>
          <w:lang w:val="en-US" w:eastAsia="zh-CN"/>
        </w:rPr>
        <w:t>打桩</w:t>
      </w:r>
      <w:r>
        <w:rPr>
          <w:rFonts w:hint="default" w:ascii="Times New Roman" w:hAnsi="Times New Roman" w:eastAsia="宋体" w:cs="Times New Roman"/>
          <w:color w:val="auto"/>
        </w:rPr>
        <w:t>位置作为典型的悬浮物排放点</w:t>
      </w:r>
      <w:r>
        <w:rPr>
          <w:rFonts w:hint="default" w:ascii="Times New Roman" w:hAnsi="Times New Roman" w:eastAsia="宋体" w:cs="Times New Roman"/>
          <w:color w:val="auto"/>
          <w:sz w:val="24"/>
          <w:szCs w:val="24"/>
        </w:rPr>
        <w:t>，以预测</w:t>
      </w:r>
      <w:r>
        <w:rPr>
          <w:rFonts w:hint="eastAsia" w:cs="Times New Roman"/>
          <w:color w:val="auto"/>
          <w:sz w:val="24"/>
          <w:szCs w:val="24"/>
          <w:lang w:val="en-US" w:eastAsia="zh-CN"/>
        </w:rPr>
        <w:t>打桩</w:t>
      </w:r>
      <w:r>
        <w:rPr>
          <w:rFonts w:hint="default" w:ascii="Times New Roman" w:hAnsi="Times New Roman" w:eastAsia="宋体" w:cs="Times New Roman"/>
          <w:color w:val="auto"/>
          <w:sz w:val="24"/>
          <w:szCs w:val="24"/>
        </w:rPr>
        <w:t>作业造成水域悬浮物扩散的最大包络范围。按照预定源强排放。根据已构建的水动力数学模型和工程区悬浮物输移数学模型，增加悬浮物的排放，排放时间根据工程施工情况概化为</w:t>
      </w:r>
      <w:r>
        <w:rPr>
          <w:rFonts w:hint="eastAsia" w:cs="Times New Roman"/>
          <w:color w:val="auto"/>
          <w:sz w:val="24"/>
          <w:szCs w:val="24"/>
          <w:lang w:val="en-US" w:eastAsia="zh-CN"/>
        </w:rPr>
        <w:t>48</w:t>
      </w:r>
      <w:r>
        <w:rPr>
          <w:rFonts w:hint="default" w:ascii="Times New Roman" w:hAnsi="Times New Roman" w:eastAsia="宋体" w:cs="Times New Roman"/>
          <w:color w:val="auto"/>
          <w:sz w:val="24"/>
          <w:szCs w:val="24"/>
        </w:rPr>
        <w:t>h，同时根据施工进度计划，工程避开了汛期，因此分别考虑枯水期和平水期两种情况，进行工程水域悬浮物扩散浓度场的计算。</w:t>
      </w:r>
    </w:p>
    <w:p>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val="en-US" w:eastAsia="zh-CN"/>
        </w:rPr>
        <w:t>5.</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给出了</w:t>
      </w:r>
      <w:r>
        <w:rPr>
          <w:rFonts w:hint="eastAsia" w:cs="Times New Roman"/>
          <w:color w:val="auto"/>
          <w:sz w:val="24"/>
          <w:szCs w:val="24"/>
          <w:lang w:val="en-US" w:eastAsia="zh-CN"/>
        </w:rPr>
        <w:t>打桩过程</w:t>
      </w:r>
      <w:r>
        <w:rPr>
          <w:rFonts w:hint="default" w:ascii="Times New Roman" w:hAnsi="Times New Roman" w:eastAsia="宋体" w:cs="Times New Roman"/>
          <w:color w:val="auto"/>
          <w:sz w:val="24"/>
          <w:szCs w:val="24"/>
        </w:rPr>
        <w:t>悬浮物浓度增量大于5mg/L、10mg/L、20mg/L、30mg/L的影响面积及最远影响距离。</w:t>
      </w:r>
    </w:p>
    <w:p>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表</w:t>
      </w:r>
      <w:r>
        <w:rPr>
          <w:rFonts w:hint="default" w:ascii="Times New Roman" w:hAnsi="Times New Roman" w:eastAsia="宋体" w:cs="Times New Roman"/>
          <w:b/>
          <w:color w:val="auto"/>
          <w:sz w:val="24"/>
          <w:szCs w:val="24"/>
          <w:lang w:val="en-US" w:eastAsia="zh-CN"/>
        </w:rPr>
        <w:t>5.2-1</w:t>
      </w:r>
      <w:r>
        <w:rPr>
          <w:rFonts w:hint="default" w:ascii="Times New Roman" w:hAnsi="Times New Roman" w:eastAsia="宋体" w:cs="Times New Roman"/>
          <w:b/>
          <w:color w:val="auto"/>
          <w:sz w:val="24"/>
          <w:szCs w:val="24"/>
        </w:rPr>
        <w:t xml:space="preserve">  不同工况下悬浮物浓度增量最大影响范围</w:t>
      </w:r>
    </w:p>
    <w:tbl>
      <w:tblPr>
        <w:tblStyle w:val="5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19"/>
        <w:gridCol w:w="2639"/>
        <w:gridCol w:w="1320"/>
        <w:gridCol w:w="1321"/>
        <w:gridCol w:w="1321"/>
        <w:gridCol w:w="13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51" w:type="dxa"/>
            <w:gridSpan w:val="2"/>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浓度范围</w:t>
            </w:r>
          </w:p>
        </w:tc>
        <w:tc>
          <w:tcPr>
            <w:tcW w:w="121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＞30mg/L</w:t>
            </w:r>
          </w:p>
        </w:tc>
        <w:tc>
          <w:tcPr>
            <w:tcW w:w="121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＞20mg/L</w:t>
            </w:r>
          </w:p>
        </w:tc>
        <w:tc>
          <w:tcPr>
            <w:tcW w:w="121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＞10mg/L</w:t>
            </w:r>
          </w:p>
        </w:tc>
        <w:tc>
          <w:tcPr>
            <w:tcW w:w="121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7"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枯水期</w:t>
            </w:r>
          </w:p>
        </w:tc>
        <w:tc>
          <w:tcPr>
            <w:tcW w:w="243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最大扩散面积（km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p>
        </w:tc>
        <w:tc>
          <w:tcPr>
            <w:tcW w:w="121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0.0</w:t>
            </w:r>
            <w:r>
              <w:rPr>
                <w:rFonts w:hint="eastAsia" w:cs="Times New Roman"/>
                <w:color w:val="auto"/>
                <w:sz w:val="21"/>
                <w:szCs w:val="21"/>
                <w:lang w:val="en-US" w:eastAsia="zh-CN"/>
              </w:rPr>
              <w:t>004</w:t>
            </w:r>
          </w:p>
        </w:tc>
        <w:tc>
          <w:tcPr>
            <w:tcW w:w="121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0.0</w:t>
            </w:r>
            <w:r>
              <w:rPr>
                <w:rFonts w:hint="eastAsia" w:cs="Times New Roman"/>
                <w:color w:val="auto"/>
                <w:sz w:val="21"/>
                <w:szCs w:val="21"/>
                <w:lang w:val="en-US" w:eastAsia="zh-CN"/>
              </w:rPr>
              <w:t>006</w:t>
            </w:r>
          </w:p>
        </w:tc>
        <w:tc>
          <w:tcPr>
            <w:tcW w:w="121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eastAsia" w:cs="Times New Roman"/>
                <w:color w:val="auto"/>
                <w:sz w:val="21"/>
                <w:szCs w:val="21"/>
                <w:lang w:val="en-US" w:eastAsia="zh-CN"/>
              </w:rPr>
              <w:t>0010</w:t>
            </w:r>
          </w:p>
        </w:tc>
        <w:tc>
          <w:tcPr>
            <w:tcW w:w="121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r>
              <w:rPr>
                <w:rFonts w:hint="eastAsia" w:cs="Times New Roman"/>
                <w:color w:val="auto"/>
                <w:sz w:val="21"/>
                <w:szCs w:val="21"/>
                <w:lang w:val="en-US" w:eastAsia="zh-CN"/>
              </w:rPr>
              <w:t>00</w:t>
            </w:r>
            <w:r>
              <w:rPr>
                <w:rFonts w:hint="default" w:ascii="Times New Roman" w:hAnsi="Times New Roman" w:eastAsia="宋体" w:cs="Times New Roman"/>
                <w:color w:val="auto"/>
                <w:sz w:val="21"/>
                <w:szCs w:val="21"/>
              </w:rPr>
              <w:t>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7"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43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最远扩散距离（m）</w:t>
            </w:r>
          </w:p>
        </w:tc>
        <w:tc>
          <w:tcPr>
            <w:tcW w:w="121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121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w:t>
            </w:r>
          </w:p>
        </w:tc>
        <w:tc>
          <w:tcPr>
            <w:tcW w:w="121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121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7"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平水期</w:t>
            </w:r>
          </w:p>
        </w:tc>
        <w:tc>
          <w:tcPr>
            <w:tcW w:w="243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最大扩散面积（km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p>
        </w:tc>
        <w:tc>
          <w:tcPr>
            <w:tcW w:w="121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w:t>
            </w:r>
            <w:r>
              <w:rPr>
                <w:rFonts w:hint="eastAsia" w:cs="Times New Roman"/>
                <w:color w:val="auto"/>
                <w:sz w:val="21"/>
                <w:szCs w:val="21"/>
                <w:lang w:val="en-US" w:eastAsia="zh-CN"/>
              </w:rPr>
              <w:t>00</w:t>
            </w:r>
            <w:r>
              <w:rPr>
                <w:rFonts w:hint="default" w:ascii="Times New Roman" w:hAnsi="Times New Roman" w:eastAsia="宋体" w:cs="Times New Roman"/>
                <w:color w:val="auto"/>
                <w:sz w:val="21"/>
                <w:szCs w:val="21"/>
              </w:rPr>
              <w:t>3</w:t>
            </w:r>
          </w:p>
        </w:tc>
        <w:tc>
          <w:tcPr>
            <w:tcW w:w="121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0.0</w:t>
            </w:r>
            <w:r>
              <w:rPr>
                <w:rFonts w:hint="eastAsia" w:cs="Times New Roman"/>
                <w:color w:val="auto"/>
                <w:sz w:val="21"/>
                <w:szCs w:val="21"/>
                <w:lang w:val="en-US" w:eastAsia="zh-CN"/>
              </w:rPr>
              <w:t>005</w:t>
            </w:r>
          </w:p>
        </w:tc>
        <w:tc>
          <w:tcPr>
            <w:tcW w:w="121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0.0</w:t>
            </w:r>
            <w:r>
              <w:rPr>
                <w:rFonts w:hint="eastAsia" w:cs="Times New Roman"/>
                <w:color w:val="auto"/>
                <w:sz w:val="21"/>
                <w:szCs w:val="21"/>
                <w:lang w:val="en-US" w:eastAsia="zh-CN"/>
              </w:rPr>
              <w:t>008</w:t>
            </w:r>
          </w:p>
        </w:tc>
        <w:tc>
          <w:tcPr>
            <w:tcW w:w="121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0.</w:t>
            </w:r>
            <w:r>
              <w:rPr>
                <w:rFonts w:hint="eastAsia" w:cs="Times New Roman"/>
                <w:color w:val="auto"/>
                <w:sz w:val="21"/>
                <w:szCs w:val="21"/>
                <w:lang w:val="en-US" w:eastAsia="zh-CN"/>
              </w:rPr>
              <w:t>00</w:t>
            </w:r>
            <w:r>
              <w:rPr>
                <w:rFonts w:hint="default" w:ascii="Times New Roman" w:hAnsi="Times New Roman" w:eastAsia="宋体" w:cs="Times New Roman"/>
                <w:color w:val="auto"/>
                <w:sz w:val="21"/>
                <w:szCs w:val="21"/>
              </w:rPr>
              <w:t>1</w:t>
            </w:r>
            <w:r>
              <w:rPr>
                <w:rFonts w:hint="eastAsia" w:cs="Times New Roman"/>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7"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43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最远扩散距离（m）</w:t>
            </w:r>
          </w:p>
        </w:tc>
        <w:tc>
          <w:tcPr>
            <w:tcW w:w="121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121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121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w:t>
            </w:r>
          </w:p>
        </w:tc>
        <w:tc>
          <w:tcPr>
            <w:tcW w:w="121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w:t>
            </w:r>
          </w:p>
        </w:tc>
      </w:tr>
    </w:tbl>
    <w:p>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计算结果显示：枯水期条件下，</w:t>
      </w:r>
      <w:r>
        <w:rPr>
          <w:rFonts w:hint="eastAsia" w:cs="Times New Roman"/>
          <w:color w:val="auto"/>
          <w:sz w:val="24"/>
          <w:szCs w:val="24"/>
          <w:lang w:val="en-US" w:eastAsia="zh-CN"/>
        </w:rPr>
        <w:t>打桩作业</w:t>
      </w:r>
      <w:r>
        <w:rPr>
          <w:rFonts w:hint="default" w:ascii="Times New Roman" w:hAnsi="Times New Roman" w:eastAsia="宋体" w:cs="Times New Roman"/>
          <w:color w:val="auto"/>
          <w:sz w:val="24"/>
          <w:szCs w:val="24"/>
        </w:rPr>
        <w:t>施工悬浮物浓度增量大于30mg/L、20mg/L、10mg/L和5mg/L最大可能影响的距离分别为25m、31m、40m和46m；施工悬浮物浓度增量大于30mg/L、20mg/L、10mg/L和5mg/L的最大可能影响的面积分别为0.0</w:t>
      </w:r>
      <w:r>
        <w:rPr>
          <w:rFonts w:hint="eastAsia" w:cs="Times New Roman"/>
          <w:color w:val="auto"/>
          <w:sz w:val="24"/>
          <w:szCs w:val="24"/>
          <w:lang w:val="en-US" w:eastAsia="zh-CN"/>
        </w:rPr>
        <w:t>004</w:t>
      </w:r>
      <w:r>
        <w:rPr>
          <w:rFonts w:hint="default" w:ascii="Times New Roman" w:hAnsi="Times New Roman" w:eastAsia="宋体" w:cs="Times New Roman"/>
          <w:color w:val="auto"/>
          <w:sz w:val="24"/>
          <w:szCs w:val="24"/>
        </w:rPr>
        <w:t>km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、0.0</w:t>
      </w:r>
      <w:r>
        <w:rPr>
          <w:rFonts w:hint="eastAsia" w:cs="Times New Roman"/>
          <w:color w:val="auto"/>
          <w:sz w:val="24"/>
          <w:szCs w:val="24"/>
          <w:lang w:val="en-US" w:eastAsia="zh-CN"/>
        </w:rPr>
        <w:t>006</w:t>
      </w:r>
      <w:r>
        <w:rPr>
          <w:rFonts w:hint="default" w:ascii="Times New Roman" w:hAnsi="Times New Roman" w:eastAsia="宋体" w:cs="Times New Roman"/>
          <w:color w:val="auto"/>
          <w:sz w:val="24"/>
          <w:szCs w:val="24"/>
        </w:rPr>
        <w:t>km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、0.</w:t>
      </w:r>
      <w:r>
        <w:rPr>
          <w:rFonts w:hint="eastAsia" w:cs="Times New Roman"/>
          <w:color w:val="auto"/>
          <w:sz w:val="24"/>
          <w:szCs w:val="24"/>
          <w:lang w:val="en-US" w:eastAsia="zh-CN"/>
        </w:rPr>
        <w:t>0010</w:t>
      </w:r>
      <w:r>
        <w:rPr>
          <w:rFonts w:hint="default" w:ascii="Times New Roman" w:hAnsi="Times New Roman" w:eastAsia="宋体" w:cs="Times New Roman"/>
          <w:color w:val="auto"/>
          <w:sz w:val="24"/>
          <w:szCs w:val="24"/>
        </w:rPr>
        <w:t>km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和0.</w:t>
      </w:r>
      <w:r>
        <w:rPr>
          <w:rFonts w:hint="eastAsia" w:cs="Times New Roman"/>
          <w:color w:val="auto"/>
          <w:sz w:val="24"/>
          <w:szCs w:val="24"/>
          <w:lang w:val="en-US" w:eastAsia="zh-CN"/>
        </w:rPr>
        <w:t>00</w:t>
      </w:r>
      <w:r>
        <w:rPr>
          <w:rFonts w:hint="default" w:ascii="Times New Roman" w:hAnsi="Times New Roman" w:eastAsia="宋体" w:cs="Times New Roman"/>
          <w:color w:val="auto"/>
          <w:sz w:val="24"/>
          <w:szCs w:val="24"/>
        </w:rPr>
        <w:t>14km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p>
    <w:p>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平水期条件下，</w:t>
      </w:r>
      <w:r>
        <w:rPr>
          <w:rFonts w:hint="eastAsia" w:cs="Times New Roman"/>
          <w:color w:val="auto"/>
          <w:sz w:val="24"/>
          <w:szCs w:val="24"/>
          <w:lang w:val="en-US" w:eastAsia="zh-CN"/>
        </w:rPr>
        <w:t>打桩作业</w:t>
      </w:r>
      <w:r>
        <w:rPr>
          <w:rFonts w:hint="default" w:ascii="Times New Roman" w:hAnsi="Times New Roman" w:eastAsia="宋体" w:cs="Times New Roman"/>
          <w:color w:val="auto"/>
          <w:sz w:val="24"/>
          <w:szCs w:val="24"/>
        </w:rPr>
        <w:t>施工悬浮物浓度增量大于30mg/L、20mg/L、10mg/L和5mg/L最大可能影响的距离分别为19m、25m、29m和32m；施工悬浮物浓度增量大于30mg/L、20mg/L、10mg/L和5mg/L的最大可能累积影响的面积分别为0.0</w:t>
      </w:r>
      <w:r>
        <w:rPr>
          <w:rFonts w:hint="eastAsia" w:cs="Times New Roman"/>
          <w:color w:val="auto"/>
          <w:sz w:val="24"/>
          <w:szCs w:val="24"/>
          <w:lang w:val="en-US" w:eastAsia="zh-CN"/>
        </w:rPr>
        <w:t>00</w:t>
      </w:r>
      <w:r>
        <w:rPr>
          <w:rFonts w:hint="default" w:ascii="Times New Roman" w:hAnsi="Times New Roman" w:eastAsia="宋体" w:cs="Times New Roman"/>
          <w:color w:val="auto"/>
          <w:sz w:val="24"/>
          <w:szCs w:val="24"/>
        </w:rPr>
        <w:t>3km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、0.0</w:t>
      </w:r>
      <w:r>
        <w:rPr>
          <w:rFonts w:hint="eastAsia" w:cs="Times New Roman"/>
          <w:color w:val="auto"/>
          <w:sz w:val="24"/>
          <w:szCs w:val="24"/>
          <w:lang w:val="en-US" w:eastAsia="zh-CN"/>
        </w:rPr>
        <w:t>00</w:t>
      </w:r>
      <w:r>
        <w:rPr>
          <w:rFonts w:hint="default" w:ascii="Times New Roman" w:hAnsi="Times New Roman" w:eastAsia="宋体" w:cs="Times New Roman"/>
          <w:color w:val="auto"/>
          <w:sz w:val="24"/>
          <w:szCs w:val="24"/>
        </w:rPr>
        <w:t>5km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、0.0</w:t>
      </w:r>
      <w:r>
        <w:rPr>
          <w:rFonts w:hint="eastAsia" w:cs="Times New Roman"/>
          <w:color w:val="auto"/>
          <w:sz w:val="24"/>
          <w:szCs w:val="24"/>
          <w:lang w:val="en-US" w:eastAsia="zh-CN"/>
        </w:rPr>
        <w:t>008</w:t>
      </w:r>
      <w:r>
        <w:rPr>
          <w:rFonts w:hint="default" w:ascii="Times New Roman" w:hAnsi="Times New Roman" w:eastAsia="宋体" w:cs="Times New Roman"/>
          <w:color w:val="auto"/>
          <w:sz w:val="24"/>
          <w:szCs w:val="24"/>
        </w:rPr>
        <w:t>km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和0.</w:t>
      </w:r>
      <w:r>
        <w:rPr>
          <w:rFonts w:hint="eastAsia" w:cs="Times New Roman"/>
          <w:color w:val="auto"/>
          <w:sz w:val="24"/>
          <w:szCs w:val="24"/>
          <w:lang w:val="en-US" w:eastAsia="zh-CN"/>
        </w:rPr>
        <w:t>0011</w:t>
      </w:r>
      <w:r>
        <w:rPr>
          <w:rFonts w:hint="default" w:ascii="Times New Roman" w:hAnsi="Times New Roman" w:eastAsia="宋体" w:cs="Times New Roman"/>
          <w:color w:val="auto"/>
          <w:sz w:val="24"/>
          <w:szCs w:val="24"/>
        </w:rPr>
        <w:t>km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p>
    <w:p>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本工程</w:t>
      </w:r>
      <w:r>
        <w:rPr>
          <w:rFonts w:hint="eastAsia" w:cs="Times New Roman"/>
          <w:color w:val="auto"/>
          <w:sz w:val="24"/>
          <w:szCs w:val="24"/>
          <w:lang w:val="en-US" w:eastAsia="zh-CN"/>
        </w:rPr>
        <w:t>打桩作业</w:t>
      </w:r>
      <w:r>
        <w:rPr>
          <w:rFonts w:hint="default" w:ascii="Times New Roman" w:hAnsi="Times New Roman" w:eastAsia="宋体" w:cs="Times New Roman"/>
          <w:color w:val="auto"/>
          <w:sz w:val="24"/>
          <w:szCs w:val="24"/>
        </w:rPr>
        <w:t>悬浮物浓度增量大于5mg/L的最远影响距离为46m，同时枯水期时施工悬浮物浓度增量的扩散范围总体上略大一些。</w:t>
      </w:r>
    </w:p>
    <w:p>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eastAsia" w:cs="Times New Roman"/>
          <w:color w:val="auto"/>
          <w:sz w:val="24"/>
          <w:szCs w:val="24"/>
          <w:lang w:val="en-US" w:eastAsia="zh-CN"/>
        </w:rPr>
      </w:pPr>
      <w:r>
        <w:rPr>
          <w:rFonts w:hint="default" w:ascii="Times New Roman" w:hAnsi="Times New Roman" w:eastAsia="宋体" w:cs="Times New Roman"/>
          <w:color w:val="auto"/>
          <w:sz w:val="24"/>
          <w:szCs w:val="24"/>
        </w:rPr>
        <w:t>综上所述，</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施工期悬浮物扩散会给</w:t>
      </w:r>
      <w:r>
        <w:rPr>
          <w:rFonts w:hint="default" w:ascii="Times New Roman" w:hAnsi="Times New Roman" w:eastAsia="宋体" w:cs="Times New Roman"/>
          <w:color w:val="auto"/>
          <w:sz w:val="24"/>
          <w:szCs w:val="24"/>
          <w:lang w:eastAsia="zh-CN"/>
        </w:rPr>
        <w:t>项目水域范围</w:t>
      </w:r>
      <w:r>
        <w:rPr>
          <w:rFonts w:hint="default" w:ascii="Times New Roman" w:hAnsi="Times New Roman" w:eastAsia="宋体" w:cs="Times New Roman"/>
          <w:color w:val="auto"/>
          <w:sz w:val="24"/>
          <w:szCs w:val="24"/>
        </w:rPr>
        <w:t>以及周边约46m范围的水体造成一定的影响。本工程最近的地方距离取水口约430m</w:t>
      </w:r>
      <w:r>
        <w:rPr>
          <w:rFonts w:hint="eastAsia" w:cs="Times New Roman"/>
          <w:color w:val="auto"/>
          <w:sz w:val="24"/>
          <w:szCs w:val="24"/>
          <w:lang w:eastAsia="zh-CN"/>
        </w:rPr>
        <w:t>，</w:t>
      </w:r>
      <w:r>
        <w:rPr>
          <w:rFonts w:hint="eastAsia" w:cs="Times New Roman"/>
          <w:color w:val="auto"/>
          <w:sz w:val="24"/>
          <w:szCs w:val="24"/>
          <w:lang w:val="en-US" w:eastAsia="zh-CN"/>
        </w:rPr>
        <w:t>对取水口影响水质影响较小。</w:t>
      </w:r>
    </w:p>
    <w:bookmarkEnd w:id="336"/>
    <w:bookmarkEnd w:id="337"/>
    <w:bookmarkEnd w:id="338"/>
    <w:bookmarkEnd w:id="339"/>
    <w:bookmarkEnd w:id="340"/>
    <w:bookmarkEnd w:id="341"/>
    <w:bookmarkEnd w:id="342"/>
    <w:p>
      <w:pPr>
        <w:pStyle w:val="4"/>
        <w:pageBreakBefore w:val="0"/>
        <w:widowControl w:val="0"/>
        <w:tabs>
          <w:tab w:val="left" w:pos="2160"/>
        </w:tabs>
        <w:kinsoku/>
        <w:wordWrap/>
        <w:overflowPunct/>
        <w:topLinePunct w:val="0"/>
        <w:bidi w:val="0"/>
        <w:adjustRightInd/>
        <w:snapToGrid/>
        <w:spacing w:before="0" w:beforeLines="0" w:after="0" w:afterLines="0" w:line="480" w:lineRule="exact"/>
        <w:jc w:val="both"/>
        <w:textAlignment w:val="auto"/>
        <w:rPr>
          <w:rFonts w:hint="default" w:ascii="Times New Roman" w:hAnsi="Times New Roman" w:eastAsia="宋体" w:cs="Times New Roman"/>
          <w:bCs/>
          <w:color w:val="auto"/>
          <w:sz w:val="30"/>
          <w:szCs w:val="30"/>
        </w:rPr>
      </w:pPr>
      <w:bookmarkStart w:id="343" w:name="_Toc15622"/>
      <w:r>
        <w:rPr>
          <w:rFonts w:hint="default" w:ascii="Times New Roman" w:hAnsi="Times New Roman" w:eastAsia="宋体" w:cs="Times New Roman"/>
          <w:bCs/>
          <w:color w:val="auto"/>
          <w:sz w:val="30"/>
          <w:szCs w:val="30"/>
        </w:rPr>
        <w:t>5.3声环境影响预测与评价</w:t>
      </w:r>
      <w:bookmarkEnd w:id="343"/>
    </w:p>
    <w:p>
      <w:pPr>
        <w:pStyle w:val="5"/>
        <w:jc w:val="both"/>
        <w:rPr>
          <w:rFonts w:hint="default" w:ascii="Times New Roman" w:hAnsi="Times New Roman" w:eastAsia="宋体" w:cs="Times New Roman"/>
          <w:color w:val="auto"/>
          <w:lang w:val="en-US" w:eastAsia="zh-CN"/>
        </w:rPr>
      </w:pPr>
      <w:bookmarkStart w:id="344" w:name="_Toc312156060"/>
      <w:bookmarkStart w:id="345" w:name="_Toc302113264"/>
      <w:bookmarkStart w:id="346" w:name="_Toc307410074"/>
      <w:bookmarkStart w:id="347" w:name="_Toc310244101"/>
      <w:bookmarkStart w:id="348" w:name="_Toc6645"/>
      <w:r>
        <w:rPr>
          <w:rFonts w:hint="default" w:ascii="Times New Roman" w:hAnsi="Times New Roman" w:eastAsia="宋体" w:cs="Times New Roman"/>
          <w:color w:val="auto"/>
          <w:lang w:val="en-US" w:eastAsia="zh-CN"/>
        </w:rPr>
        <w:t>5.3.1</w:t>
      </w:r>
      <w:bookmarkEnd w:id="344"/>
      <w:bookmarkEnd w:id="345"/>
      <w:bookmarkEnd w:id="346"/>
      <w:bookmarkEnd w:id="347"/>
      <w:bookmarkStart w:id="349" w:name="_Toc310244102"/>
      <w:bookmarkStart w:id="350" w:name="_Toc307410075"/>
      <w:bookmarkStart w:id="351" w:name="_Toc302113265"/>
      <w:bookmarkStart w:id="352" w:name="_Toc312156061"/>
      <w:r>
        <w:rPr>
          <w:rFonts w:hint="default" w:ascii="Times New Roman" w:hAnsi="Times New Roman" w:eastAsia="宋体" w:cs="Times New Roman"/>
          <w:color w:val="auto"/>
          <w:lang w:val="en-US" w:eastAsia="zh-CN"/>
        </w:rPr>
        <w:t>噪声源强分析</w:t>
      </w:r>
      <w:bookmarkEnd w:id="348"/>
    </w:p>
    <w:p>
      <w:pPr>
        <w:spacing w:line="480" w:lineRule="atLeast"/>
        <w:ind w:firstLine="482" w:firstLineChars="200"/>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1、</w:t>
      </w:r>
      <w:r>
        <w:rPr>
          <w:rFonts w:hint="default" w:ascii="Times New Roman" w:hAnsi="Times New Roman" w:eastAsia="宋体" w:cs="Times New Roman"/>
          <w:b/>
          <w:bCs/>
          <w:color w:val="auto"/>
        </w:rPr>
        <w:t>施工机械噪声</w:t>
      </w:r>
    </w:p>
    <w:p>
      <w:pPr>
        <w:spacing w:line="480" w:lineRule="atLeas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本工程施工机械噪声主要来自施工机械设备的运转。根据建设中的有关水利水电工程施工噪声监测资料，主体工程施工的机械设备有</w:t>
      </w:r>
      <w:r>
        <w:rPr>
          <w:rFonts w:hint="eastAsia" w:cs="Times New Roman"/>
          <w:color w:val="auto"/>
          <w:lang w:val="en-US" w:eastAsia="zh-CN"/>
        </w:rPr>
        <w:t>发电机组</w:t>
      </w:r>
      <w:r>
        <w:rPr>
          <w:rFonts w:hint="default" w:ascii="Times New Roman" w:hAnsi="Times New Roman" w:eastAsia="宋体" w:cs="Times New Roman"/>
          <w:color w:val="auto"/>
        </w:rPr>
        <w:t>、</w:t>
      </w:r>
      <w:r>
        <w:rPr>
          <w:rFonts w:hint="eastAsia" w:cs="Times New Roman"/>
          <w:color w:val="auto"/>
          <w:lang w:val="en-US" w:eastAsia="zh-CN"/>
        </w:rPr>
        <w:t>潜水泵</w:t>
      </w:r>
      <w:r>
        <w:rPr>
          <w:rFonts w:hint="default" w:ascii="Times New Roman" w:hAnsi="Times New Roman" w:eastAsia="宋体" w:cs="Times New Roman"/>
          <w:color w:val="auto"/>
        </w:rPr>
        <w:t>、</w:t>
      </w:r>
      <w:r>
        <w:rPr>
          <w:rFonts w:hint="eastAsia" w:cs="Times New Roman"/>
          <w:color w:val="auto"/>
          <w:lang w:val="en-US" w:eastAsia="zh-CN"/>
        </w:rPr>
        <w:t>船载式液压振动锤</w:t>
      </w:r>
      <w:r>
        <w:rPr>
          <w:rFonts w:hint="default" w:ascii="Times New Roman" w:hAnsi="Times New Roman" w:eastAsia="宋体" w:cs="Times New Roman"/>
          <w:color w:val="auto"/>
        </w:rPr>
        <w:t>、</w:t>
      </w:r>
      <w:r>
        <w:rPr>
          <w:rFonts w:hint="eastAsia" w:cs="Times New Roman"/>
          <w:color w:val="auto"/>
          <w:lang w:val="en-US" w:eastAsia="zh-CN"/>
        </w:rPr>
        <w:t>装载机</w:t>
      </w:r>
      <w:r>
        <w:rPr>
          <w:rFonts w:hint="default" w:ascii="Times New Roman" w:hAnsi="Times New Roman" w:eastAsia="宋体" w:cs="Times New Roman"/>
          <w:color w:val="auto"/>
        </w:rPr>
        <w:t>、</w:t>
      </w:r>
      <w:r>
        <w:rPr>
          <w:rFonts w:hint="eastAsia" w:cs="Times New Roman"/>
          <w:color w:val="auto"/>
          <w:lang w:val="en-US" w:eastAsia="zh-CN"/>
        </w:rPr>
        <w:t>机动翻斗车</w:t>
      </w:r>
      <w:r>
        <w:rPr>
          <w:rFonts w:hint="default" w:ascii="Times New Roman" w:hAnsi="Times New Roman" w:eastAsia="宋体" w:cs="Times New Roman"/>
          <w:color w:val="auto"/>
        </w:rPr>
        <w:t>、平板</w:t>
      </w:r>
      <w:r>
        <w:rPr>
          <w:rFonts w:hint="eastAsia" w:cs="Times New Roman"/>
          <w:color w:val="auto"/>
          <w:lang w:val="en-US" w:eastAsia="zh-CN"/>
        </w:rPr>
        <w:t>车、汽车吊、洒水车、切断机、电焊机、砂轮切割机</w:t>
      </w:r>
      <w:r>
        <w:rPr>
          <w:rFonts w:hint="default" w:ascii="Times New Roman" w:hAnsi="Times New Roman" w:eastAsia="宋体" w:cs="Times New Roman"/>
          <w:color w:val="auto"/>
        </w:rPr>
        <w:t>等，等：</w:t>
      </w:r>
    </w:p>
    <w:p>
      <w:pPr>
        <w:spacing w:line="480" w:lineRule="atLeas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（1）预测模式</w:t>
      </w:r>
    </w:p>
    <w:p>
      <w:pPr>
        <w:spacing w:line="480" w:lineRule="atLeas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项目工程施工区为开阔地，施工机械一般置于地面上，故声源处于半自由空间，施工机械噪声采用如下模式进行预测计算：</w:t>
      </w:r>
    </w:p>
    <w:p>
      <w:pPr>
        <w:spacing w:line="480" w:lineRule="atLeast"/>
        <w:ind w:firstLine="480" w:firstLineChars="200"/>
        <w:rPr>
          <w:rFonts w:hint="default" w:ascii="Times New Roman" w:hAnsi="Times New Roman" w:eastAsia="宋体" w:cs="Times New Roman"/>
          <w:color w:val="auto"/>
        </w:rPr>
      </w:pPr>
      <w:r>
        <w:rPr>
          <w:rFonts w:hint="default" w:ascii="Times New Roman" w:hAnsi="Times New Roman" w:eastAsia="宋体" w:cs="Times New Roman"/>
        </w:rPr>
        <w:drawing>
          <wp:anchor distT="0" distB="0" distL="114300" distR="114300" simplePos="0" relativeHeight="251687936" behindDoc="0" locked="0" layoutInCell="1" allowOverlap="1">
            <wp:simplePos x="0" y="0"/>
            <wp:positionH relativeFrom="column">
              <wp:posOffset>1521460</wp:posOffset>
            </wp:positionH>
            <wp:positionV relativeFrom="paragraph">
              <wp:posOffset>28575</wp:posOffset>
            </wp:positionV>
            <wp:extent cx="2238375" cy="257175"/>
            <wp:effectExtent l="0" t="0" r="9525" b="9525"/>
            <wp:wrapNone/>
            <wp:docPr id="8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0"/>
                    <pic:cNvPicPr>
                      <a:picLocks noChangeAspect="1"/>
                    </pic:cNvPicPr>
                  </pic:nvPicPr>
                  <pic:blipFill>
                    <a:blip r:embed="rId78"/>
                    <a:stretch>
                      <a:fillRect/>
                    </a:stretch>
                  </pic:blipFill>
                  <pic:spPr>
                    <a:xfrm>
                      <a:off x="0" y="0"/>
                      <a:ext cx="2238375" cy="257175"/>
                    </a:xfrm>
                    <a:prstGeom prst="rect">
                      <a:avLst/>
                    </a:prstGeom>
                    <a:noFill/>
                    <a:ln>
                      <a:noFill/>
                    </a:ln>
                  </pic:spPr>
                </pic:pic>
              </a:graphicData>
            </a:graphic>
          </wp:anchor>
        </w:drawing>
      </w:r>
    </w:p>
    <w:p>
      <w:pPr>
        <w:spacing w:line="480" w:lineRule="atLeas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式中：L</w:t>
      </w:r>
      <w:r>
        <w:rPr>
          <w:rFonts w:hint="default" w:ascii="Times New Roman" w:hAnsi="Times New Roman" w:eastAsia="宋体" w:cs="Times New Roman"/>
          <w:color w:val="auto"/>
          <w:vertAlign w:val="subscript"/>
        </w:rPr>
        <w:t>A</w:t>
      </w:r>
      <w:r>
        <w:rPr>
          <w:rFonts w:hint="default" w:ascii="Times New Roman" w:hAnsi="Times New Roman" w:eastAsia="宋体" w:cs="Times New Roman"/>
          <w:color w:val="auto"/>
        </w:rPr>
        <w:t>(r)—为距离声源r 处的A 声级，dB(A)；</w:t>
      </w:r>
    </w:p>
    <w:p>
      <w:pPr>
        <w:spacing w:line="480" w:lineRule="atLeast"/>
        <w:ind w:firstLine="1200" w:firstLineChars="500"/>
        <w:jc w:val="both"/>
        <w:rPr>
          <w:rFonts w:hint="default" w:ascii="Times New Roman" w:hAnsi="Times New Roman" w:eastAsia="宋体" w:cs="Times New Roman"/>
          <w:color w:val="auto"/>
        </w:rPr>
      </w:pPr>
      <w:r>
        <w:rPr>
          <w:rFonts w:hint="default" w:ascii="Times New Roman" w:hAnsi="Times New Roman" w:eastAsia="宋体" w:cs="Times New Roman"/>
          <w:color w:val="auto"/>
        </w:rPr>
        <w:t>L</w:t>
      </w:r>
      <w:r>
        <w:rPr>
          <w:rFonts w:hint="default" w:ascii="Times New Roman" w:hAnsi="Times New Roman" w:eastAsia="宋体" w:cs="Times New Roman"/>
          <w:color w:val="auto"/>
          <w:vertAlign w:val="subscript"/>
        </w:rPr>
        <w:t>AW</w:t>
      </w:r>
      <w:r>
        <w:rPr>
          <w:rFonts w:hint="default" w:ascii="Times New Roman" w:hAnsi="Times New Roman" w:eastAsia="宋体" w:cs="Times New Roman"/>
          <w:color w:val="auto"/>
        </w:rPr>
        <w:t>—为声源的A 声级，dB(A)；</w:t>
      </w:r>
    </w:p>
    <w:p>
      <w:pPr>
        <w:spacing w:line="480" w:lineRule="atLeast"/>
        <w:ind w:firstLine="1200" w:firstLineChars="500"/>
        <w:jc w:val="both"/>
        <w:rPr>
          <w:rFonts w:hint="default" w:ascii="Times New Roman" w:hAnsi="Times New Roman" w:eastAsia="宋体" w:cs="Times New Roman"/>
          <w:color w:val="auto"/>
        </w:rPr>
      </w:pPr>
      <w:r>
        <w:rPr>
          <w:rFonts w:hint="default" w:ascii="Times New Roman" w:hAnsi="Times New Roman" w:eastAsia="宋体" w:cs="Times New Roman"/>
          <w:color w:val="auto"/>
        </w:rPr>
        <w:t>r—关注点与声源距离，m；</w:t>
      </w:r>
    </w:p>
    <w:p>
      <w:pPr>
        <w:spacing w:line="480" w:lineRule="atLeast"/>
        <w:ind w:firstLine="480" w:firstLineChars="200"/>
        <w:rPr>
          <w:rFonts w:hint="default" w:ascii="Times New Roman" w:hAnsi="Times New Roman" w:eastAsia="宋体" w:cs="Times New Roman"/>
          <w:color w:val="auto"/>
        </w:rPr>
      </w:pPr>
      <w:r>
        <w:rPr>
          <w:rFonts w:hint="default" w:ascii="Times New Roman" w:hAnsi="Times New Roman" w:eastAsia="宋体" w:cs="Times New Roman"/>
        </w:rPr>
        <w:drawing>
          <wp:anchor distT="0" distB="0" distL="114300" distR="114300" simplePos="0" relativeHeight="251688960" behindDoc="0" locked="0" layoutInCell="1" allowOverlap="1">
            <wp:simplePos x="0" y="0"/>
            <wp:positionH relativeFrom="column">
              <wp:posOffset>2083435</wp:posOffset>
            </wp:positionH>
            <wp:positionV relativeFrom="paragraph">
              <wp:posOffset>114935</wp:posOffset>
            </wp:positionV>
            <wp:extent cx="1438275" cy="466725"/>
            <wp:effectExtent l="0" t="0" r="9525" b="9525"/>
            <wp:wrapNone/>
            <wp:docPr id="8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1"/>
                    <pic:cNvPicPr>
                      <a:picLocks noChangeAspect="1"/>
                    </pic:cNvPicPr>
                  </pic:nvPicPr>
                  <pic:blipFill>
                    <a:blip r:embed="rId79"/>
                    <a:stretch>
                      <a:fillRect/>
                    </a:stretch>
                  </pic:blipFill>
                  <pic:spPr>
                    <a:xfrm>
                      <a:off x="0" y="0"/>
                      <a:ext cx="1438275" cy="466725"/>
                    </a:xfrm>
                    <a:prstGeom prst="rect">
                      <a:avLst/>
                    </a:prstGeom>
                    <a:noFill/>
                    <a:ln>
                      <a:noFill/>
                    </a:ln>
                  </pic:spPr>
                </pic:pic>
              </a:graphicData>
            </a:graphic>
          </wp:anchor>
        </w:drawing>
      </w:r>
    </w:p>
    <w:p>
      <w:pPr>
        <w:spacing w:line="480" w:lineRule="atLeas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式中：L总—预测声级，dB；</w:t>
      </w:r>
    </w:p>
    <w:p>
      <w:pPr>
        <w:spacing w:line="480" w:lineRule="atLeast"/>
        <w:ind w:firstLine="1200" w:firstLineChars="500"/>
        <w:jc w:val="both"/>
        <w:rPr>
          <w:rFonts w:hint="default" w:ascii="Times New Roman" w:hAnsi="Times New Roman" w:eastAsia="宋体" w:cs="Times New Roman"/>
          <w:color w:val="auto"/>
        </w:rPr>
      </w:pPr>
      <w:r>
        <w:rPr>
          <w:rFonts w:hint="default" w:ascii="Times New Roman" w:hAnsi="Times New Roman" w:eastAsia="宋体" w:cs="Times New Roman"/>
          <w:color w:val="auto"/>
        </w:rPr>
        <w:t>L</w:t>
      </w:r>
      <w:r>
        <w:rPr>
          <w:rFonts w:hint="default" w:ascii="Times New Roman" w:hAnsi="Times New Roman" w:eastAsia="宋体" w:cs="Times New Roman"/>
          <w:color w:val="auto"/>
          <w:vertAlign w:val="subscript"/>
        </w:rPr>
        <w:t>i</w:t>
      </w:r>
      <w:r>
        <w:rPr>
          <w:rFonts w:hint="default" w:ascii="Times New Roman" w:hAnsi="Times New Roman" w:eastAsia="宋体" w:cs="Times New Roman"/>
          <w:color w:val="auto"/>
        </w:rPr>
        <w:t>— 各叠加声级，dB。</w:t>
      </w:r>
    </w:p>
    <w:p>
      <w:pPr>
        <w:spacing w:line="480" w:lineRule="atLeas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施工机械噪声影响分析</w:t>
      </w:r>
    </w:p>
    <w:p>
      <w:pPr>
        <w:spacing w:line="480" w:lineRule="atLeas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根据各施工机械的噪声级范围，预测施工机械噪声源对不同距离的噪声贡献值，固定噪声源对不同距离处的噪声贡献值见表5.3-1。</w:t>
      </w:r>
    </w:p>
    <w:p>
      <w:pPr>
        <w:spacing w:line="480" w:lineRule="atLeast"/>
        <w:ind w:firstLine="482" w:firstLineChars="20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表5.3-1 施工区固定源在不同距离的预测结果表单位：dB(A)</w:t>
      </w:r>
    </w:p>
    <w:tbl>
      <w:tblPr>
        <w:tblStyle w:val="5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931"/>
        <w:gridCol w:w="1021"/>
        <w:gridCol w:w="812"/>
        <w:gridCol w:w="797"/>
        <w:gridCol w:w="812"/>
        <w:gridCol w:w="749"/>
        <w:gridCol w:w="732"/>
        <w:gridCol w:w="825"/>
        <w:gridCol w:w="732"/>
        <w:gridCol w:w="83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162" w:hRule="atLeast"/>
          <w:jc w:val="center"/>
        </w:trPr>
        <w:tc>
          <w:tcPr>
            <w:tcW w:w="1045" w:type="pct"/>
            <w:vMerge w:val="restart"/>
            <w:noWrap w:val="0"/>
            <w:vAlign w:val="center"/>
          </w:tcPr>
          <w:p>
            <w:pPr>
              <w:spacing w:line="320" w:lineRule="exact"/>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lang w:val="en-US" w:eastAsia="zh-CN"/>
              </w:rPr>
              <w:t>噪声源</w:t>
            </w:r>
          </w:p>
        </w:tc>
        <w:tc>
          <w:tcPr>
            <w:tcW w:w="552" w:type="pct"/>
            <w:vMerge w:val="restart"/>
            <w:noWrap w:val="0"/>
            <w:vAlign w:val="center"/>
          </w:tcPr>
          <w:p>
            <w:pPr>
              <w:spacing w:line="320" w:lineRule="exact"/>
              <w:jc w:val="center"/>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声级值</w:t>
            </w:r>
          </w:p>
        </w:tc>
        <w:tc>
          <w:tcPr>
            <w:tcW w:w="2556" w:type="pct"/>
            <w:gridSpan w:val="6"/>
            <w:noWrap w:val="0"/>
            <w:vAlign w:val="center"/>
          </w:tcPr>
          <w:p>
            <w:pPr>
              <w:spacing w:line="320" w:lineRule="exact"/>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离声源不同距离的噪声预测值</w:t>
            </w:r>
          </w:p>
        </w:tc>
        <w:tc>
          <w:tcPr>
            <w:tcW w:w="845" w:type="pct"/>
            <w:gridSpan w:val="2"/>
            <w:noWrap w:val="0"/>
            <w:vAlign w:val="center"/>
          </w:tcPr>
          <w:p>
            <w:pPr>
              <w:spacing w:line="320" w:lineRule="exact"/>
              <w:jc w:val="center"/>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达标距离（m）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2" w:hRule="atLeast"/>
          <w:jc w:val="center"/>
        </w:trPr>
        <w:tc>
          <w:tcPr>
            <w:tcW w:w="1045" w:type="pct"/>
            <w:vMerge w:val="continue"/>
            <w:noWrap w:val="0"/>
            <w:vAlign w:val="center"/>
          </w:tcPr>
          <w:p>
            <w:pPr>
              <w:spacing w:line="320" w:lineRule="exact"/>
              <w:jc w:val="center"/>
              <w:rPr>
                <w:rFonts w:hint="default" w:ascii="Times New Roman" w:hAnsi="Times New Roman" w:eastAsia="宋体" w:cs="Times New Roman"/>
                <w:b/>
                <w:bCs/>
              </w:rPr>
            </w:pPr>
          </w:p>
        </w:tc>
        <w:tc>
          <w:tcPr>
            <w:tcW w:w="552" w:type="pct"/>
            <w:vMerge w:val="continue"/>
            <w:noWrap w:val="0"/>
            <w:vAlign w:val="center"/>
          </w:tcPr>
          <w:p>
            <w:pPr>
              <w:spacing w:line="320" w:lineRule="exact"/>
              <w:jc w:val="center"/>
              <w:rPr>
                <w:rFonts w:hint="default" w:ascii="Times New Roman" w:hAnsi="Times New Roman" w:eastAsia="宋体" w:cs="Times New Roman"/>
                <w:b/>
                <w:bCs/>
              </w:rPr>
            </w:pPr>
          </w:p>
        </w:tc>
        <w:tc>
          <w:tcPr>
            <w:tcW w:w="439" w:type="pct"/>
            <w:noWrap w:val="0"/>
            <w:vAlign w:val="center"/>
          </w:tcPr>
          <w:p>
            <w:pPr>
              <w:spacing w:line="320" w:lineRule="exact"/>
              <w:jc w:val="center"/>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10m</w:t>
            </w:r>
          </w:p>
        </w:tc>
        <w:tc>
          <w:tcPr>
            <w:tcW w:w="431" w:type="pct"/>
            <w:noWrap w:val="0"/>
            <w:vAlign w:val="center"/>
          </w:tcPr>
          <w:p>
            <w:pPr>
              <w:spacing w:line="320" w:lineRule="exact"/>
              <w:jc w:val="center"/>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20m</w:t>
            </w:r>
          </w:p>
        </w:tc>
        <w:tc>
          <w:tcPr>
            <w:tcW w:w="439" w:type="pct"/>
            <w:noWrap w:val="0"/>
            <w:vAlign w:val="center"/>
          </w:tcPr>
          <w:p>
            <w:pPr>
              <w:spacing w:line="320" w:lineRule="exact"/>
              <w:jc w:val="center"/>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40m</w:t>
            </w:r>
          </w:p>
        </w:tc>
        <w:tc>
          <w:tcPr>
            <w:tcW w:w="405" w:type="pct"/>
            <w:noWrap w:val="0"/>
            <w:vAlign w:val="center"/>
          </w:tcPr>
          <w:p>
            <w:pPr>
              <w:spacing w:line="320" w:lineRule="exact"/>
              <w:jc w:val="center"/>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60m</w:t>
            </w:r>
          </w:p>
        </w:tc>
        <w:tc>
          <w:tcPr>
            <w:tcW w:w="396" w:type="pct"/>
            <w:noWrap w:val="0"/>
            <w:vAlign w:val="center"/>
          </w:tcPr>
          <w:p>
            <w:pPr>
              <w:spacing w:line="320" w:lineRule="exact"/>
              <w:jc w:val="center"/>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80m</w:t>
            </w:r>
          </w:p>
        </w:tc>
        <w:tc>
          <w:tcPr>
            <w:tcW w:w="445" w:type="pct"/>
            <w:noWrap w:val="0"/>
            <w:vAlign w:val="center"/>
          </w:tcPr>
          <w:p>
            <w:pPr>
              <w:spacing w:line="320" w:lineRule="exact"/>
              <w:jc w:val="center"/>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100m</w:t>
            </w:r>
          </w:p>
        </w:tc>
        <w:tc>
          <w:tcPr>
            <w:tcW w:w="396" w:type="pct"/>
            <w:noWrap w:val="0"/>
            <w:vAlign w:val="center"/>
          </w:tcPr>
          <w:p>
            <w:pPr>
              <w:spacing w:line="320" w:lineRule="exact"/>
              <w:jc w:val="center"/>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昼间</w:t>
            </w:r>
          </w:p>
        </w:tc>
        <w:tc>
          <w:tcPr>
            <w:tcW w:w="449" w:type="pct"/>
            <w:noWrap w:val="0"/>
            <w:vAlign w:val="center"/>
          </w:tcPr>
          <w:p>
            <w:pPr>
              <w:spacing w:line="320" w:lineRule="exact"/>
              <w:jc w:val="center"/>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45" w:type="pct"/>
            <w:noWrap w:val="0"/>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发电机组</w:t>
            </w:r>
          </w:p>
        </w:tc>
        <w:tc>
          <w:tcPr>
            <w:tcW w:w="552" w:type="pct"/>
            <w:noWrap w:val="0"/>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88</w:t>
            </w:r>
          </w:p>
        </w:tc>
        <w:tc>
          <w:tcPr>
            <w:tcW w:w="439"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68</w:t>
            </w:r>
          </w:p>
        </w:tc>
        <w:tc>
          <w:tcPr>
            <w:tcW w:w="431"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62</w:t>
            </w:r>
          </w:p>
        </w:tc>
        <w:tc>
          <w:tcPr>
            <w:tcW w:w="439"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56</w:t>
            </w:r>
          </w:p>
        </w:tc>
        <w:tc>
          <w:tcPr>
            <w:tcW w:w="405"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52</w:t>
            </w:r>
          </w:p>
        </w:tc>
        <w:tc>
          <w:tcPr>
            <w:tcW w:w="396"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50</w:t>
            </w:r>
          </w:p>
        </w:tc>
        <w:tc>
          <w:tcPr>
            <w:tcW w:w="445"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48</w:t>
            </w:r>
          </w:p>
        </w:tc>
        <w:tc>
          <w:tcPr>
            <w:tcW w:w="396"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26</w:t>
            </w:r>
          </w:p>
        </w:tc>
        <w:tc>
          <w:tcPr>
            <w:tcW w:w="449"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45" w:type="pct"/>
            <w:noWrap w:val="0"/>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发电机</w:t>
            </w:r>
          </w:p>
        </w:tc>
        <w:tc>
          <w:tcPr>
            <w:tcW w:w="552" w:type="pct"/>
            <w:noWrap w:val="0"/>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88</w:t>
            </w:r>
          </w:p>
        </w:tc>
        <w:tc>
          <w:tcPr>
            <w:tcW w:w="439"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68</w:t>
            </w:r>
          </w:p>
        </w:tc>
        <w:tc>
          <w:tcPr>
            <w:tcW w:w="431"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62</w:t>
            </w:r>
          </w:p>
        </w:tc>
        <w:tc>
          <w:tcPr>
            <w:tcW w:w="439"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56</w:t>
            </w:r>
          </w:p>
        </w:tc>
        <w:tc>
          <w:tcPr>
            <w:tcW w:w="405"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52</w:t>
            </w:r>
          </w:p>
        </w:tc>
        <w:tc>
          <w:tcPr>
            <w:tcW w:w="396"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50</w:t>
            </w:r>
          </w:p>
        </w:tc>
        <w:tc>
          <w:tcPr>
            <w:tcW w:w="445"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48</w:t>
            </w:r>
          </w:p>
        </w:tc>
        <w:tc>
          <w:tcPr>
            <w:tcW w:w="396"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26</w:t>
            </w:r>
          </w:p>
        </w:tc>
        <w:tc>
          <w:tcPr>
            <w:tcW w:w="449"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45" w:type="pct"/>
            <w:noWrap w:val="0"/>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潜水泵</w:t>
            </w:r>
          </w:p>
        </w:tc>
        <w:tc>
          <w:tcPr>
            <w:tcW w:w="552" w:type="pct"/>
            <w:noWrap w:val="0"/>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91</w:t>
            </w:r>
          </w:p>
        </w:tc>
        <w:tc>
          <w:tcPr>
            <w:tcW w:w="439"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71</w:t>
            </w:r>
          </w:p>
        </w:tc>
        <w:tc>
          <w:tcPr>
            <w:tcW w:w="431"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65</w:t>
            </w:r>
          </w:p>
        </w:tc>
        <w:tc>
          <w:tcPr>
            <w:tcW w:w="439"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59</w:t>
            </w:r>
          </w:p>
        </w:tc>
        <w:tc>
          <w:tcPr>
            <w:tcW w:w="405"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55</w:t>
            </w:r>
          </w:p>
        </w:tc>
        <w:tc>
          <w:tcPr>
            <w:tcW w:w="396"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53</w:t>
            </w:r>
          </w:p>
        </w:tc>
        <w:tc>
          <w:tcPr>
            <w:tcW w:w="445"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51</w:t>
            </w:r>
          </w:p>
        </w:tc>
        <w:tc>
          <w:tcPr>
            <w:tcW w:w="396"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36</w:t>
            </w:r>
          </w:p>
        </w:tc>
        <w:tc>
          <w:tcPr>
            <w:tcW w:w="449"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113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45" w:type="pct"/>
            <w:noWrap w:val="0"/>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船载式液压振动锤</w:t>
            </w:r>
          </w:p>
        </w:tc>
        <w:tc>
          <w:tcPr>
            <w:tcW w:w="552" w:type="pct"/>
            <w:noWrap w:val="0"/>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95</w:t>
            </w:r>
          </w:p>
        </w:tc>
        <w:tc>
          <w:tcPr>
            <w:tcW w:w="439"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75</w:t>
            </w:r>
          </w:p>
        </w:tc>
        <w:tc>
          <w:tcPr>
            <w:tcW w:w="431"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69</w:t>
            </w:r>
          </w:p>
        </w:tc>
        <w:tc>
          <w:tcPr>
            <w:tcW w:w="439"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63</w:t>
            </w:r>
          </w:p>
        </w:tc>
        <w:tc>
          <w:tcPr>
            <w:tcW w:w="405"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59</w:t>
            </w:r>
          </w:p>
        </w:tc>
        <w:tc>
          <w:tcPr>
            <w:tcW w:w="396"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57</w:t>
            </w:r>
          </w:p>
        </w:tc>
        <w:tc>
          <w:tcPr>
            <w:tcW w:w="445"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55</w:t>
            </w:r>
          </w:p>
        </w:tc>
        <w:tc>
          <w:tcPr>
            <w:tcW w:w="396"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57</w:t>
            </w:r>
          </w:p>
        </w:tc>
        <w:tc>
          <w:tcPr>
            <w:tcW w:w="449"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178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45" w:type="pct"/>
            <w:noWrap w:val="0"/>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装载机</w:t>
            </w:r>
          </w:p>
        </w:tc>
        <w:tc>
          <w:tcPr>
            <w:tcW w:w="552" w:type="pct"/>
            <w:noWrap w:val="0"/>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98</w:t>
            </w:r>
          </w:p>
        </w:tc>
        <w:tc>
          <w:tcPr>
            <w:tcW w:w="439"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78</w:t>
            </w:r>
          </w:p>
        </w:tc>
        <w:tc>
          <w:tcPr>
            <w:tcW w:w="431"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72</w:t>
            </w:r>
          </w:p>
        </w:tc>
        <w:tc>
          <w:tcPr>
            <w:tcW w:w="439"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66</w:t>
            </w:r>
          </w:p>
        </w:tc>
        <w:tc>
          <w:tcPr>
            <w:tcW w:w="405"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62</w:t>
            </w:r>
          </w:p>
        </w:tc>
        <w:tc>
          <w:tcPr>
            <w:tcW w:w="396"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60</w:t>
            </w:r>
          </w:p>
        </w:tc>
        <w:tc>
          <w:tcPr>
            <w:tcW w:w="445"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58</w:t>
            </w:r>
          </w:p>
        </w:tc>
        <w:tc>
          <w:tcPr>
            <w:tcW w:w="396"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80</w:t>
            </w:r>
          </w:p>
        </w:tc>
        <w:tc>
          <w:tcPr>
            <w:tcW w:w="449"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252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45" w:type="pct"/>
            <w:noWrap w:val="0"/>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切断机</w:t>
            </w:r>
          </w:p>
        </w:tc>
        <w:tc>
          <w:tcPr>
            <w:tcW w:w="552" w:type="pct"/>
            <w:noWrap w:val="0"/>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98</w:t>
            </w:r>
          </w:p>
        </w:tc>
        <w:tc>
          <w:tcPr>
            <w:tcW w:w="439"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bidi="ar-SA"/>
              </w:rPr>
            </w:pPr>
            <w:r>
              <w:rPr>
                <w:rFonts w:hint="eastAsia" w:cs="Times New Roman"/>
                <w:color w:val="000000"/>
                <w:sz w:val="21"/>
                <w:szCs w:val="21"/>
                <w:lang w:val="en-US" w:eastAsia="zh-CN"/>
              </w:rPr>
              <w:t>78</w:t>
            </w:r>
          </w:p>
        </w:tc>
        <w:tc>
          <w:tcPr>
            <w:tcW w:w="431"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bidi="ar-SA"/>
              </w:rPr>
            </w:pPr>
            <w:r>
              <w:rPr>
                <w:rFonts w:hint="eastAsia" w:cs="Times New Roman"/>
                <w:color w:val="000000"/>
                <w:sz w:val="21"/>
                <w:szCs w:val="21"/>
                <w:lang w:val="en-US" w:eastAsia="zh-CN"/>
              </w:rPr>
              <w:t>72</w:t>
            </w:r>
          </w:p>
        </w:tc>
        <w:tc>
          <w:tcPr>
            <w:tcW w:w="439"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bidi="ar-SA"/>
              </w:rPr>
            </w:pPr>
            <w:r>
              <w:rPr>
                <w:rFonts w:hint="eastAsia" w:cs="Times New Roman"/>
                <w:color w:val="000000"/>
                <w:sz w:val="21"/>
                <w:szCs w:val="21"/>
                <w:lang w:val="en-US" w:eastAsia="zh-CN"/>
              </w:rPr>
              <w:t>66</w:t>
            </w:r>
          </w:p>
        </w:tc>
        <w:tc>
          <w:tcPr>
            <w:tcW w:w="405"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bidi="ar-SA"/>
              </w:rPr>
            </w:pPr>
            <w:r>
              <w:rPr>
                <w:rFonts w:hint="eastAsia" w:cs="Times New Roman"/>
                <w:color w:val="000000"/>
                <w:sz w:val="21"/>
                <w:szCs w:val="21"/>
                <w:lang w:val="en-US" w:eastAsia="zh-CN"/>
              </w:rPr>
              <w:t>62</w:t>
            </w:r>
          </w:p>
        </w:tc>
        <w:tc>
          <w:tcPr>
            <w:tcW w:w="396"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bidi="ar-SA"/>
              </w:rPr>
            </w:pPr>
            <w:r>
              <w:rPr>
                <w:rFonts w:hint="eastAsia" w:cs="Times New Roman"/>
                <w:color w:val="000000"/>
                <w:sz w:val="21"/>
                <w:szCs w:val="21"/>
                <w:lang w:val="en-US" w:eastAsia="zh-CN"/>
              </w:rPr>
              <w:t>60</w:t>
            </w:r>
          </w:p>
        </w:tc>
        <w:tc>
          <w:tcPr>
            <w:tcW w:w="445"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bidi="ar-SA"/>
              </w:rPr>
            </w:pPr>
            <w:r>
              <w:rPr>
                <w:rFonts w:hint="eastAsia" w:cs="Times New Roman"/>
                <w:color w:val="000000"/>
                <w:sz w:val="21"/>
                <w:szCs w:val="21"/>
                <w:lang w:val="en-US" w:eastAsia="zh-CN"/>
              </w:rPr>
              <w:t>58</w:t>
            </w:r>
          </w:p>
        </w:tc>
        <w:tc>
          <w:tcPr>
            <w:tcW w:w="396"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bidi="ar-SA"/>
              </w:rPr>
            </w:pPr>
            <w:r>
              <w:rPr>
                <w:rFonts w:hint="eastAsia" w:cs="Times New Roman"/>
                <w:color w:val="000000"/>
                <w:sz w:val="21"/>
                <w:szCs w:val="21"/>
                <w:lang w:val="en-US" w:eastAsia="zh-CN"/>
              </w:rPr>
              <w:t>80</w:t>
            </w:r>
          </w:p>
        </w:tc>
        <w:tc>
          <w:tcPr>
            <w:tcW w:w="449"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bidi="ar-SA"/>
              </w:rPr>
            </w:pPr>
            <w:r>
              <w:rPr>
                <w:rFonts w:hint="eastAsia" w:cs="Times New Roman"/>
                <w:color w:val="000000"/>
                <w:sz w:val="21"/>
                <w:szCs w:val="21"/>
                <w:lang w:val="en-US" w:eastAsia="zh-CN"/>
              </w:rPr>
              <w:t>252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45" w:type="pct"/>
            <w:noWrap w:val="0"/>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电焊机</w:t>
            </w:r>
          </w:p>
        </w:tc>
        <w:tc>
          <w:tcPr>
            <w:tcW w:w="552" w:type="pct"/>
            <w:noWrap w:val="0"/>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101</w:t>
            </w:r>
          </w:p>
        </w:tc>
        <w:tc>
          <w:tcPr>
            <w:tcW w:w="439" w:type="pct"/>
            <w:noWrap w:val="0"/>
            <w:vAlign w:val="center"/>
          </w:tcPr>
          <w:p>
            <w:pPr>
              <w:spacing w:line="320" w:lineRule="exact"/>
              <w:jc w:val="center"/>
              <w:rPr>
                <w:rFonts w:hint="default" w:ascii="Times New Roman" w:hAnsi="Times New Roman" w:eastAsia="宋体" w:cs="Times New Roman"/>
                <w:color w:val="000000"/>
                <w:sz w:val="21"/>
                <w:szCs w:val="21"/>
              </w:rPr>
            </w:pPr>
            <w:r>
              <w:rPr>
                <w:rFonts w:hint="eastAsia" w:cs="Times New Roman"/>
                <w:color w:val="000000"/>
                <w:sz w:val="21"/>
                <w:szCs w:val="21"/>
                <w:lang w:val="en-US" w:eastAsia="zh-CN"/>
              </w:rPr>
              <w:t>81</w:t>
            </w:r>
          </w:p>
        </w:tc>
        <w:tc>
          <w:tcPr>
            <w:tcW w:w="431" w:type="pct"/>
            <w:noWrap w:val="0"/>
            <w:vAlign w:val="center"/>
          </w:tcPr>
          <w:p>
            <w:pPr>
              <w:spacing w:line="320" w:lineRule="exact"/>
              <w:jc w:val="center"/>
              <w:rPr>
                <w:rFonts w:hint="default" w:ascii="Times New Roman" w:hAnsi="Times New Roman" w:eastAsia="宋体" w:cs="Times New Roman"/>
                <w:color w:val="000000"/>
                <w:sz w:val="21"/>
                <w:szCs w:val="21"/>
              </w:rPr>
            </w:pPr>
            <w:r>
              <w:rPr>
                <w:rFonts w:hint="eastAsia" w:cs="Times New Roman"/>
                <w:color w:val="000000"/>
                <w:sz w:val="21"/>
                <w:szCs w:val="21"/>
                <w:lang w:val="en-US" w:eastAsia="zh-CN"/>
              </w:rPr>
              <w:t>75</w:t>
            </w:r>
          </w:p>
        </w:tc>
        <w:tc>
          <w:tcPr>
            <w:tcW w:w="439" w:type="pct"/>
            <w:noWrap w:val="0"/>
            <w:vAlign w:val="center"/>
          </w:tcPr>
          <w:p>
            <w:pPr>
              <w:spacing w:line="320" w:lineRule="exact"/>
              <w:jc w:val="center"/>
              <w:rPr>
                <w:rFonts w:hint="default" w:ascii="Times New Roman" w:hAnsi="Times New Roman" w:eastAsia="宋体" w:cs="Times New Roman"/>
                <w:color w:val="000000"/>
                <w:sz w:val="21"/>
                <w:szCs w:val="21"/>
              </w:rPr>
            </w:pPr>
            <w:r>
              <w:rPr>
                <w:rFonts w:hint="eastAsia" w:cs="Times New Roman"/>
                <w:color w:val="000000"/>
                <w:sz w:val="21"/>
                <w:szCs w:val="21"/>
                <w:lang w:val="en-US" w:eastAsia="zh-CN"/>
              </w:rPr>
              <w:t>69</w:t>
            </w:r>
          </w:p>
        </w:tc>
        <w:tc>
          <w:tcPr>
            <w:tcW w:w="405" w:type="pct"/>
            <w:noWrap w:val="0"/>
            <w:vAlign w:val="center"/>
          </w:tcPr>
          <w:p>
            <w:pPr>
              <w:spacing w:line="320" w:lineRule="exact"/>
              <w:jc w:val="center"/>
              <w:rPr>
                <w:rFonts w:hint="default" w:ascii="Times New Roman" w:hAnsi="Times New Roman" w:eastAsia="宋体" w:cs="Times New Roman"/>
                <w:color w:val="000000"/>
                <w:sz w:val="21"/>
                <w:szCs w:val="21"/>
              </w:rPr>
            </w:pPr>
            <w:r>
              <w:rPr>
                <w:rFonts w:hint="eastAsia" w:cs="Times New Roman"/>
                <w:color w:val="000000"/>
                <w:sz w:val="21"/>
                <w:szCs w:val="21"/>
                <w:lang w:val="en-US" w:eastAsia="zh-CN"/>
              </w:rPr>
              <w:t>65</w:t>
            </w:r>
          </w:p>
        </w:tc>
        <w:tc>
          <w:tcPr>
            <w:tcW w:w="396" w:type="pct"/>
            <w:noWrap w:val="0"/>
            <w:vAlign w:val="center"/>
          </w:tcPr>
          <w:p>
            <w:pPr>
              <w:spacing w:line="320" w:lineRule="exact"/>
              <w:jc w:val="center"/>
              <w:rPr>
                <w:rFonts w:hint="default" w:ascii="Times New Roman" w:hAnsi="Times New Roman" w:eastAsia="宋体" w:cs="Times New Roman"/>
                <w:color w:val="000000"/>
                <w:sz w:val="21"/>
                <w:szCs w:val="21"/>
              </w:rPr>
            </w:pPr>
            <w:r>
              <w:rPr>
                <w:rFonts w:hint="eastAsia" w:cs="Times New Roman"/>
                <w:color w:val="000000"/>
                <w:sz w:val="21"/>
                <w:szCs w:val="21"/>
                <w:lang w:val="en-US" w:eastAsia="zh-CN"/>
              </w:rPr>
              <w:t>63</w:t>
            </w:r>
          </w:p>
        </w:tc>
        <w:tc>
          <w:tcPr>
            <w:tcW w:w="445" w:type="pct"/>
            <w:noWrap w:val="0"/>
            <w:vAlign w:val="center"/>
          </w:tcPr>
          <w:p>
            <w:pPr>
              <w:spacing w:line="320" w:lineRule="exact"/>
              <w:jc w:val="center"/>
              <w:rPr>
                <w:rFonts w:hint="default" w:ascii="Times New Roman" w:hAnsi="Times New Roman" w:eastAsia="宋体" w:cs="Times New Roman"/>
                <w:color w:val="000000"/>
                <w:sz w:val="21"/>
                <w:szCs w:val="21"/>
              </w:rPr>
            </w:pPr>
            <w:r>
              <w:rPr>
                <w:rFonts w:hint="eastAsia" w:cs="Times New Roman"/>
                <w:color w:val="000000"/>
                <w:sz w:val="21"/>
                <w:szCs w:val="21"/>
                <w:lang w:val="en-US" w:eastAsia="zh-CN"/>
              </w:rPr>
              <w:t>61</w:t>
            </w:r>
          </w:p>
        </w:tc>
        <w:tc>
          <w:tcPr>
            <w:tcW w:w="396" w:type="pct"/>
            <w:noWrap w:val="0"/>
            <w:vAlign w:val="center"/>
          </w:tcPr>
          <w:p>
            <w:pPr>
              <w:spacing w:line="320" w:lineRule="exact"/>
              <w:jc w:val="center"/>
              <w:rPr>
                <w:rFonts w:hint="default" w:ascii="Times New Roman" w:hAnsi="Times New Roman" w:eastAsia="宋体" w:cs="Times New Roman"/>
                <w:color w:val="000000"/>
                <w:sz w:val="21"/>
                <w:szCs w:val="21"/>
              </w:rPr>
            </w:pPr>
            <w:r>
              <w:rPr>
                <w:rFonts w:hint="eastAsia" w:cs="Times New Roman"/>
                <w:color w:val="000000"/>
                <w:sz w:val="21"/>
                <w:szCs w:val="21"/>
                <w:lang w:val="en-US" w:eastAsia="zh-CN"/>
              </w:rPr>
              <w:t>113</w:t>
            </w:r>
          </w:p>
        </w:tc>
        <w:tc>
          <w:tcPr>
            <w:tcW w:w="449" w:type="pct"/>
            <w:noWrap w:val="0"/>
            <w:vAlign w:val="center"/>
          </w:tcPr>
          <w:p>
            <w:pPr>
              <w:spacing w:line="320" w:lineRule="exact"/>
              <w:jc w:val="center"/>
              <w:rPr>
                <w:rFonts w:hint="default" w:ascii="Times New Roman" w:hAnsi="Times New Roman" w:eastAsia="宋体" w:cs="Times New Roman"/>
                <w:color w:val="000000"/>
                <w:sz w:val="21"/>
                <w:szCs w:val="21"/>
              </w:rPr>
            </w:pPr>
            <w:r>
              <w:rPr>
                <w:rFonts w:hint="eastAsia" w:cs="Times New Roman"/>
                <w:color w:val="000000"/>
                <w:sz w:val="21"/>
                <w:szCs w:val="21"/>
                <w:lang w:val="en-US" w:eastAsia="zh-CN"/>
              </w:rPr>
              <w:t>355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45" w:type="pct"/>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砂轮切割机</w:t>
            </w:r>
          </w:p>
        </w:tc>
        <w:tc>
          <w:tcPr>
            <w:tcW w:w="552" w:type="pct"/>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101</w:t>
            </w:r>
          </w:p>
        </w:tc>
        <w:tc>
          <w:tcPr>
            <w:tcW w:w="439" w:type="pct"/>
            <w:vAlign w:val="center"/>
          </w:tcPr>
          <w:p>
            <w:pPr>
              <w:spacing w:line="320" w:lineRule="exact"/>
              <w:jc w:val="center"/>
              <w:rPr>
                <w:rFonts w:hint="default" w:ascii="Times New Roman" w:hAnsi="Times New Roman" w:eastAsia="宋体" w:cs="Times New Roman"/>
                <w:color w:val="000000"/>
                <w:sz w:val="21"/>
                <w:szCs w:val="21"/>
              </w:rPr>
            </w:pPr>
            <w:r>
              <w:rPr>
                <w:rFonts w:hint="eastAsia" w:cs="Times New Roman"/>
                <w:color w:val="000000"/>
                <w:sz w:val="21"/>
                <w:szCs w:val="21"/>
                <w:lang w:val="en-US" w:eastAsia="zh-CN"/>
              </w:rPr>
              <w:t>81</w:t>
            </w:r>
          </w:p>
        </w:tc>
        <w:tc>
          <w:tcPr>
            <w:tcW w:w="431" w:type="pct"/>
            <w:vAlign w:val="center"/>
          </w:tcPr>
          <w:p>
            <w:pPr>
              <w:spacing w:line="320" w:lineRule="exact"/>
              <w:jc w:val="center"/>
              <w:rPr>
                <w:rFonts w:hint="default" w:ascii="Times New Roman" w:hAnsi="Times New Roman" w:eastAsia="宋体" w:cs="Times New Roman"/>
                <w:color w:val="000000"/>
                <w:sz w:val="21"/>
                <w:szCs w:val="21"/>
              </w:rPr>
            </w:pPr>
            <w:r>
              <w:rPr>
                <w:rFonts w:hint="eastAsia" w:cs="Times New Roman"/>
                <w:color w:val="000000"/>
                <w:sz w:val="21"/>
                <w:szCs w:val="21"/>
                <w:lang w:val="en-US" w:eastAsia="zh-CN"/>
              </w:rPr>
              <w:t>75</w:t>
            </w:r>
          </w:p>
        </w:tc>
        <w:tc>
          <w:tcPr>
            <w:tcW w:w="439" w:type="pct"/>
            <w:vAlign w:val="center"/>
          </w:tcPr>
          <w:p>
            <w:pPr>
              <w:spacing w:line="320" w:lineRule="exact"/>
              <w:jc w:val="center"/>
              <w:rPr>
                <w:rFonts w:hint="default" w:ascii="Times New Roman" w:hAnsi="Times New Roman" w:eastAsia="宋体" w:cs="Times New Roman"/>
                <w:color w:val="000000"/>
                <w:sz w:val="21"/>
                <w:szCs w:val="21"/>
              </w:rPr>
            </w:pPr>
            <w:r>
              <w:rPr>
                <w:rFonts w:hint="eastAsia" w:cs="Times New Roman"/>
                <w:color w:val="000000"/>
                <w:sz w:val="21"/>
                <w:szCs w:val="21"/>
                <w:lang w:val="en-US" w:eastAsia="zh-CN"/>
              </w:rPr>
              <w:t>69</w:t>
            </w:r>
          </w:p>
        </w:tc>
        <w:tc>
          <w:tcPr>
            <w:tcW w:w="405" w:type="pct"/>
            <w:vAlign w:val="center"/>
          </w:tcPr>
          <w:p>
            <w:pPr>
              <w:spacing w:line="320" w:lineRule="exact"/>
              <w:jc w:val="center"/>
              <w:rPr>
                <w:rFonts w:hint="default" w:ascii="Times New Roman" w:hAnsi="Times New Roman" w:eastAsia="宋体" w:cs="Times New Roman"/>
                <w:color w:val="000000"/>
                <w:sz w:val="21"/>
                <w:szCs w:val="21"/>
              </w:rPr>
            </w:pPr>
            <w:r>
              <w:rPr>
                <w:rFonts w:hint="eastAsia" w:cs="Times New Roman"/>
                <w:color w:val="000000"/>
                <w:sz w:val="21"/>
                <w:szCs w:val="21"/>
                <w:lang w:val="en-US" w:eastAsia="zh-CN"/>
              </w:rPr>
              <w:t>65</w:t>
            </w:r>
          </w:p>
        </w:tc>
        <w:tc>
          <w:tcPr>
            <w:tcW w:w="396" w:type="pct"/>
            <w:vAlign w:val="center"/>
          </w:tcPr>
          <w:p>
            <w:pPr>
              <w:spacing w:line="320" w:lineRule="exact"/>
              <w:jc w:val="center"/>
              <w:rPr>
                <w:rFonts w:hint="default" w:ascii="Times New Roman" w:hAnsi="Times New Roman" w:eastAsia="宋体" w:cs="Times New Roman"/>
                <w:color w:val="000000"/>
                <w:sz w:val="21"/>
                <w:szCs w:val="21"/>
              </w:rPr>
            </w:pPr>
            <w:r>
              <w:rPr>
                <w:rFonts w:hint="eastAsia" w:cs="Times New Roman"/>
                <w:color w:val="000000"/>
                <w:sz w:val="21"/>
                <w:szCs w:val="21"/>
                <w:lang w:val="en-US" w:eastAsia="zh-CN"/>
              </w:rPr>
              <w:t>63</w:t>
            </w:r>
          </w:p>
        </w:tc>
        <w:tc>
          <w:tcPr>
            <w:tcW w:w="445" w:type="pct"/>
            <w:vAlign w:val="center"/>
          </w:tcPr>
          <w:p>
            <w:pPr>
              <w:spacing w:line="320" w:lineRule="exact"/>
              <w:jc w:val="center"/>
              <w:rPr>
                <w:rFonts w:hint="default" w:ascii="Times New Roman" w:hAnsi="Times New Roman" w:eastAsia="宋体" w:cs="Times New Roman"/>
                <w:color w:val="000000"/>
                <w:sz w:val="21"/>
                <w:szCs w:val="21"/>
              </w:rPr>
            </w:pPr>
            <w:r>
              <w:rPr>
                <w:rFonts w:hint="eastAsia" w:cs="Times New Roman"/>
                <w:color w:val="000000"/>
                <w:sz w:val="21"/>
                <w:szCs w:val="21"/>
                <w:lang w:val="en-US" w:eastAsia="zh-CN"/>
              </w:rPr>
              <w:t>61</w:t>
            </w:r>
          </w:p>
        </w:tc>
        <w:tc>
          <w:tcPr>
            <w:tcW w:w="396" w:type="pct"/>
            <w:vAlign w:val="center"/>
          </w:tcPr>
          <w:p>
            <w:pPr>
              <w:spacing w:line="320" w:lineRule="exact"/>
              <w:jc w:val="center"/>
              <w:rPr>
                <w:rFonts w:hint="default" w:ascii="Times New Roman" w:hAnsi="Times New Roman" w:eastAsia="宋体" w:cs="Times New Roman"/>
                <w:color w:val="000000"/>
                <w:sz w:val="21"/>
                <w:szCs w:val="21"/>
              </w:rPr>
            </w:pPr>
            <w:r>
              <w:rPr>
                <w:rFonts w:hint="eastAsia" w:cs="Times New Roman"/>
                <w:color w:val="000000"/>
                <w:sz w:val="21"/>
                <w:szCs w:val="21"/>
                <w:lang w:val="en-US" w:eastAsia="zh-CN"/>
              </w:rPr>
              <w:t>113</w:t>
            </w:r>
          </w:p>
        </w:tc>
        <w:tc>
          <w:tcPr>
            <w:tcW w:w="449" w:type="pct"/>
            <w:vAlign w:val="center"/>
          </w:tcPr>
          <w:p>
            <w:pPr>
              <w:spacing w:line="320" w:lineRule="exact"/>
              <w:jc w:val="center"/>
              <w:rPr>
                <w:rFonts w:hint="default" w:ascii="Times New Roman" w:hAnsi="Times New Roman" w:eastAsia="宋体" w:cs="Times New Roman"/>
                <w:color w:val="000000"/>
                <w:sz w:val="21"/>
                <w:szCs w:val="21"/>
              </w:rPr>
            </w:pPr>
            <w:r>
              <w:rPr>
                <w:rFonts w:hint="eastAsia" w:cs="Times New Roman"/>
                <w:color w:val="000000"/>
                <w:sz w:val="21"/>
                <w:szCs w:val="21"/>
                <w:lang w:val="en-US" w:eastAsia="zh-CN"/>
              </w:rPr>
              <w:t>355</w:t>
            </w:r>
          </w:p>
        </w:tc>
      </w:tr>
    </w:tbl>
    <w:p>
      <w:pPr>
        <w:spacing w:line="480" w:lineRule="atLeas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由表 5.3-1 中可知，在不考虑噪声叠加且不采取防护措施的条件下各类施工机械昼间达到《声环境质量标准》(GB3096-2008)的2类标准最近距离均在</w:t>
      </w:r>
      <w:r>
        <w:rPr>
          <w:rFonts w:hint="eastAsia" w:cs="Times New Roman"/>
          <w:color w:val="auto"/>
          <w:lang w:val="en-US" w:eastAsia="zh-CN"/>
        </w:rPr>
        <w:t>113</w:t>
      </w:r>
      <w:r>
        <w:rPr>
          <w:rFonts w:hint="default" w:ascii="Times New Roman" w:hAnsi="Times New Roman" w:eastAsia="宋体" w:cs="Times New Roman"/>
          <w:color w:val="auto"/>
        </w:rPr>
        <w:t>米范围内，夜间达到《声环境质量标准》(GB3096-2008)的2类标准最近距离均在</w:t>
      </w:r>
      <w:r>
        <w:rPr>
          <w:rFonts w:hint="eastAsia" w:cs="Times New Roman"/>
          <w:color w:val="auto"/>
          <w:lang w:val="en-US" w:eastAsia="zh-CN"/>
        </w:rPr>
        <w:t>355</w:t>
      </w:r>
      <w:r>
        <w:rPr>
          <w:rFonts w:hint="default" w:ascii="Times New Roman" w:hAnsi="Times New Roman" w:eastAsia="宋体" w:cs="Times New Roman"/>
          <w:color w:val="auto"/>
        </w:rPr>
        <w:t>米范围内。据现场调查结果可知，工程区离敏感目标渔洋山风景区最近为</w:t>
      </w:r>
      <w:r>
        <w:rPr>
          <w:rFonts w:hint="eastAsia" w:cs="Times New Roman"/>
          <w:color w:val="auto"/>
          <w:lang w:val="en-US" w:eastAsia="zh-CN"/>
        </w:rPr>
        <w:t>35</w:t>
      </w:r>
      <w:r>
        <w:rPr>
          <w:rFonts w:hint="default" w:ascii="Times New Roman" w:hAnsi="Times New Roman" w:eastAsia="宋体" w:cs="Times New Roman"/>
          <w:color w:val="auto"/>
        </w:rPr>
        <w:t>m，</w:t>
      </w:r>
      <w:r>
        <w:rPr>
          <w:rFonts w:hint="eastAsia" w:cs="Times New Roman"/>
          <w:color w:val="auto"/>
          <w:lang w:val="en-US" w:eastAsia="zh-CN"/>
        </w:rPr>
        <w:t>施工期噪声对渔洋山景区环境影响有一定影响，但</w:t>
      </w:r>
      <w:r>
        <w:rPr>
          <w:rFonts w:hint="default" w:ascii="Times New Roman" w:hAnsi="Times New Roman" w:eastAsia="宋体" w:cs="Times New Roman"/>
          <w:color w:val="auto"/>
        </w:rPr>
        <w:t>随工程结束，噪声随即消失。</w:t>
      </w:r>
    </w:p>
    <w:p>
      <w:pPr>
        <w:spacing w:line="480" w:lineRule="atLeast"/>
        <w:ind w:firstLine="482" w:firstLineChars="200"/>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2、</w:t>
      </w:r>
      <w:r>
        <w:rPr>
          <w:rFonts w:hint="default" w:ascii="Times New Roman" w:hAnsi="Times New Roman" w:eastAsia="宋体" w:cs="Times New Roman"/>
          <w:b/>
          <w:bCs/>
          <w:color w:val="auto"/>
        </w:rPr>
        <w:t>施工期交通运输噪声</w:t>
      </w:r>
    </w:p>
    <w:p>
      <w:pPr>
        <w:spacing w:line="480" w:lineRule="atLeas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预测模式</w:t>
      </w:r>
    </w:p>
    <w:p>
      <w:pPr>
        <w:spacing w:line="480" w:lineRule="atLeas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车辆跑动形成流动噪声源，流动声源的噪声强弱与车流量、车型、车速、道路状况</w:t>
      </w:r>
    </w:p>
    <w:p>
      <w:pPr>
        <w:spacing w:line="480" w:lineRule="atLeast"/>
        <w:jc w:val="both"/>
        <w:rPr>
          <w:rFonts w:hint="default" w:ascii="Times New Roman" w:hAnsi="Times New Roman" w:eastAsia="宋体" w:cs="Times New Roman"/>
          <w:color w:val="auto"/>
        </w:rPr>
      </w:pPr>
      <w:r>
        <w:rPr>
          <w:rFonts w:hint="default" w:ascii="Times New Roman" w:hAnsi="Times New Roman" w:eastAsia="宋体" w:cs="Times New Roman"/>
          <w:color w:val="auto"/>
        </w:rPr>
        <w:t>等有关，临时施工道路车辆情况见表</w:t>
      </w:r>
      <w:r>
        <w:rPr>
          <w:rFonts w:hint="eastAsia" w:cs="Times New Roman"/>
          <w:color w:val="auto"/>
          <w:lang w:val="en-US" w:eastAsia="zh-CN"/>
        </w:rPr>
        <w:t>5.3</w:t>
      </w:r>
      <w:r>
        <w:rPr>
          <w:rFonts w:hint="default" w:ascii="Times New Roman" w:hAnsi="Times New Roman" w:eastAsia="宋体" w:cs="Times New Roman"/>
          <w:color w:val="auto"/>
        </w:rPr>
        <w:t>-2，采用流动噪声源预测模式进行预测，模型如下：</w:t>
      </w:r>
    </w:p>
    <w:p>
      <w:pPr>
        <w:spacing w:line="480" w:lineRule="atLeast"/>
        <w:ind w:firstLine="480" w:firstLineChars="200"/>
        <w:rPr>
          <w:rFonts w:hint="default" w:ascii="Times New Roman" w:hAnsi="Times New Roman" w:eastAsia="宋体" w:cs="Times New Roman"/>
          <w:color w:val="auto"/>
        </w:rPr>
      </w:pPr>
      <w:r>
        <w:rPr>
          <w:rFonts w:hint="default" w:ascii="Times New Roman" w:hAnsi="Times New Roman" w:eastAsia="宋体" w:cs="Times New Roman"/>
        </w:rPr>
        <w:drawing>
          <wp:anchor distT="0" distB="0" distL="114300" distR="114300" simplePos="0" relativeHeight="251689984" behindDoc="0" locked="0" layoutInCell="1" allowOverlap="1">
            <wp:simplePos x="0" y="0"/>
            <wp:positionH relativeFrom="column">
              <wp:posOffset>1701800</wp:posOffset>
            </wp:positionH>
            <wp:positionV relativeFrom="paragraph">
              <wp:posOffset>76200</wp:posOffset>
            </wp:positionV>
            <wp:extent cx="2257425" cy="152400"/>
            <wp:effectExtent l="0" t="0" r="9525" b="0"/>
            <wp:wrapNone/>
            <wp:docPr id="8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2"/>
                    <pic:cNvPicPr>
                      <a:picLocks noChangeAspect="1"/>
                    </pic:cNvPicPr>
                  </pic:nvPicPr>
                  <pic:blipFill>
                    <a:blip r:embed="rId80"/>
                    <a:stretch>
                      <a:fillRect/>
                    </a:stretch>
                  </pic:blipFill>
                  <pic:spPr>
                    <a:xfrm>
                      <a:off x="0" y="0"/>
                      <a:ext cx="2257425" cy="152400"/>
                    </a:xfrm>
                    <a:prstGeom prst="rect">
                      <a:avLst/>
                    </a:prstGeom>
                    <a:noFill/>
                    <a:ln>
                      <a:noFill/>
                    </a:ln>
                  </pic:spPr>
                </pic:pic>
              </a:graphicData>
            </a:graphic>
          </wp:anchor>
        </w:drawing>
      </w:r>
    </w:p>
    <w:p>
      <w:pPr>
        <w:spacing w:line="480" w:lineRule="atLeas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式中：N—车流量；</w:t>
      </w:r>
    </w:p>
    <w:p>
      <w:pPr>
        <w:spacing w:line="480" w:lineRule="atLeast"/>
        <w:ind w:firstLine="1200" w:firstLineChars="500"/>
        <w:jc w:val="both"/>
        <w:rPr>
          <w:rFonts w:hint="default" w:ascii="Times New Roman" w:hAnsi="Times New Roman" w:eastAsia="宋体" w:cs="Times New Roman"/>
          <w:color w:val="auto"/>
        </w:rPr>
      </w:pPr>
      <w:r>
        <w:rPr>
          <w:rFonts w:hint="default" w:ascii="Times New Roman" w:hAnsi="Times New Roman" w:eastAsia="宋体" w:cs="Times New Roman"/>
          <w:color w:val="auto"/>
        </w:rPr>
        <w:t>V—车速，白天取20km/h，夜间取15km/h；</w:t>
      </w:r>
    </w:p>
    <w:p>
      <w:pPr>
        <w:spacing w:line="480" w:lineRule="atLeast"/>
        <w:ind w:firstLine="1200" w:firstLineChars="500"/>
        <w:jc w:val="both"/>
        <w:rPr>
          <w:rFonts w:hint="default" w:ascii="Times New Roman" w:hAnsi="Times New Roman" w:eastAsia="宋体" w:cs="Times New Roman"/>
          <w:color w:val="auto"/>
        </w:rPr>
      </w:pPr>
      <w:r>
        <w:rPr>
          <w:rFonts w:hint="default" w:ascii="Times New Roman" w:hAnsi="Times New Roman" w:eastAsia="宋体" w:cs="Times New Roman"/>
          <w:color w:val="auto"/>
        </w:rPr>
        <w:t>r—预测点与声距离，m。</w:t>
      </w:r>
    </w:p>
    <w:p>
      <w:pPr>
        <w:spacing w:line="480" w:lineRule="atLeast"/>
        <w:ind w:firstLine="482" w:firstLineChars="20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 5.3-2 临时施工道路车辆情况表</w:t>
      </w:r>
    </w:p>
    <w:tbl>
      <w:tblPr>
        <w:tblStyle w:val="55"/>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159"/>
        <w:gridCol w:w="2119"/>
        <w:gridCol w:w="295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2252" w:type="pct"/>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运输机械</w:t>
            </w:r>
          </w:p>
        </w:tc>
        <w:tc>
          <w:tcPr>
            <w:tcW w:w="1147" w:type="pct"/>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昼间</w:t>
            </w:r>
          </w:p>
        </w:tc>
        <w:tc>
          <w:tcPr>
            <w:tcW w:w="1600" w:type="pct"/>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52" w:type="pct"/>
            <w:noWrap w:val="0"/>
            <w:vAlign w:val="center"/>
          </w:tcPr>
          <w:p>
            <w:pPr>
              <w:spacing w:line="320" w:lineRule="exact"/>
              <w:jc w:val="center"/>
              <w:rPr>
                <w:rFonts w:hint="default" w:ascii="Times New Roman" w:hAnsi="Times New Roman" w:eastAsia="宋体" w:cs="Times New Roman"/>
                <w:color w:val="auto"/>
                <w:sz w:val="21"/>
                <w:szCs w:val="21"/>
              </w:rPr>
            </w:pPr>
            <w:r>
              <w:rPr>
                <w:rFonts w:hint="eastAsia" w:cs="Times New Roman"/>
                <w:color w:val="auto"/>
                <w:sz w:val="21"/>
                <w:szCs w:val="21"/>
                <w:vertAlign w:val="baseline"/>
                <w:lang w:val="en-US" w:eastAsia="zh-CN"/>
              </w:rPr>
              <w:t>机动翻斗车、平板车、汽车吊、洒水车</w:t>
            </w:r>
          </w:p>
        </w:tc>
        <w:tc>
          <w:tcPr>
            <w:tcW w:w="1147" w:type="pct"/>
            <w:noWrap w:val="0"/>
            <w:vAlign w:val="center"/>
          </w:tcPr>
          <w:p>
            <w:pPr>
              <w:spacing w:line="320" w:lineRule="exact"/>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9</w:t>
            </w:r>
            <w:r>
              <w:rPr>
                <w:rFonts w:hint="default" w:ascii="Times New Roman" w:hAnsi="Times New Roman" w:eastAsia="宋体" w:cs="Times New Roman"/>
                <w:color w:val="auto"/>
                <w:sz w:val="21"/>
                <w:szCs w:val="21"/>
              </w:rPr>
              <w:t>辆/h</w:t>
            </w:r>
          </w:p>
        </w:tc>
        <w:tc>
          <w:tcPr>
            <w:tcW w:w="1600" w:type="pct"/>
            <w:noWrap w:val="0"/>
            <w:vAlign w:val="center"/>
          </w:tcPr>
          <w:p>
            <w:pPr>
              <w:spacing w:line="320" w:lineRule="exact"/>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rPr>
              <w:t>辆/h</w:t>
            </w:r>
          </w:p>
        </w:tc>
      </w:tr>
    </w:tbl>
    <w:p>
      <w:pPr>
        <w:spacing w:line="480" w:lineRule="atLeas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影响预测</w:t>
      </w:r>
    </w:p>
    <w:p>
      <w:pPr>
        <w:spacing w:line="480" w:lineRule="atLeas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据噪声预测模式，求得流动噪声源影响值见表5.3-3。</w:t>
      </w:r>
    </w:p>
    <w:p>
      <w:pPr>
        <w:spacing w:line="480" w:lineRule="atLeast"/>
        <w:ind w:firstLine="482" w:firstLineChars="20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 5.3-3 流动噪声源影响范围</w:t>
      </w:r>
    </w:p>
    <w:tbl>
      <w:tblPr>
        <w:tblStyle w:val="55"/>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209"/>
        <w:gridCol w:w="867"/>
        <w:gridCol w:w="1033"/>
        <w:gridCol w:w="717"/>
        <w:gridCol w:w="683"/>
        <w:gridCol w:w="700"/>
        <w:gridCol w:w="784"/>
        <w:gridCol w:w="765"/>
        <w:gridCol w:w="734"/>
        <w:gridCol w:w="74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2" w:hRule="atLeast"/>
          <w:jc w:val="center"/>
        </w:trPr>
        <w:tc>
          <w:tcPr>
            <w:tcW w:w="1196" w:type="pct"/>
            <w:noWrap w:val="0"/>
            <w:vAlign w:val="center"/>
          </w:tcPr>
          <w:p>
            <w:pPr>
              <w:spacing w:line="320" w:lineRule="exact"/>
              <w:jc w:val="center"/>
              <w:rPr>
                <w:rFonts w:hint="default" w:ascii="Times New Roman" w:hAnsi="Times New Roman" w:eastAsia="宋体" w:cs="Times New Roman"/>
                <w:b/>
                <w:bCs/>
              </w:rPr>
            </w:pPr>
            <w:r>
              <w:rPr>
                <w:rFonts w:hint="default" w:ascii="Times New Roman" w:hAnsi="Times New Roman" w:eastAsia="宋体" w:cs="Times New Roman"/>
                <w:b/>
                <w:bCs/>
                <w:color w:val="000000"/>
                <w:sz w:val="21"/>
                <w:szCs w:val="21"/>
              </w:rPr>
              <w:t>运输机械</w:t>
            </w:r>
          </w:p>
        </w:tc>
        <w:tc>
          <w:tcPr>
            <w:tcW w:w="1028" w:type="pct"/>
            <w:gridSpan w:val="2"/>
            <w:noWrap w:val="0"/>
            <w:vAlign w:val="center"/>
          </w:tcPr>
          <w:p>
            <w:pPr>
              <w:spacing w:line="320" w:lineRule="exact"/>
              <w:jc w:val="center"/>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与声源距离</w:t>
            </w:r>
          </w:p>
        </w:tc>
        <w:tc>
          <w:tcPr>
            <w:tcW w:w="388" w:type="pct"/>
            <w:noWrap w:val="0"/>
            <w:vAlign w:val="center"/>
          </w:tcPr>
          <w:p>
            <w:pPr>
              <w:spacing w:line="320" w:lineRule="exact"/>
              <w:jc w:val="center"/>
              <w:rPr>
                <w:rFonts w:hint="default" w:ascii="Times New Roman" w:hAnsi="Times New Roman" w:eastAsia="宋体" w:cs="Times New Roman"/>
                <w:b/>
                <w:bCs/>
                <w:color w:val="000000"/>
                <w:sz w:val="21"/>
                <w:szCs w:val="21"/>
                <w:lang w:val="en-US" w:eastAsia="zh-CN" w:bidi="ar-SA"/>
              </w:rPr>
            </w:pPr>
            <w:r>
              <w:rPr>
                <w:rFonts w:hint="default" w:ascii="Times New Roman" w:hAnsi="Times New Roman" w:eastAsia="宋体" w:cs="Times New Roman"/>
                <w:b/>
                <w:bCs/>
                <w:color w:val="000000"/>
                <w:sz w:val="21"/>
                <w:szCs w:val="21"/>
                <w:lang w:val="en-US" w:eastAsia="zh-CN"/>
              </w:rPr>
              <w:t>10m</w:t>
            </w:r>
          </w:p>
        </w:tc>
        <w:tc>
          <w:tcPr>
            <w:tcW w:w="369" w:type="pct"/>
            <w:noWrap w:val="0"/>
            <w:vAlign w:val="center"/>
          </w:tcPr>
          <w:p>
            <w:pPr>
              <w:spacing w:line="320" w:lineRule="exact"/>
              <w:jc w:val="center"/>
              <w:rPr>
                <w:rFonts w:hint="default" w:ascii="Times New Roman" w:hAnsi="Times New Roman" w:eastAsia="宋体" w:cs="Times New Roman"/>
                <w:b/>
                <w:bCs/>
                <w:color w:val="000000"/>
                <w:sz w:val="21"/>
                <w:szCs w:val="21"/>
                <w:lang w:val="en-US" w:eastAsia="zh-CN" w:bidi="ar-SA"/>
              </w:rPr>
            </w:pPr>
            <w:r>
              <w:rPr>
                <w:rFonts w:hint="default" w:ascii="Times New Roman" w:hAnsi="Times New Roman" w:eastAsia="宋体" w:cs="Times New Roman"/>
                <w:b/>
                <w:bCs/>
                <w:color w:val="000000"/>
                <w:sz w:val="21"/>
                <w:szCs w:val="21"/>
                <w:lang w:val="en-US" w:eastAsia="zh-CN"/>
              </w:rPr>
              <w:t>20m</w:t>
            </w:r>
          </w:p>
        </w:tc>
        <w:tc>
          <w:tcPr>
            <w:tcW w:w="379" w:type="pct"/>
            <w:noWrap w:val="0"/>
            <w:vAlign w:val="center"/>
          </w:tcPr>
          <w:p>
            <w:pPr>
              <w:spacing w:line="320" w:lineRule="exact"/>
              <w:jc w:val="center"/>
              <w:rPr>
                <w:rFonts w:hint="default" w:ascii="Times New Roman" w:hAnsi="Times New Roman" w:eastAsia="宋体" w:cs="Times New Roman"/>
                <w:b/>
                <w:bCs/>
                <w:color w:val="000000"/>
                <w:sz w:val="21"/>
                <w:szCs w:val="21"/>
                <w:lang w:val="en-US" w:eastAsia="zh-CN" w:bidi="ar-SA"/>
              </w:rPr>
            </w:pPr>
            <w:r>
              <w:rPr>
                <w:rFonts w:hint="default" w:ascii="Times New Roman" w:hAnsi="Times New Roman" w:eastAsia="宋体" w:cs="Times New Roman"/>
                <w:b/>
                <w:bCs/>
                <w:color w:val="000000"/>
                <w:sz w:val="21"/>
                <w:szCs w:val="21"/>
                <w:lang w:val="en-US" w:eastAsia="zh-CN"/>
              </w:rPr>
              <w:t>50m</w:t>
            </w:r>
          </w:p>
        </w:tc>
        <w:tc>
          <w:tcPr>
            <w:tcW w:w="424" w:type="pct"/>
            <w:noWrap w:val="0"/>
            <w:vAlign w:val="center"/>
          </w:tcPr>
          <w:p>
            <w:pPr>
              <w:spacing w:line="320" w:lineRule="exact"/>
              <w:jc w:val="center"/>
              <w:rPr>
                <w:rFonts w:hint="default" w:ascii="Times New Roman" w:hAnsi="Times New Roman" w:eastAsia="宋体" w:cs="Times New Roman"/>
                <w:b/>
                <w:bCs/>
                <w:color w:val="000000"/>
                <w:sz w:val="21"/>
                <w:szCs w:val="21"/>
                <w:lang w:val="en-US" w:eastAsia="zh-CN" w:bidi="ar-SA"/>
              </w:rPr>
            </w:pPr>
            <w:r>
              <w:rPr>
                <w:rFonts w:hint="default" w:ascii="Times New Roman" w:hAnsi="Times New Roman" w:eastAsia="宋体" w:cs="Times New Roman"/>
                <w:b/>
                <w:bCs/>
                <w:color w:val="000000"/>
                <w:sz w:val="21"/>
                <w:szCs w:val="21"/>
                <w:lang w:val="en-US" w:eastAsia="zh-CN"/>
              </w:rPr>
              <w:t>100m</w:t>
            </w:r>
          </w:p>
        </w:tc>
        <w:tc>
          <w:tcPr>
            <w:tcW w:w="414" w:type="pct"/>
            <w:noWrap w:val="0"/>
            <w:vAlign w:val="center"/>
          </w:tcPr>
          <w:p>
            <w:pPr>
              <w:spacing w:line="320" w:lineRule="exact"/>
              <w:jc w:val="center"/>
              <w:rPr>
                <w:rFonts w:hint="default" w:ascii="Times New Roman" w:hAnsi="Times New Roman" w:eastAsia="宋体" w:cs="Times New Roman"/>
                <w:b/>
                <w:bCs/>
                <w:color w:val="000000"/>
                <w:sz w:val="21"/>
                <w:szCs w:val="21"/>
                <w:lang w:val="en-US" w:eastAsia="zh-CN" w:bidi="ar-SA"/>
              </w:rPr>
            </w:pPr>
            <w:r>
              <w:rPr>
                <w:rFonts w:hint="default" w:ascii="Times New Roman" w:hAnsi="Times New Roman" w:eastAsia="宋体" w:cs="Times New Roman"/>
                <w:b/>
                <w:bCs/>
                <w:color w:val="000000"/>
                <w:sz w:val="21"/>
                <w:szCs w:val="21"/>
                <w:lang w:val="en-US" w:eastAsia="zh-CN"/>
              </w:rPr>
              <w:t>120m</w:t>
            </w:r>
          </w:p>
        </w:tc>
        <w:tc>
          <w:tcPr>
            <w:tcW w:w="397" w:type="pct"/>
            <w:noWrap w:val="0"/>
            <w:vAlign w:val="center"/>
          </w:tcPr>
          <w:p>
            <w:pPr>
              <w:spacing w:line="320" w:lineRule="exact"/>
              <w:jc w:val="center"/>
              <w:rPr>
                <w:rFonts w:hint="default" w:ascii="Times New Roman" w:hAnsi="Times New Roman" w:eastAsia="宋体" w:cs="Times New Roman"/>
                <w:b/>
                <w:bCs/>
                <w:color w:val="000000"/>
                <w:sz w:val="21"/>
                <w:szCs w:val="21"/>
                <w:lang w:val="en-US" w:eastAsia="zh-CN" w:bidi="ar-SA"/>
              </w:rPr>
            </w:pPr>
            <w:r>
              <w:rPr>
                <w:rFonts w:hint="default" w:ascii="Times New Roman" w:hAnsi="Times New Roman" w:eastAsia="宋体" w:cs="Times New Roman"/>
                <w:b/>
                <w:bCs/>
                <w:color w:val="000000"/>
                <w:sz w:val="21"/>
                <w:szCs w:val="21"/>
                <w:lang w:val="en-US" w:eastAsia="zh-CN"/>
              </w:rPr>
              <w:t>150m</w:t>
            </w:r>
          </w:p>
        </w:tc>
        <w:tc>
          <w:tcPr>
            <w:tcW w:w="401" w:type="pct"/>
            <w:noWrap w:val="0"/>
            <w:vAlign w:val="center"/>
          </w:tcPr>
          <w:p>
            <w:pPr>
              <w:spacing w:line="320" w:lineRule="exact"/>
              <w:jc w:val="center"/>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200m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96" w:type="pct"/>
            <w:vMerge w:val="restart"/>
            <w:noWrap w:val="0"/>
            <w:vAlign w:val="center"/>
          </w:tcPr>
          <w:p>
            <w:pPr>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机动翻斗车、平板车、汽车吊、洒水车</w:t>
            </w:r>
          </w:p>
        </w:tc>
        <w:tc>
          <w:tcPr>
            <w:tcW w:w="469" w:type="pct"/>
            <w:vMerge w:val="restar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声压级dB</w:t>
            </w:r>
          </w:p>
        </w:tc>
        <w:tc>
          <w:tcPr>
            <w:tcW w:w="559"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昼间</w:t>
            </w:r>
          </w:p>
        </w:tc>
        <w:tc>
          <w:tcPr>
            <w:tcW w:w="388"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65</w:t>
            </w:r>
          </w:p>
        </w:tc>
        <w:tc>
          <w:tcPr>
            <w:tcW w:w="369"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59</w:t>
            </w:r>
          </w:p>
        </w:tc>
        <w:tc>
          <w:tcPr>
            <w:tcW w:w="379"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51</w:t>
            </w:r>
          </w:p>
        </w:tc>
        <w:tc>
          <w:tcPr>
            <w:tcW w:w="424"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w:t>
            </w:r>
            <w:r>
              <w:rPr>
                <w:rFonts w:hint="eastAsia" w:cs="Times New Roman"/>
                <w:color w:val="000000"/>
                <w:sz w:val="21"/>
                <w:szCs w:val="21"/>
                <w:lang w:val="en-US" w:eastAsia="zh-CN"/>
              </w:rPr>
              <w:t>5</w:t>
            </w:r>
          </w:p>
        </w:tc>
        <w:tc>
          <w:tcPr>
            <w:tcW w:w="414"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w:t>
            </w:r>
            <w:r>
              <w:rPr>
                <w:rFonts w:hint="eastAsia" w:cs="Times New Roman"/>
                <w:color w:val="000000"/>
                <w:sz w:val="21"/>
                <w:szCs w:val="21"/>
                <w:lang w:val="en-US" w:eastAsia="zh-CN"/>
              </w:rPr>
              <w:t>3</w:t>
            </w:r>
          </w:p>
        </w:tc>
        <w:tc>
          <w:tcPr>
            <w:tcW w:w="397"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41</w:t>
            </w:r>
          </w:p>
        </w:tc>
        <w:tc>
          <w:tcPr>
            <w:tcW w:w="401"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39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96" w:type="pct"/>
            <w:vMerge w:val="continue"/>
            <w:noWrap w:val="0"/>
            <w:vAlign w:val="center"/>
          </w:tcPr>
          <w:p>
            <w:pPr>
              <w:spacing w:line="320" w:lineRule="exact"/>
              <w:jc w:val="center"/>
              <w:rPr>
                <w:rFonts w:hint="default" w:ascii="Times New Roman" w:hAnsi="Times New Roman" w:eastAsia="宋体" w:cs="Times New Roman"/>
                <w:color w:val="000000"/>
                <w:sz w:val="21"/>
                <w:szCs w:val="21"/>
              </w:rPr>
            </w:pPr>
          </w:p>
        </w:tc>
        <w:tc>
          <w:tcPr>
            <w:tcW w:w="469" w:type="pct"/>
            <w:vMerge w:val="continue"/>
            <w:noWrap w:val="0"/>
            <w:vAlign w:val="center"/>
          </w:tcPr>
          <w:p>
            <w:pPr>
              <w:spacing w:line="320" w:lineRule="exact"/>
              <w:jc w:val="center"/>
              <w:rPr>
                <w:rFonts w:hint="default" w:ascii="Times New Roman" w:hAnsi="Times New Roman" w:eastAsia="宋体" w:cs="Times New Roman"/>
                <w:color w:val="000000"/>
                <w:sz w:val="21"/>
                <w:szCs w:val="21"/>
              </w:rPr>
            </w:pPr>
          </w:p>
        </w:tc>
        <w:tc>
          <w:tcPr>
            <w:tcW w:w="559"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夜间</w:t>
            </w:r>
          </w:p>
        </w:tc>
        <w:tc>
          <w:tcPr>
            <w:tcW w:w="388"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60</w:t>
            </w:r>
          </w:p>
        </w:tc>
        <w:tc>
          <w:tcPr>
            <w:tcW w:w="369"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54</w:t>
            </w:r>
          </w:p>
        </w:tc>
        <w:tc>
          <w:tcPr>
            <w:tcW w:w="379"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46</w:t>
            </w:r>
          </w:p>
        </w:tc>
        <w:tc>
          <w:tcPr>
            <w:tcW w:w="424"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40</w:t>
            </w:r>
          </w:p>
        </w:tc>
        <w:tc>
          <w:tcPr>
            <w:tcW w:w="414"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w:t>
            </w:r>
            <w:r>
              <w:rPr>
                <w:rFonts w:hint="eastAsia" w:cs="Times New Roman"/>
                <w:color w:val="000000"/>
                <w:sz w:val="21"/>
                <w:szCs w:val="21"/>
                <w:lang w:val="en-US" w:eastAsia="zh-CN"/>
              </w:rPr>
              <w:t>8</w:t>
            </w:r>
          </w:p>
        </w:tc>
        <w:tc>
          <w:tcPr>
            <w:tcW w:w="397"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w:t>
            </w:r>
            <w:r>
              <w:rPr>
                <w:rFonts w:hint="eastAsia" w:cs="Times New Roman"/>
                <w:color w:val="000000"/>
                <w:sz w:val="21"/>
                <w:szCs w:val="21"/>
                <w:lang w:val="en-US" w:eastAsia="zh-CN"/>
              </w:rPr>
              <w:t>6</w:t>
            </w:r>
          </w:p>
        </w:tc>
        <w:tc>
          <w:tcPr>
            <w:tcW w:w="401"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w:t>
            </w:r>
            <w:r>
              <w:rPr>
                <w:rFonts w:hint="eastAsia" w:cs="Times New Roman"/>
                <w:color w:val="000000"/>
                <w:sz w:val="21"/>
                <w:szCs w:val="21"/>
                <w:lang w:val="en-US" w:eastAsia="zh-CN"/>
              </w:rPr>
              <w:t>4</w:t>
            </w:r>
          </w:p>
        </w:tc>
      </w:tr>
    </w:tbl>
    <w:p>
      <w:pPr>
        <w:spacing w:line="480" w:lineRule="atLeas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从表 5.3-</w:t>
      </w:r>
      <w:r>
        <w:rPr>
          <w:rFonts w:hint="eastAsia" w:cs="Times New Roman"/>
          <w:color w:val="auto"/>
          <w:lang w:val="en-US" w:eastAsia="zh-CN"/>
        </w:rPr>
        <w:t>3</w:t>
      </w:r>
      <w:r>
        <w:rPr>
          <w:rFonts w:hint="default" w:ascii="Times New Roman" w:hAnsi="Times New Roman" w:eastAsia="宋体" w:cs="Times New Roman"/>
          <w:color w:val="auto"/>
        </w:rPr>
        <w:t>可以看出，在不考虑噪声叠加且不采取防护措施的条件下</w:t>
      </w:r>
      <w:r>
        <w:rPr>
          <w:rFonts w:hint="eastAsia" w:cs="Times New Roman"/>
          <w:color w:val="auto"/>
          <w:lang w:val="en-US" w:eastAsia="zh-CN"/>
        </w:rPr>
        <w:t>道路交通噪声</w:t>
      </w:r>
      <w:r>
        <w:rPr>
          <w:rFonts w:hint="default" w:ascii="Times New Roman" w:hAnsi="Times New Roman" w:eastAsia="宋体" w:cs="Times New Roman"/>
          <w:color w:val="auto"/>
        </w:rPr>
        <w:t>昼间达到《声环境质量标准》(GB3096-2008)的2类标准最近距离在</w:t>
      </w:r>
      <w:r>
        <w:rPr>
          <w:rFonts w:hint="eastAsia" w:cs="Times New Roman"/>
          <w:color w:val="auto"/>
          <w:lang w:val="en-US" w:eastAsia="zh-CN"/>
        </w:rPr>
        <w:t>18</w:t>
      </w:r>
      <w:r>
        <w:rPr>
          <w:rFonts w:hint="default" w:ascii="Times New Roman" w:hAnsi="Times New Roman" w:eastAsia="宋体" w:cs="Times New Roman"/>
          <w:color w:val="auto"/>
        </w:rPr>
        <w:t>米范围内，夜间达到《声环境质量标准》(GB3096-2008)的2类标准最近距离在</w:t>
      </w:r>
      <w:r>
        <w:rPr>
          <w:rFonts w:hint="eastAsia" w:cs="Times New Roman"/>
          <w:color w:val="auto"/>
          <w:lang w:val="en-US" w:eastAsia="zh-CN"/>
        </w:rPr>
        <w:t>32</w:t>
      </w:r>
      <w:r>
        <w:rPr>
          <w:rFonts w:hint="default" w:ascii="Times New Roman" w:hAnsi="Times New Roman" w:eastAsia="宋体" w:cs="Times New Roman"/>
          <w:color w:val="auto"/>
        </w:rPr>
        <w:t>米范围内，据现场调查结果可知，工程区离敏感目标渔洋山风景区最近为35m，</w:t>
      </w:r>
      <w:r>
        <w:rPr>
          <w:rFonts w:hint="eastAsia" w:cs="Times New Roman"/>
          <w:color w:val="auto"/>
          <w:lang w:val="en-US" w:eastAsia="zh-CN"/>
        </w:rPr>
        <w:t>道路交通噪声</w:t>
      </w:r>
      <w:r>
        <w:rPr>
          <w:rFonts w:hint="default" w:ascii="Times New Roman" w:hAnsi="Times New Roman" w:eastAsia="宋体" w:cs="Times New Roman"/>
          <w:color w:val="auto"/>
        </w:rPr>
        <w:t>对渔洋山景区环境影响</w:t>
      </w:r>
      <w:r>
        <w:rPr>
          <w:rFonts w:hint="eastAsia" w:cs="Times New Roman"/>
          <w:color w:val="auto"/>
          <w:lang w:val="en-US" w:eastAsia="zh-CN"/>
        </w:rPr>
        <w:t>较小</w:t>
      </w:r>
      <w:r>
        <w:rPr>
          <w:rFonts w:hint="default" w:ascii="Times New Roman" w:hAnsi="Times New Roman" w:eastAsia="宋体" w:cs="Times New Roman"/>
          <w:color w:val="auto"/>
        </w:rPr>
        <w:t>。</w:t>
      </w:r>
    </w:p>
    <w:p>
      <w:pPr>
        <w:spacing w:line="480" w:lineRule="atLeas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声环境敏感点目标影响分析</w:t>
      </w:r>
    </w:p>
    <w:p>
      <w:pPr>
        <w:spacing w:line="480" w:lineRule="atLeas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本工程施工过程中，会对周围的敏感点产生一定的影响，由于项目附近的敏感点均较远，项目</w:t>
      </w:r>
      <w:r>
        <w:rPr>
          <w:rFonts w:hint="eastAsia" w:cs="Times New Roman"/>
          <w:color w:val="auto"/>
          <w:lang w:val="en-US" w:eastAsia="zh-CN"/>
        </w:rPr>
        <w:t>5</w:t>
      </w:r>
      <w:r>
        <w:rPr>
          <w:rFonts w:hint="default" w:ascii="Times New Roman" w:hAnsi="Times New Roman" w:eastAsia="宋体" w:cs="Times New Roman"/>
          <w:color w:val="auto"/>
        </w:rPr>
        <w:t>00m范围内环境敏感目标有</w:t>
      </w:r>
      <w:r>
        <w:rPr>
          <w:rFonts w:hint="eastAsia" w:cs="Times New Roman"/>
          <w:color w:val="auto"/>
          <w:lang w:val="en-US" w:eastAsia="zh-CN"/>
        </w:rPr>
        <w:t>渔洋山景区</w:t>
      </w:r>
      <w:r>
        <w:rPr>
          <w:rFonts w:hint="default" w:ascii="Times New Roman" w:hAnsi="Times New Roman" w:eastAsia="宋体" w:cs="Times New Roman"/>
          <w:color w:val="auto"/>
        </w:rPr>
        <w:t>，其余均在</w:t>
      </w:r>
      <w:r>
        <w:rPr>
          <w:rFonts w:hint="eastAsia" w:cs="Times New Roman"/>
          <w:color w:val="auto"/>
          <w:lang w:val="en-US" w:eastAsia="zh-CN"/>
        </w:rPr>
        <w:t>5</w:t>
      </w:r>
      <w:r>
        <w:rPr>
          <w:rFonts w:hint="default" w:ascii="Times New Roman" w:hAnsi="Times New Roman" w:eastAsia="宋体" w:cs="Times New Roman"/>
          <w:color w:val="auto"/>
        </w:rPr>
        <w:t>00m</w:t>
      </w:r>
      <w:r>
        <w:rPr>
          <w:rFonts w:hint="eastAsia" w:cs="Times New Roman"/>
          <w:color w:val="auto"/>
          <w:lang w:val="en-US" w:eastAsia="zh-CN"/>
        </w:rPr>
        <w:t>范围</w:t>
      </w:r>
      <w:r>
        <w:rPr>
          <w:rFonts w:hint="default" w:ascii="Times New Roman" w:hAnsi="Times New Roman" w:eastAsia="宋体" w:cs="Times New Roman"/>
          <w:color w:val="auto"/>
        </w:rPr>
        <w:t>外；项目施工过程中会对</w:t>
      </w:r>
      <w:r>
        <w:rPr>
          <w:rFonts w:hint="eastAsia" w:cs="Times New Roman"/>
          <w:color w:val="auto"/>
          <w:lang w:val="en-US" w:eastAsia="zh-CN"/>
        </w:rPr>
        <w:t>渔洋山景区</w:t>
      </w:r>
      <w:r>
        <w:rPr>
          <w:rFonts w:hint="default" w:ascii="Times New Roman" w:hAnsi="Times New Roman" w:eastAsia="宋体" w:cs="Times New Roman"/>
          <w:color w:val="auto"/>
        </w:rPr>
        <w:t>造成</w:t>
      </w:r>
      <w:r>
        <w:rPr>
          <w:rFonts w:hint="eastAsia" w:cs="Times New Roman"/>
          <w:color w:val="auto"/>
          <w:lang w:val="en-US" w:eastAsia="zh-CN"/>
        </w:rPr>
        <w:t>一定</w:t>
      </w:r>
      <w:r>
        <w:rPr>
          <w:rFonts w:hint="default" w:ascii="Times New Roman" w:hAnsi="Times New Roman" w:eastAsia="宋体" w:cs="Times New Roman"/>
          <w:color w:val="auto"/>
        </w:rPr>
        <w:t>程度的影响。为减少施工噪声影响，入场设备均选用低噪声机械或设备；施工工序应依次进行，各施工工序内以主要施工设备运行为主。</w:t>
      </w:r>
    </w:p>
    <w:p>
      <w:pPr>
        <w:spacing w:line="480" w:lineRule="atLeas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施工时，应提前告知</w:t>
      </w:r>
      <w:r>
        <w:rPr>
          <w:rFonts w:hint="eastAsia" w:cs="Times New Roman"/>
          <w:color w:val="auto"/>
          <w:lang w:val="en-US" w:eastAsia="zh-CN"/>
        </w:rPr>
        <w:t>景区管理人员</w:t>
      </w:r>
      <w:r>
        <w:rPr>
          <w:rFonts w:hint="default" w:ascii="Times New Roman" w:hAnsi="Times New Roman" w:eastAsia="宋体" w:cs="Times New Roman"/>
          <w:color w:val="auto"/>
        </w:rPr>
        <w:t>，并及时沟通，对于施工过程可能存在的突发噪声等扰民情况及噪声环保投诉问题，建设单位应积极与受影响</w:t>
      </w:r>
      <w:r>
        <w:rPr>
          <w:rFonts w:hint="eastAsia" w:cs="Times New Roman"/>
          <w:color w:val="auto"/>
          <w:lang w:val="en-US" w:eastAsia="zh-CN"/>
        </w:rPr>
        <w:t>人员</w:t>
      </w:r>
      <w:r>
        <w:rPr>
          <w:rFonts w:hint="default" w:ascii="Times New Roman" w:hAnsi="Times New Roman" w:eastAsia="宋体" w:cs="Times New Roman"/>
          <w:color w:val="auto"/>
        </w:rPr>
        <w:t>进行沟通妥善解决上述矛盾。</w:t>
      </w:r>
    </w:p>
    <w:p>
      <w:pPr>
        <w:spacing w:line="480" w:lineRule="atLeas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总体来说，施工机械噪声对施工区及工程区周边的敏感目标短期内可能会产生短暂的影响。由于分段施工，各施工段河道施工机械产生噪声的时间较短，并且对某一个敏感目标而言，施工时间更短，影响相对较小，同时由于施工过程是临时性的，施工期噪声对敏感点的影响也是短暂的，施工结束后即可恢复；施工期在严格采取各类噪声防护措施，配备优质的隔声设备，可有效控制施工噪声对各敏感点的影响。</w:t>
      </w:r>
    </w:p>
    <w:p>
      <w:pPr>
        <w:spacing w:line="480" w:lineRule="atLeast"/>
        <w:ind w:firstLine="482" w:firstLineChars="200"/>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3、</w:t>
      </w:r>
      <w:r>
        <w:rPr>
          <w:rFonts w:hint="default" w:ascii="Times New Roman" w:hAnsi="Times New Roman" w:eastAsia="宋体" w:cs="Times New Roman"/>
          <w:b/>
          <w:bCs/>
          <w:color w:val="auto"/>
        </w:rPr>
        <w:t>运营期噪声</w:t>
      </w:r>
    </w:p>
    <w:p>
      <w:pPr>
        <w:spacing w:line="480" w:lineRule="atLeas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本项目运营期间无噪声产生。</w:t>
      </w:r>
    </w:p>
    <w:bookmarkEnd w:id="349"/>
    <w:bookmarkEnd w:id="350"/>
    <w:bookmarkEnd w:id="351"/>
    <w:bookmarkEnd w:id="352"/>
    <w:p>
      <w:pPr>
        <w:pStyle w:val="4"/>
        <w:pageBreakBefore w:val="0"/>
        <w:widowControl w:val="0"/>
        <w:tabs>
          <w:tab w:val="left" w:pos="2160"/>
        </w:tabs>
        <w:kinsoku/>
        <w:wordWrap/>
        <w:overflowPunct/>
        <w:topLinePunct w:val="0"/>
        <w:bidi w:val="0"/>
        <w:adjustRightInd/>
        <w:snapToGrid/>
        <w:spacing w:before="0" w:beforeLines="0" w:after="0" w:afterLines="0" w:line="480" w:lineRule="exact"/>
        <w:jc w:val="both"/>
        <w:textAlignment w:val="auto"/>
        <w:rPr>
          <w:rFonts w:hint="default" w:ascii="Times New Roman" w:hAnsi="Times New Roman" w:eastAsia="宋体" w:cs="Times New Roman"/>
          <w:bCs/>
          <w:color w:val="auto"/>
          <w:sz w:val="30"/>
          <w:szCs w:val="30"/>
        </w:rPr>
      </w:pPr>
      <w:bookmarkStart w:id="353" w:name="_Toc312156063"/>
      <w:bookmarkStart w:id="354" w:name="_Toc307410076"/>
      <w:bookmarkStart w:id="355" w:name="_Toc302113266"/>
      <w:bookmarkStart w:id="356" w:name="_Toc507334620"/>
      <w:bookmarkStart w:id="357" w:name="_Toc310244104"/>
      <w:bookmarkStart w:id="358" w:name="_Toc503461657"/>
      <w:bookmarkStart w:id="359" w:name="_Toc492644558"/>
      <w:bookmarkStart w:id="360" w:name="_Toc8755"/>
      <w:r>
        <w:rPr>
          <w:rFonts w:hint="default" w:ascii="Times New Roman" w:hAnsi="Times New Roman" w:eastAsia="宋体" w:cs="Times New Roman"/>
          <w:bCs/>
          <w:color w:val="auto"/>
          <w:sz w:val="30"/>
          <w:szCs w:val="30"/>
        </w:rPr>
        <w:t>5.4固体废物环境影响分析与评价</w:t>
      </w:r>
      <w:bookmarkEnd w:id="353"/>
      <w:bookmarkEnd w:id="354"/>
      <w:bookmarkEnd w:id="355"/>
      <w:bookmarkEnd w:id="356"/>
      <w:bookmarkEnd w:id="357"/>
      <w:bookmarkEnd w:id="358"/>
      <w:bookmarkEnd w:id="359"/>
      <w:bookmarkEnd w:id="360"/>
    </w:p>
    <w:p>
      <w:pPr>
        <w:spacing w:line="480" w:lineRule="atLeast"/>
        <w:ind w:firstLine="482" w:firstLineChars="200"/>
        <w:jc w:val="both"/>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1、施工期</w:t>
      </w:r>
    </w:p>
    <w:p>
      <w:pPr>
        <w:tabs>
          <w:tab w:val="left" w:pos="360"/>
        </w:tabs>
        <w:autoSpaceDE w:val="0"/>
        <w:autoSpaceDN w:val="0"/>
        <w:adjustRightIn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施工期固体废物包括施工人员产生的生活垃圾，建筑工程产生的建筑垃圾等。这些施工废物如不及时清理和妥善处置，或在运输时产生洒落现象，将导致土地被占用或是破坏当地生态环境，将对环境卫生、公众健康及道路交通等产生不利影响，故应高度重视，采取必要措施，加强管理。</w:t>
      </w:r>
    </w:p>
    <w:p>
      <w:pPr>
        <w:tabs>
          <w:tab w:val="left" w:pos="360"/>
        </w:tabs>
        <w:autoSpaceDE w:val="0"/>
        <w:autoSpaceDN w:val="0"/>
        <w:adjustRightIn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w:t>
      </w:r>
      <w:r>
        <w:rPr>
          <w:rFonts w:hint="eastAsia" w:cs="Times New Roman"/>
          <w:color w:val="auto"/>
          <w:lang w:val="en-US" w:eastAsia="zh-CN"/>
        </w:rPr>
        <w:t>工程</w:t>
      </w:r>
      <w:r>
        <w:rPr>
          <w:rFonts w:hint="default" w:ascii="Times New Roman" w:hAnsi="Times New Roman" w:eastAsia="宋体" w:cs="Times New Roman"/>
          <w:color w:val="auto"/>
        </w:rPr>
        <w:t>施工期为</w:t>
      </w:r>
      <w:r>
        <w:rPr>
          <w:rFonts w:hint="eastAsia" w:cs="Times New Roman"/>
          <w:color w:val="auto"/>
          <w:lang w:val="en-US" w:eastAsia="zh-CN"/>
        </w:rPr>
        <w:t>95天，养护期为365天</w:t>
      </w:r>
      <w:r>
        <w:rPr>
          <w:rFonts w:hint="default" w:ascii="Times New Roman" w:hAnsi="Times New Roman" w:eastAsia="宋体" w:cs="Times New Roman"/>
          <w:color w:val="auto"/>
        </w:rPr>
        <w:t>，</w:t>
      </w:r>
      <w:r>
        <w:rPr>
          <w:rFonts w:hint="eastAsia" w:cs="Times New Roman"/>
          <w:color w:val="auto"/>
          <w:lang w:val="en-US" w:eastAsia="zh-CN"/>
        </w:rPr>
        <w:t>生活垃圾</w:t>
      </w:r>
      <w:r>
        <w:rPr>
          <w:rFonts w:hint="default" w:ascii="Times New Roman" w:hAnsi="Times New Roman" w:eastAsia="宋体" w:cs="Times New Roman"/>
          <w:color w:val="auto"/>
        </w:rPr>
        <w:t>按每人每天产生1.0kg 生活垃圾估算，施工期高峰</w:t>
      </w:r>
      <w:r>
        <w:rPr>
          <w:rFonts w:hint="eastAsia" w:cs="Times New Roman"/>
          <w:color w:val="auto"/>
          <w:lang w:val="en-US" w:eastAsia="zh-CN"/>
        </w:rPr>
        <w:t>期人数按20人计，</w:t>
      </w:r>
      <w:r>
        <w:rPr>
          <w:rFonts w:hint="default" w:ascii="Times New Roman" w:hAnsi="Times New Roman" w:eastAsia="宋体" w:cs="Times New Roman"/>
          <w:color w:val="auto"/>
        </w:rPr>
        <w:t>日生活垃圾产生量为</w:t>
      </w:r>
      <w:r>
        <w:rPr>
          <w:rFonts w:hint="eastAsia" w:cs="Times New Roman"/>
          <w:color w:val="auto"/>
          <w:lang w:val="en-US" w:eastAsia="zh-CN"/>
        </w:rPr>
        <w:t>2</w:t>
      </w:r>
      <w:r>
        <w:rPr>
          <w:rFonts w:hint="default" w:ascii="Times New Roman" w:hAnsi="Times New Roman" w:eastAsia="宋体" w:cs="Times New Roman"/>
          <w:color w:val="auto"/>
        </w:rPr>
        <w:t>0kg/d。生活垃圾如随意弃置，不仅污染生活区空气、有碍美观，而且在一定气候条件下可能造成蚊蝇孳生、鼠类繁殖，增加疾病的传播机会，直接影响施工人员身体健康，对工程建设产生不利影响。此外，生活垃圾的各种有机污染物和病菌一旦随地表径流或经其它途径进入河流水体，也将对施工河段水质造成污染，影响周围环境。因此，应对生活垃圾进行处理。</w:t>
      </w:r>
    </w:p>
    <w:p>
      <w:pPr>
        <w:tabs>
          <w:tab w:val="left" w:pos="360"/>
        </w:tabs>
        <w:autoSpaceDE w:val="0"/>
        <w:autoSpaceDN w:val="0"/>
        <w:adjustRightIn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工程施工期间产生的生活垃圾严禁乱抛乱丢，随地倾倒，在人员较集中的地方设置垃圾箱以收集生活垃圾。安排清洁工负责日常生活垃圾的清扫， 并对其进行简单的分类筛选，生活垃圾统一收集后可由地方环卫部门定期清运进行无害化处理。施工区垃圾桶需经常喷洒灭害灵等药水，防止苍蝇等传染媒介孽生，减少生活垃圾对环境和施工人员的健康产生不利影响。</w:t>
      </w:r>
    </w:p>
    <w:p>
      <w:pPr>
        <w:tabs>
          <w:tab w:val="left" w:pos="360"/>
        </w:tabs>
        <w:autoSpaceDE w:val="0"/>
        <w:autoSpaceDN w:val="0"/>
        <w:adjustRightInd w:val="0"/>
        <w:spacing w:line="480" w:lineRule="exact"/>
        <w:ind w:firstLine="482" w:firstLineChars="200"/>
        <w:jc w:val="both"/>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2</w:t>
      </w:r>
      <w:r>
        <w:rPr>
          <w:rFonts w:hint="eastAsia" w:cs="Times New Roman"/>
          <w:b/>
          <w:bCs/>
          <w:color w:val="auto"/>
          <w:lang w:val="en-US" w:eastAsia="zh-CN"/>
        </w:rPr>
        <w:t>、</w:t>
      </w:r>
      <w:r>
        <w:rPr>
          <w:rFonts w:hint="eastAsia" w:ascii="Times New Roman" w:hAnsi="Times New Roman" w:eastAsia="宋体" w:cs="Times New Roman"/>
          <w:b/>
          <w:bCs/>
          <w:color w:val="auto"/>
          <w:lang w:val="en-US" w:eastAsia="zh-CN"/>
        </w:rPr>
        <w:t>运营期</w:t>
      </w:r>
    </w:p>
    <w:p>
      <w:pPr>
        <w:tabs>
          <w:tab w:val="left" w:pos="360"/>
        </w:tabs>
        <w:autoSpaceDE w:val="0"/>
        <w:autoSpaceDN w:val="0"/>
        <w:adjustRightInd w:val="0"/>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项目运营期间，</w:t>
      </w:r>
      <w:r>
        <w:rPr>
          <w:rFonts w:hint="eastAsia" w:ascii="Times New Roman" w:hAnsi="Times New Roman" w:eastAsia="宋体" w:cs="Times New Roman"/>
          <w:color w:val="auto"/>
          <w:lang w:val="en-US" w:eastAsia="zh-CN"/>
        </w:rPr>
        <w:t>水生植物的养护会产生少量的枯枝烂叶，经人工打捞收集后委托环卫部门清运处置</w:t>
      </w:r>
      <w:r>
        <w:rPr>
          <w:rFonts w:hint="eastAsia" w:cs="Times New Roman"/>
          <w:color w:val="auto"/>
          <w:lang w:val="en-US" w:eastAsia="zh-CN"/>
        </w:rPr>
        <w:t>，不会对周边环境产生不利影响。</w:t>
      </w:r>
    </w:p>
    <w:p>
      <w:pPr>
        <w:pStyle w:val="4"/>
        <w:pageBreakBefore w:val="0"/>
        <w:widowControl w:val="0"/>
        <w:tabs>
          <w:tab w:val="left" w:pos="2160"/>
        </w:tabs>
        <w:kinsoku/>
        <w:wordWrap/>
        <w:overflowPunct/>
        <w:topLinePunct w:val="0"/>
        <w:bidi w:val="0"/>
        <w:adjustRightInd/>
        <w:snapToGrid/>
        <w:spacing w:before="0" w:beforeLines="0" w:after="0" w:afterLines="0" w:line="480" w:lineRule="exact"/>
        <w:jc w:val="both"/>
        <w:textAlignment w:val="auto"/>
        <w:rPr>
          <w:rFonts w:hint="default" w:ascii="Times New Roman" w:hAnsi="Times New Roman" w:eastAsia="宋体" w:cs="Times New Roman"/>
          <w:bCs/>
          <w:color w:val="auto"/>
          <w:sz w:val="30"/>
          <w:szCs w:val="30"/>
        </w:rPr>
      </w:pPr>
      <w:bookmarkStart w:id="361" w:name="_Toc1546"/>
      <w:bookmarkStart w:id="362" w:name="_Toc312156064"/>
      <w:bookmarkStart w:id="363" w:name="_Toc492644559"/>
      <w:bookmarkStart w:id="364" w:name="_Toc307410077"/>
      <w:bookmarkStart w:id="365" w:name="_Toc310244105"/>
      <w:bookmarkStart w:id="366" w:name="_Toc507334621"/>
      <w:bookmarkStart w:id="367" w:name="_Toc503461661"/>
      <w:bookmarkStart w:id="368" w:name="_Toc307160568"/>
      <w:r>
        <w:rPr>
          <w:rFonts w:hint="default" w:ascii="Times New Roman" w:hAnsi="Times New Roman" w:eastAsia="宋体" w:cs="Times New Roman"/>
          <w:bCs/>
          <w:color w:val="auto"/>
          <w:sz w:val="30"/>
          <w:szCs w:val="30"/>
        </w:rPr>
        <w:t>5.5生态环境影响分析</w:t>
      </w:r>
      <w:bookmarkEnd w:id="361"/>
    </w:p>
    <w:p>
      <w:pPr>
        <w:pStyle w:val="5"/>
        <w:jc w:val="both"/>
        <w:rPr>
          <w:rFonts w:hint="default" w:ascii="Times New Roman" w:hAnsi="Times New Roman" w:eastAsia="宋体" w:cs="Times New Roman"/>
          <w:color w:val="auto"/>
          <w:lang w:val="en-US" w:eastAsia="zh-CN"/>
        </w:rPr>
      </w:pPr>
      <w:bookmarkStart w:id="369" w:name="_Toc6084"/>
      <w:r>
        <w:rPr>
          <w:rFonts w:hint="default" w:ascii="Times New Roman" w:hAnsi="Times New Roman" w:eastAsia="宋体" w:cs="Times New Roman"/>
          <w:color w:val="auto"/>
          <w:lang w:val="en-US" w:eastAsia="zh-CN"/>
        </w:rPr>
        <w:t>5.5.1工程占地影响分析</w:t>
      </w:r>
      <w:bookmarkEnd w:id="369"/>
    </w:p>
    <w:p>
      <w:pPr>
        <w:widowControl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临时工程破坏了原有地形地貌、植被和生态，通过生态修复恢复甚至改善原有地貌、植被，陆生生态将逐渐恢复，从长远角度看临时工程占地对生态环境的负面影响是暂时的、可逆的。工程实施后，通过相应的水土保持措施及完工后临时占地区的植被恢复措施，可以使工程影响区内的植被在较短时间内得到较好的恢复。</w:t>
      </w:r>
    </w:p>
    <w:p>
      <w:pPr>
        <w:widowControl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本工程临时占地</w:t>
      </w:r>
      <w:r>
        <w:rPr>
          <w:rFonts w:hint="eastAsia" w:cs="Times New Roman"/>
          <w:color w:val="auto"/>
          <w:lang w:val="en-US" w:eastAsia="zh-CN"/>
        </w:rPr>
        <w:t>为网球场</w:t>
      </w:r>
      <w:r>
        <w:rPr>
          <w:rFonts w:hint="eastAsia" w:cs="Times New Roman"/>
          <w:color w:val="auto"/>
          <w:lang w:eastAsia="zh-CN"/>
        </w:rPr>
        <w:t>，</w:t>
      </w:r>
      <w:r>
        <w:rPr>
          <w:rFonts w:hint="eastAsia" w:cs="Times New Roman"/>
          <w:color w:val="auto"/>
          <w:lang w:val="en-US" w:eastAsia="zh-CN"/>
        </w:rPr>
        <w:t>网球场</w:t>
      </w:r>
      <w:r>
        <w:rPr>
          <w:rFonts w:hint="default" w:ascii="Times New Roman" w:hAnsi="Times New Roman" w:eastAsia="宋体" w:cs="Times New Roman"/>
          <w:color w:val="auto"/>
        </w:rPr>
        <w:t>自然组分生物量</w:t>
      </w:r>
      <w:r>
        <w:rPr>
          <w:rFonts w:hint="eastAsia" w:cs="Times New Roman"/>
          <w:color w:val="auto"/>
          <w:lang w:val="en-US" w:eastAsia="zh-CN"/>
        </w:rPr>
        <w:t>较少</w:t>
      </w:r>
      <w:r>
        <w:rPr>
          <w:rFonts w:hint="default" w:ascii="Times New Roman" w:hAnsi="Times New Roman" w:eastAsia="宋体" w:cs="Times New Roman"/>
          <w:color w:val="auto"/>
        </w:rPr>
        <w:t>，</w:t>
      </w:r>
      <w:r>
        <w:rPr>
          <w:rFonts w:hint="eastAsia" w:cs="Times New Roman"/>
          <w:color w:val="auto"/>
          <w:lang w:val="en-US" w:eastAsia="zh-CN"/>
        </w:rPr>
        <w:t>因此本工程临时占地对</w:t>
      </w:r>
      <w:r>
        <w:rPr>
          <w:rFonts w:hint="default" w:ascii="Times New Roman" w:hAnsi="Times New Roman" w:eastAsia="宋体" w:cs="Times New Roman"/>
          <w:color w:val="auto"/>
        </w:rPr>
        <w:t>自然系统生产能力影响</w:t>
      </w:r>
      <w:r>
        <w:rPr>
          <w:rFonts w:hint="eastAsia" w:cs="Times New Roman"/>
          <w:color w:val="auto"/>
          <w:lang w:val="en-US" w:eastAsia="zh-CN"/>
        </w:rPr>
        <w:t>较小</w:t>
      </w:r>
      <w:r>
        <w:rPr>
          <w:rFonts w:hint="default" w:ascii="Times New Roman" w:hAnsi="Times New Roman" w:eastAsia="宋体" w:cs="Times New Roman"/>
          <w:color w:val="auto"/>
        </w:rPr>
        <w:t>。</w:t>
      </w:r>
    </w:p>
    <w:p>
      <w:pPr>
        <w:pStyle w:val="5"/>
        <w:jc w:val="both"/>
        <w:rPr>
          <w:rFonts w:hint="default" w:ascii="Times New Roman" w:hAnsi="Times New Roman" w:eastAsia="宋体" w:cs="Times New Roman"/>
          <w:color w:val="auto"/>
          <w:lang w:val="en-US" w:eastAsia="zh-CN"/>
        </w:rPr>
      </w:pPr>
      <w:bookmarkStart w:id="370" w:name="_Toc20998"/>
      <w:r>
        <w:rPr>
          <w:rFonts w:hint="default" w:ascii="Times New Roman" w:hAnsi="Times New Roman" w:eastAsia="宋体" w:cs="Times New Roman"/>
          <w:color w:val="auto"/>
          <w:lang w:val="en-US" w:eastAsia="zh-CN"/>
        </w:rPr>
        <w:t>5.5.2 工程对渔业资源的影响分析</w:t>
      </w:r>
      <w:bookmarkEnd w:id="370"/>
    </w:p>
    <w:p>
      <w:pPr>
        <w:widowControl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工程运营期对湖泊生态有正面影响，对湖泊生态系统的稳定发展有促进作用。</w:t>
      </w:r>
    </w:p>
    <w:p>
      <w:pPr>
        <w:widowControl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评价区域内湖区鱼类以定居性鱼类为主，主要以喜静、缓流水生境的鱼类为主，兼有少量适应流水生境的鱼类，同时这些鱼类中，又以产粘性卵鱼类为主。这些鱼类在该区域的存在，是与太湖生态系统生态环境相适应的，因为评价区域在一年的绝大部分时间为静缓流水。</w:t>
      </w:r>
      <w:r>
        <w:rPr>
          <w:rFonts w:hint="default" w:ascii="Times New Roman" w:hAnsi="Times New Roman" w:eastAsia="宋体" w:cs="Times New Roman"/>
          <w:color w:val="auto"/>
          <w:lang w:val="en-US" w:eastAsia="zh-CN"/>
        </w:rPr>
        <w:t>本</w:t>
      </w:r>
      <w:r>
        <w:rPr>
          <w:rFonts w:hint="default" w:ascii="Times New Roman" w:hAnsi="Times New Roman" w:eastAsia="宋体" w:cs="Times New Roman"/>
          <w:color w:val="auto"/>
        </w:rPr>
        <w:t>工程不会对流水性鱼类的繁殖、索饵和越冬洄游产生影响。</w:t>
      </w:r>
    </w:p>
    <w:p>
      <w:pPr>
        <w:pStyle w:val="5"/>
        <w:jc w:val="both"/>
        <w:rPr>
          <w:rFonts w:hint="default" w:ascii="Times New Roman" w:hAnsi="Times New Roman" w:eastAsia="宋体" w:cs="Times New Roman"/>
          <w:color w:val="auto"/>
          <w:lang w:val="en-US" w:eastAsia="zh-CN"/>
        </w:rPr>
      </w:pPr>
      <w:bookmarkStart w:id="371" w:name="_Toc8033"/>
      <w:r>
        <w:rPr>
          <w:rFonts w:hint="default" w:ascii="Times New Roman" w:hAnsi="Times New Roman" w:eastAsia="宋体" w:cs="Times New Roman"/>
          <w:color w:val="auto"/>
          <w:lang w:val="en-US" w:eastAsia="zh-CN"/>
        </w:rPr>
        <w:t>5.5.3工程对陆生生物影响分析</w:t>
      </w:r>
      <w:bookmarkEnd w:id="371"/>
    </w:p>
    <w:p>
      <w:pPr>
        <w:widowControl w:val="0"/>
        <w:snapToGrid w:val="0"/>
        <w:spacing w:line="480" w:lineRule="exact"/>
        <w:ind w:firstLine="482" w:firstLineChars="200"/>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1、</w:t>
      </w:r>
      <w:r>
        <w:rPr>
          <w:rFonts w:hint="default" w:ascii="Times New Roman" w:hAnsi="Times New Roman" w:eastAsia="宋体" w:cs="Times New Roman"/>
          <w:b/>
          <w:bCs/>
          <w:color w:val="auto"/>
        </w:rPr>
        <w:t>植物资源</w:t>
      </w:r>
    </w:p>
    <w:p>
      <w:pPr>
        <w:widowControl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本工程临时占地为网球场，</w:t>
      </w:r>
      <w:r>
        <w:rPr>
          <w:rFonts w:hint="eastAsia" w:cs="Times New Roman"/>
          <w:color w:val="auto"/>
          <w:lang w:val="en-US" w:eastAsia="zh-CN"/>
        </w:rPr>
        <w:t>网球场生物量较少，对植被影响较少</w:t>
      </w:r>
      <w:r>
        <w:rPr>
          <w:rFonts w:hint="default" w:ascii="Times New Roman" w:hAnsi="Times New Roman" w:eastAsia="宋体" w:cs="Times New Roman"/>
          <w:color w:val="auto"/>
        </w:rPr>
        <w:t>。</w:t>
      </w:r>
      <w:r>
        <w:rPr>
          <w:rFonts w:hint="eastAsia" w:cs="Times New Roman"/>
          <w:color w:val="auto"/>
          <w:lang w:val="en-US" w:eastAsia="zh-CN"/>
        </w:rPr>
        <w:t>且</w:t>
      </w:r>
      <w:r>
        <w:rPr>
          <w:rFonts w:hint="default" w:ascii="Times New Roman" w:hAnsi="Times New Roman" w:eastAsia="宋体" w:cs="Times New Roman"/>
          <w:color w:val="auto"/>
        </w:rPr>
        <w:t>工程完工后，将</w:t>
      </w:r>
      <w:r>
        <w:rPr>
          <w:rFonts w:hint="eastAsia" w:cs="Times New Roman"/>
          <w:color w:val="auto"/>
          <w:lang w:val="en-US" w:eastAsia="zh-CN"/>
        </w:rPr>
        <w:t>对网球场进行恢复措施，</w:t>
      </w:r>
      <w:r>
        <w:rPr>
          <w:rFonts w:hint="default" w:ascii="Times New Roman" w:hAnsi="Times New Roman" w:eastAsia="宋体" w:cs="Times New Roman"/>
          <w:color w:val="auto"/>
        </w:rPr>
        <w:t>可在一定程度上减缓工程建设对</w:t>
      </w:r>
      <w:r>
        <w:rPr>
          <w:rFonts w:hint="eastAsia" w:cs="Times New Roman"/>
          <w:color w:val="auto"/>
          <w:lang w:val="en-US" w:eastAsia="zh-CN"/>
        </w:rPr>
        <w:t>网球场</w:t>
      </w:r>
      <w:r>
        <w:rPr>
          <w:rFonts w:hint="default" w:ascii="Times New Roman" w:hAnsi="Times New Roman" w:eastAsia="宋体" w:cs="Times New Roman"/>
          <w:color w:val="auto"/>
        </w:rPr>
        <w:t>植被的不利影响。</w:t>
      </w:r>
    </w:p>
    <w:p>
      <w:pPr>
        <w:widowControl w:val="0"/>
        <w:snapToGrid w:val="0"/>
        <w:spacing w:line="480" w:lineRule="exact"/>
        <w:ind w:firstLine="482" w:firstLineChars="200"/>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2、</w:t>
      </w:r>
      <w:r>
        <w:rPr>
          <w:rFonts w:hint="default" w:ascii="Times New Roman" w:hAnsi="Times New Roman" w:eastAsia="宋体" w:cs="Times New Roman"/>
          <w:b/>
          <w:bCs/>
          <w:color w:val="auto"/>
        </w:rPr>
        <w:t>动物资源</w:t>
      </w:r>
    </w:p>
    <w:p>
      <w:pPr>
        <w:widowControl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工程建设期间由于施工人员活动、施工机械、车辆噪声会对建设区域动物产生影响。项目建设范围内没有珍稀濒危保护动物、珍稀野生动植物。</w:t>
      </w:r>
    </w:p>
    <w:p>
      <w:pPr>
        <w:pStyle w:val="5"/>
        <w:jc w:val="both"/>
        <w:rPr>
          <w:rFonts w:hint="default" w:ascii="Times New Roman" w:hAnsi="Times New Roman" w:eastAsia="宋体" w:cs="Times New Roman"/>
          <w:color w:val="auto"/>
          <w:lang w:val="en-US" w:eastAsia="zh-CN"/>
        </w:rPr>
      </w:pPr>
      <w:bookmarkStart w:id="372" w:name="_Toc9119"/>
      <w:r>
        <w:rPr>
          <w:rFonts w:hint="default" w:ascii="Times New Roman" w:hAnsi="Times New Roman" w:eastAsia="宋体" w:cs="Times New Roman"/>
          <w:color w:val="auto"/>
          <w:lang w:val="en-US" w:eastAsia="zh-CN"/>
        </w:rPr>
        <w:t>5.5.4 工程对水生生物的影响分析</w:t>
      </w:r>
      <w:bookmarkEnd w:id="372"/>
    </w:p>
    <w:p>
      <w:pPr>
        <w:widowControl w:val="0"/>
        <w:snapToGrid w:val="0"/>
        <w:spacing w:line="480" w:lineRule="exact"/>
        <w:ind w:firstLine="482" w:firstLineChars="200"/>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1、</w:t>
      </w:r>
      <w:r>
        <w:rPr>
          <w:rFonts w:hint="default" w:ascii="Times New Roman" w:hAnsi="Times New Roman" w:eastAsia="宋体" w:cs="Times New Roman"/>
          <w:b/>
          <w:bCs/>
          <w:color w:val="auto"/>
        </w:rPr>
        <w:t>对鱼类的影响分析</w:t>
      </w:r>
    </w:p>
    <w:p>
      <w:pPr>
        <w:widowControl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（1）施工期</w:t>
      </w:r>
    </w:p>
    <w:p>
      <w:pPr>
        <w:widowControl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1）对鱼类区系组成和种群结构的影响</w:t>
      </w:r>
    </w:p>
    <w:p>
      <w:pPr>
        <w:widowControl w:val="0"/>
        <w:snapToGrid w:val="0"/>
        <w:spacing w:line="480" w:lineRule="exact"/>
        <w:ind w:firstLine="480" w:firstLineChars="200"/>
        <w:jc w:val="both"/>
        <w:rPr>
          <w:rFonts w:hint="default" w:ascii="Times New Roman" w:hAnsi="Times New Roman" w:eastAsia="宋体" w:cs="Times New Roman"/>
          <w:color w:val="auto"/>
        </w:rPr>
      </w:pPr>
      <w:r>
        <w:rPr>
          <w:rFonts w:hint="eastAsia" w:cs="Times New Roman"/>
          <w:color w:val="auto"/>
          <w:lang w:val="en-US" w:eastAsia="zh-CN"/>
        </w:rPr>
        <w:t>本项目</w:t>
      </w:r>
      <w:r>
        <w:rPr>
          <w:rFonts w:hint="default" w:ascii="Times New Roman" w:hAnsi="Times New Roman" w:eastAsia="宋体" w:cs="Times New Roman"/>
          <w:color w:val="auto"/>
        </w:rPr>
        <w:t>工程施工时，将产生底层悬浮物扩散场，悬浮颗粒将直接对生物幼体造成伤害；施工噪音将对施工区鱼类产生惊吓效果，导致一些鱼类个体行为紊乱，从而妨碍其正常索饵；水下施工作业还有可能致死、致伤水下栖息活动的鱼类。这些影响都将影响鱼类的正常生活，使得部分鱼类死亡，但太湖鱼类类型数量丰富，且每年人工增殖放流措施保证了保护区鱼类资源多样性，水下施工不会明显改变鱼类区系组成和种群结构，且施工影响是短暂的、局部的。工程结束后，鱼类生存环境得到极大改善，鱼类区系组成和种群结构将得到恢复。</w:t>
      </w:r>
    </w:p>
    <w:p>
      <w:pPr>
        <w:widowControl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2）对渔业资源的影响</w:t>
      </w:r>
    </w:p>
    <w:p>
      <w:pPr>
        <w:widowControl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工程对渔业资源的影响主要表现在施工期间形成的底层悬浮物沉积物扩散场以及水下施工噪音。</w:t>
      </w:r>
    </w:p>
    <w:p>
      <w:pPr>
        <w:widowControl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悬浮物颗粒将直接对鱼类仔幼体造成伤害，影响胚胎发育。悬浮颗粒物的存在，会阻碍光在水下的透射，减弱真光层厚度，影响光合作用，进而影响浮游植物初级生产力，以浮游植物为饵料的浮游动物的生物量下降，以捕食浮游动物为生的鱼类，由于饵料减少，鱼类丰度可能下降，但是这种影响是局部的、有限的、暂时的。待工程结束后，影响会逐渐消失。</w:t>
      </w:r>
    </w:p>
    <w:p>
      <w:pPr>
        <w:widowControl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一般工程机械作业时的噪音都在 90dB 以上。施工产生的噪音在水下传播较快，并且能量耗散较小，噪音传播区域较大，施工噪音将对施工区鱼类产生惊吓效果，但只要环境噪音声强不超过一定的阈值范围，则不会对鱼类造成明显的伤害或导致其死亡。但在持续噪音刺激下，一些鱼类个体行为紊乱，从而妨碍其正常索饵现象将不可避免。但这种影响是有限的、暂时的，施工结束后，这种影响也会随着消失。</w:t>
      </w:r>
    </w:p>
    <w:p>
      <w:pPr>
        <w:widowControl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3）对鱼类繁殖的影响</w:t>
      </w:r>
    </w:p>
    <w:p>
      <w:pPr>
        <w:widowControl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渔洋山饮用水水源地</w:t>
      </w:r>
      <w:r>
        <w:rPr>
          <w:rFonts w:hint="default" w:ascii="Times New Roman" w:hAnsi="Times New Roman" w:eastAsia="宋体" w:cs="Times New Roman"/>
          <w:color w:val="auto"/>
        </w:rPr>
        <w:t>保护区已无天然的大型定居性鱼类，取而代之的是一些个体小、性成熟早的小型鱼类，保护区施工作业水域面积较小，对保护区小型鱼类繁殖影响程度有限。工程结束后，太湖水生态环境得到改善，有利于鱼类繁殖。</w:t>
      </w:r>
    </w:p>
    <w:p>
      <w:pPr>
        <w:widowControl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（2）运行期</w:t>
      </w:r>
    </w:p>
    <w:p>
      <w:pPr>
        <w:widowControl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工程实施后，</w:t>
      </w:r>
      <w:r>
        <w:rPr>
          <w:rFonts w:hint="default" w:ascii="Times New Roman" w:hAnsi="Times New Roman" w:eastAsia="宋体" w:cs="Times New Roman"/>
          <w:color w:val="auto"/>
          <w:lang w:val="en-US" w:eastAsia="zh-CN"/>
        </w:rPr>
        <w:t>渔洋山水源地</w:t>
      </w:r>
      <w:r>
        <w:rPr>
          <w:rFonts w:hint="default" w:ascii="Times New Roman" w:hAnsi="Times New Roman" w:eastAsia="宋体" w:cs="Times New Roman"/>
          <w:color w:val="auto"/>
        </w:rPr>
        <w:t>保护区水质明显改善</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有利于修复</w:t>
      </w:r>
      <w:r>
        <w:rPr>
          <w:rFonts w:hint="default" w:ascii="Times New Roman" w:hAnsi="Times New Roman" w:eastAsia="宋体" w:cs="Times New Roman"/>
          <w:color w:val="auto"/>
        </w:rPr>
        <w:t xml:space="preserve">湖泊水生生态系统，增强水体的自净能力。工程结束后，水质逐渐改善，更有利于鱼类生长繁殖。 </w:t>
      </w:r>
    </w:p>
    <w:p>
      <w:pPr>
        <w:widowControl w:val="0"/>
        <w:snapToGrid w:val="0"/>
        <w:spacing w:line="480" w:lineRule="exact"/>
        <w:ind w:firstLine="482" w:firstLineChars="200"/>
        <w:jc w:val="both"/>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2、对浮游植物的影响分析</w:t>
      </w:r>
    </w:p>
    <w:p>
      <w:pPr>
        <w:widowControl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浮游植物（主要指藻类）是一群具有叶绿素和其他光合色素，能进行光合作用的低等植物，是自然水体的原始生产者。多数藻类是鱼类或其他水生动物的饵料。工程对浮游植物的影响主要是</w:t>
      </w:r>
      <w:r>
        <w:rPr>
          <w:rFonts w:hint="eastAsia" w:cs="Times New Roman"/>
          <w:color w:val="auto"/>
          <w:lang w:val="en-US" w:eastAsia="zh-CN"/>
        </w:rPr>
        <w:t>工程</w:t>
      </w:r>
      <w:r>
        <w:rPr>
          <w:rFonts w:hint="default" w:ascii="Times New Roman" w:hAnsi="Times New Roman" w:eastAsia="宋体" w:cs="Times New Roman"/>
          <w:color w:val="auto"/>
        </w:rPr>
        <w:t>施工产生的岸边扰动，因水下施工扰动河床，引起局部水域水质浑浊，影响阳光透射，使水中浮游植物光合作用暂时降低，不利于藻类生长繁殖，数量减少。</w:t>
      </w:r>
      <w:r>
        <w:rPr>
          <w:rFonts w:hint="eastAsia" w:cs="Times New Roman"/>
          <w:color w:val="auto"/>
          <w:lang w:val="en-US" w:eastAsia="zh-CN"/>
        </w:rPr>
        <w:t>本项目工程</w:t>
      </w:r>
      <w:r>
        <w:rPr>
          <w:rFonts w:hint="default" w:ascii="Times New Roman" w:hAnsi="Times New Roman" w:eastAsia="宋体" w:cs="Times New Roman"/>
          <w:color w:val="auto"/>
        </w:rPr>
        <w:t>施工范围相对于全湖面积范围较小，因此悬浮物对浮游植物影响范围、影响程度有限。</w:t>
      </w:r>
    </w:p>
    <w:p>
      <w:pPr>
        <w:widowControl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待工程结束后，水体透明度增大，有利于浮游植物光合作用，施工产生的不利影响短时间即可恢复，不会使藻类的数量发生很大变化。</w:t>
      </w:r>
    </w:p>
    <w:p>
      <w:pPr>
        <w:widowControl w:val="0"/>
        <w:snapToGrid w:val="0"/>
        <w:spacing w:line="480" w:lineRule="exact"/>
        <w:ind w:firstLine="482" w:firstLineChars="200"/>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3、</w:t>
      </w:r>
      <w:r>
        <w:rPr>
          <w:rFonts w:hint="default" w:ascii="Times New Roman" w:hAnsi="Times New Roman" w:eastAsia="宋体" w:cs="Times New Roman"/>
          <w:b/>
          <w:bCs/>
          <w:color w:val="auto"/>
        </w:rPr>
        <w:t>对浮游动物的影响分析</w:t>
      </w:r>
    </w:p>
    <w:p>
      <w:pPr>
        <w:widowControl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水域中的浮游动物是许多经济鱼类的重要饵料。浮游动物含有丰富的营养物质，在水域生态系统的食物链和能量转换中，浮游动物与水生植物、底栖动物、浮游植物一起，各占有重要位置。浮游动物与浮游植物一样，在水下工程阶段，因施工影响其正常繁衍。因工程结束逐步得以恢复。太湖生态环境改善，水体透明度增加，在一定程度上有利于原生动物、轮虫及浮游甲壳动物的繁殖，种群结构不会发生大的变化。</w:t>
      </w:r>
    </w:p>
    <w:p>
      <w:pPr>
        <w:widowControl w:val="0"/>
        <w:snapToGrid w:val="0"/>
        <w:spacing w:line="480" w:lineRule="exact"/>
        <w:ind w:firstLine="482" w:firstLineChars="200"/>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4、</w:t>
      </w:r>
      <w:r>
        <w:rPr>
          <w:rFonts w:hint="default" w:ascii="Times New Roman" w:hAnsi="Times New Roman" w:eastAsia="宋体" w:cs="Times New Roman"/>
          <w:b/>
          <w:bCs/>
          <w:color w:val="auto"/>
        </w:rPr>
        <w:t xml:space="preserve"> 对底栖动物的影响分析</w:t>
      </w:r>
    </w:p>
    <w:p>
      <w:pPr>
        <w:widowControl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底栖动物主要有以下五种类型：固着型，固着在水底或水中物体上生活，如管栖多毛类、苔藓动物等；底埋型，埋在水底泥中生活，如大部分多毛类、双壳类；钻蚀型，钻入木石、土岸或水生植物茎叶中生活的动物，如蛀木水虱；底栖型，在水底土壤表面生活，稍能活动，如腹足类软体动物；自由移动型，在水底爬行或在水层游泳一段时间，如水生昆虫。多数底栖动物长期生活在底泥中，具有区域性强，迁移能力弱等特点，对于环境变化通常缺少回避能力，其群落的破坏和重建需要相对较长的时间。</w:t>
      </w:r>
    </w:p>
    <w:p>
      <w:pPr>
        <w:widowControl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干扰是外界生物或非生物因素打乱原有生态群落秩序的现象，水体底栖动物群落对环境干扰会产生响应，底栖动物中寡毛类和水生昆虫的密度和生物量都与水体中总磷和总氮浓度呈显著相关。工程的施工运行不可避免的对施工水域产生干扰，改变水体的物理和化学性质，造成水体和沉积物空间异质性的改变，进而影响底栖动物群落结构特征，降低底栖动物的生物量和渔产潜力。</w:t>
      </w:r>
    </w:p>
    <w:p>
      <w:pPr>
        <w:widowControl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底栖动物主要受影响范围为</w:t>
      </w:r>
      <w:r>
        <w:rPr>
          <w:rFonts w:hint="eastAsia" w:cs="Times New Roman"/>
          <w:color w:val="auto"/>
          <w:lang w:val="en-US" w:eastAsia="zh-CN"/>
        </w:rPr>
        <w:t>本项目</w:t>
      </w:r>
      <w:r>
        <w:rPr>
          <w:rFonts w:hint="default" w:ascii="Times New Roman" w:hAnsi="Times New Roman" w:eastAsia="宋体" w:cs="Times New Roman"/>
          <w:color w:val="auto"/>
        </w:rPr>
        <w:t>水下施工范围，而该施工区域相对于整个太湖的受影响范围是有限的，随着施工期的结束，太湖生态环境整体提高，底栖动物生长环境得到改善，由于施工损失的资源量即可恢复。</w:t>
      </w:r>
    </w:p>
    <w:p>
      <w:pPr>
        <w:widowControl w:val="0"/>
        <w:snapToGrid w:val="0"/>
        <w:spacing w:line="480" w:lineRule="exact"/>
        <w:ind w:firstLine="482" w:firstLineChars="200"/>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5、</w:t>
      </w:r>
      <w:r>
        <w:rPr>
          <w:rFonts w:hint="default" w:ascii="Times New Roman" w:hAnsi="Times New Roman" w:eastAsia="宋体" w:cs="Times New Roman"/>
          <w:b/>
          <w:bCs/>
          <w:color w:val="auto"/>
        </w:rPr>
        <w:t>工程实施后对项目以及周边水生生境影响分析</w:t>
      </w:r>
    </w:p>
    <w:p>
      <w:pPr>
        <w:widowControl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由于近年来，人类在湖区渔业生产的加强，放养鱼类及河蟹对底栖动物的摄食，底栖动物年平均生物量下降明显，特别是大型底栖动物，而小型底栖动物，主要是一些污染指示种，如铜锈环棱螺、纹沼螺等，寡毛类中的苏氏尾蚓及摇蚊幼虫等数量有大幅度增加，生物量也有明显增加。主要是由于太湖每年的水草大量腐烂沉积，底泥有机质十分丰富，使得底栖动物出现小型化，污染指示种大幅度增加。这些都表明太湖在人类活动的干扰下，其环境质量逐渐下降，生物多样性减少，湖泊表现出逐渐富营养化和沼泽化的趋势。</w:t>
      </w:r>
    </w:p>
    <w:p>
      <w:pPr>
        <w:widowControl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工程实施水环境和底质环境被破坏，造成水生生物群落发生较大变化，但这种情况是短期的、可逆的。当施工结束后，施工区域及附近水域的底质环境将逐渐恢复平静，水生生物种类将恢复正常，水域生态环境将逐渐恢复。工程施工过程中将会对涉水施工区域底栖动物和水生植物产生较为显著的影响，使区域底栖动物和水生植物在种类、数量和生物量上出现一定程度的降低，并在短期内难以恢复。</w:t>
      </w:r>
    </w:p>
    <w:p>
      <w:pPr>
        <w:widowControl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工程实施后，水流条件的改善、湖泊污染源的减少，可以促进水体的流动与交换。涉水施工往往对底栖生物产生危害，具体表现在种类、丰富度与生物量的减少，群落结构发生变化，多样性降低。施工后微生物胞外酶活性降低，对沉积物的代谢功能存在显著影响，底栖生物和胞外酶的恢复需要长期的过程。</w:t>
      </w:r>
    </w:p>
    <w:p>
      <w:pPr>
        <w:widowControl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同时工程通过模拟自然界天然净化和修复能力，实施湖区各项生态恢复措施，可以改善湖区及周边的生态环境现状的同时丰富水生态系统多样性。生态修复工程的实施，可使生物多样性及生态多样性有明显的提高，促进整个湖泊生态系统的稳定，改善水体生态环境质量，可改善太湖水流条件和生态环境，并可使水生态环境得到改善。</w:t>
      </w:r>
    </w:p>
    <w:p>
      <w:pPr>
        <w:pStyle w:val="5"/>
        <w:jc w:val="both"/>
        <w:rPr>
          <w:rFonts w:hint="default" w:ascii="Times New Roman" w:hAnsi="Times New Roman" w:eastAsia="宋体" w:cs="Times New Roman"/>
          <w:color w:val="auto"/>
          <w:lang w:val="en-US" w:eastAsia="zh-CN"/>
        </w:rPr>
      </w:pPr>
      <w:bookmarkStart w:id="373" w:name="_Toc28649"/>
      <w:r>
        <w:rPr>
          <w:rFonts w:hint="default" w:ascii="Times New Roman" w:hAnsi="Times New Roman" w:eastAsia="宋体" w:cs="Times New Roman"/>
          <w:color w:val="auto"/>
          <w:lang w:val="en-US" w:eastAsia="zh-CN"/>
        </w:rPr>
        <w:t>5.5.5 生态完整性影响分析</w:t>
      </w:r>
      <w:bookmarkEnd w:id="373"/>
    </w:p>
    <w:p>
      <w:pPr>
        <w:widowControl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）恢复稳定性分析</w:t>
      </w:r>
    </w:p>
    <w:p>
      <w:pPr>
        <w:widowControl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自然体系的恢复稳定性是生态系统被改变后返回原来状态的能力，取决于生态系统内生物量的高低。低等植物恢复能力很强，但对系统的稳定性贡献不大，对自然系统恢复稳定性起决定作用的是具有高生物量的植物。评价区域地带性植被是人工种植、灌丛植被和草地植被，森林植被所占比例较小，所以其区域恢复稳定性一般。对比工程建设前后评价范围内生物量变化情况，可知生物量主要损失在耕地和荒地两种地类上，根据区域恢复稳定性理论，由工程建设引起的生物量损失较易恢复到原有水平。</w:t>
      </w:r>
    </w:p>
    <w:p>
      <w:pPr>
        <w:widowControl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）阻抗稳定性分析</w:t>
      </w:r>
    </w:p>
    <w:p>
      <w:pPr>
        <w:widowControl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自然体系的阻抗稳定性是由生态系统中生物组分的异质化程度来决定的。异质化程度高的生态系统，当某一斑块形成干扰源时，相邻的异质性组分就成为干扰的阻断。</w:t>
      </w:r>
    </w:p>
    <w:p>
      <w:pPr>
        <w:widowControl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由于受经济发展的影响，流域人口呈稳定增长，长期以来对植被的破坏比较严重，由于农耕开垦，自然植被以草地、灌丛为主的自然植被遭到破坏。从某种意义上说，人类活动的规模范围、作用方式、影响强度等因素成为该区域植被及其生境变化与差异的重要原因之一。</w:t>
      </w:r>
    </w:p>
    <w:p>
      <w:pPr>
        <w:widowControl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综上所述，工程对评价区内自然体系稳定影响一般，工程建成后由工程建设引起的生物量损失能够恢复到原有的生物量水平。</w:t>
      </w:r>
    </w:p>
    <w:p>
      <w:pPr>
        <w:pStyle w:val="5"/>
        <w:jc w:val="both"/>
        <w:rPr>
          <w:rFonts w:hint="default" w:ascii="Times New Roman" w:hAnsi="Times New Roman" w:eastAsia="宋体" w:cs="Times New Roman"/>
          <w:color w:val="auto"/>
          <w:lang w:val="en-US" w:eastAsia="zh-CN"/>
        </w:rPr>
      </w:pPr>
      <w:bookmarkStart w:id="374" w:name="_Toc26159"/>
      <w:r>
        <w:rPr>
          <w:rFonts w:hint="default" w:ascii="Times New Roman" w:hAnsi="Times New Roman" w:eastAsia="宋体" w:cs="Times New Roman"/>
          <w:color w:val="auto"/>
          <w:lang w:val="en-US" w:eastAsia="zh-CN"/>
        </w:rPr>
        <w:t>5.5.6工程对重要生态敏感区影响分析</w:t>
      </w:r>
      <w:bookmarkEnd w:id="374"/>
    </w:p>
    <w:p>
      <w:pPr>
        <w:widowControl w:val="0"/>
        <w:snapToGrid w:val="0"/>
        <w:spacing w:line="480" w:lineRule="exact"/>
        <w:ind w:firstLine="482" w:firstLineChars="200"/>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1、</w:t>
      </w:r>
      <w:r>
        <w:rPr>
          <w:rFonts w:hint="default" w:ascii="Times New Roman" w:hAnsi="Times New Roman" w:eastAsia="宋体" w:cs="Times New Roman"/>
          <w:b/>
          <w:bCs/>
          <w:color w:val="auto"/>
        </w:rPr>
        <w:t>对</w:t>
      </w:r>
      <w:r>
        <w:rPr>
          <w:rFonts w:hint="default" w:ascii="Times New Roman" w:hAnsi="Times New Roman" w:eastAsia="宋体" w:cs="Times New Roman"/>
          <w:b/>
          <w:bCs/>
          <w:color w:val="auto"/>
          <w:lang w:val="en-US" w:eastAsia="zh-CN"/>
        </w:rPr>
        <w:t>渔洋山</w:t>
      </w:r>
      <w:r>
        <w:rPr>
          <w:rFonts w:hint="default" w:ascii="Times New Roman" w:hAnsi="Times New Roman" w:eastAsia="宋体" w:cs="Times New Roman"/>
          <w:b/>
          <w:bCs/>
          <w:color w:val="auto"/>
        </w:rPr>
        <w:t>水源地影响分析</w:t>
      </w:r>
    </w:p>
    <w:p>
      <w:pPr>
        <w:widowControl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施工期</w:t>
      </w:r>
    </w:p>
    <w:p>
      <w:pPr>
        <w:widowControl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工程建设为生态工程，工程建设期会有短期对太湖</w:t>
      </w:r>
      <w:r>
        <w:rPr>
          <w:rFonts w:hint="default" w:ascii="Times New Roman" w:hAnsi="Times New Roman" w:eastAsia="宋体" w:cs="Times New Roman"/>
          <w:color w:val="auto"/>
          <w:lang w:val="en-US" w:eastAsia="zh-CN"/>
        </w:rPr>
        <w:t>渔洋山</w:t>
      </w:r>
      <w:r>
        <w:rPr>
          <w:rFonts w:hint="default" w:ascii="Times New Roman" w:hAnsi="Times New Roman" w:eastAsia="宋体" w:cs="Times New Roman"/>
          <w:color w:val="auto"/>
        </w:rPr>
        <w:t>饮用水水源保护区造成影响。本工程生态工程，不属于开发建设活动。</w:t>
      </w:r>
    </w:p>
    <w:p>
      <w:pPr>
        <w:widowControl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施工时一定距离内水域的悬浮物含量增加，水体透明度下降，对水环境产生不利影响，但经沿途自然沉降和稀释后，悬浮物会迅速沉落水底，影响是短期的，同时设置防护帘，仅在</w:t>
      </w:r>
      <w:r>
        <w:rPr>
          <w:rFonts w:hint="eastAsia" w:cs="Times New Roman"/>
          <w:color w:val="auto"/>
          <w:lang w:val="en-US" w:eastAsia="zh-CN"/>
        </w:rPr>
        <w:t>工程</w:t>
      </w:r>
      <w:r>
        <w:rPr>
          <w:rFonts w:hint="default" w:ascii="Times New Roman" w:hAnsi="Times New Roman" w:eastAsia="宋体" w:cs="Times New Roman"/>
          <w:color w:val="auto"/>
        </w:rPr>
        <w:t>范围内引起悬浮物的污染，对太湖水源地取水口基本无影响。施工过程中，建设单位应加强施工管理，并委托有资质的监测单位在水工作业期间进行跟踪监测，对其浊度及悬浮颗粒变化等进行监测，以便及时监测水质变化情况，如若发现超标，及时调整工艺、工期采取有效措施进行水质达标控制。</w:t>
      </w:r>
    </w:p>
    <w:p>
      <w:pPr>
        <w:widowControl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运行期</w:t>
      </w:r>
    </w:p>
    <w:p>
      <w:pPr>
        <w:widowControl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工程的实施可使太湖水体有序流动，改善水动力条件，太湖水质改善和水环境功能达标</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有利于修复及完善湖泊水生生态系统，增强水体的自净能力。工程建成后，有利于调蓄水源，保护太湖水资源，有利于饮用水水源地主导生态功能保护。</w:t>
      </w:r>
    </w:p>
    <w:bookmarkEnd w:id="362"/>
    <w:bookmarkEnd w:id="363"/>
    <w:bookmarkEnd w:id="364"/>
    <w:bookmarkEnd w:id="365"/>
    <w:bookmarkEnd w:id="366"/>
    <w:bookmarkEnd w:id="367"/>
    <w:bookmarkEnd w:id="368"/>
    <w:p>
      <w:pPr>
        <w:pStyle w:val="4"/>
        <w:pageBreakBefore w:val="0"/>
        <w:widowControl w:val="0"/>
        <w:tabs>
          <w:tab w:val="left" w:pos="2160"/>
        </w:tabs>
        <w:kinsoku/>
        <w:wordWrap/>
        <w:overflowPunct/>
        <w:topLinePunct w:val="0"/>
        <w:bidi w:val="0"/>
        <w:adjustRightInd/>
        <w:snapToGrid/>
        <w:spacing w:before="0" w:beforeLines="0" w:after="0" w:afterLines="0" w:line="480" w:lineRule="exact"/>
        <w:jc w:val="both"/>
        <w:textAlignment w:val="auto"/>
        <w:rPr>
          <w:rFonts w:hint="default" w:ascii="Times New Roman" w:hAnsi="Times New Roman" w:eastAsia="宋体" w:cs="Times New Roman"/>
          <w:bCs/>
          <w:color w:val="auto"/>
          <w:sz w:val="30"/>
          <w:szCs w:val="30"/>
        </w:rPr>
      </w:pPr>
      <w:bookmarkStart w:id="375" w:name="_Toc8818"/>
      <w:bookmarkStart w:id="376" w:name="_Toc2779579"/>
      <w:bookmarkStart w:id="377" w:name="_Toc32605"/>
      <w:r>
        <w:rPr>
          <w:rFonts w:hint="default" w:ascii="Times New Roman" w:hAnsi="Times New Roman" w:eastAsia="宋体" w:cs="Times New Roman"/>
          <w:bCs/>
          <w:color w:val="auto"/>
          <w:sz w:val="30"/>
          <w:szCs w:val="30"/>
        </w:rPr>
        <w:t>5.</w:t>
      </w:r>
      <w:bookmarkEnd w:id="375"/>
      <w:r>
        <w:rPr>
          <w:rFonts w:hint="default" w:ascii="Times New Roman" w:hAnsi="Times New Roman" w:eastAsia="宋体" w:cs="Times New Roman"/>
          <w:bCs/>
          <w:color w:val="auto"/>
          <w:sz w:val="30"/>
          <w:szCs w:val="30"/>
          <w:lang w:val="en-US" w:eastAsia="zh-CN"/>
        </w:rPr>
        <w:t>6</w:t>
      </w:r>
      <w:r>
        <w:rPr>
          <w:rFonts w:hint="default" w:ascii="Times New Roman" w:hAnsi="Times New Roman" w:eastAsia="宋体" w:cs="Times New Roman"/>
          <w:bCs/>
          <w:color w:val="auto"/>
          <w:sz w:val="30"/>
          <w:szCs w:val="30"/>
        </w:rPr>
        <w:t>环境风险影响评价分析</w:t>
      </w:r>
      <w:bookmarkEnd w:id="376"/>
      <w:bookmarkEnd w:id="377"/>
    </w:p>
    <w:p>
      <w:pPr>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default" w:ascii="Times New Roman" w:hAnsi="Times New Roman" w:eastAsia="宋体" w:cs="Times New Roman"/>
          <w:color w:val="auto"/>
        </w:rPr>
      </w:pPr>
      <w:bookmarkStart w:id="378" w:name="_Toc4270"/>
      <w:bookmarkStart w:id="379" w:name="_Toc4565673"/>
      <w:r>
        <w:rPr>
          <w:rFonts w:hint="default" w:ascii="Times New Roman" w:hAnsi="Times New Roman" w:eastAsia="宋体" w:cs="Times New Roman"/>
          <w:color w:val="auto"/>
        </w:rPr>
        <w:t>环境风险是指突发性事故对环境（健康）危害程度。建设项目环境风险评价的目的是对建设项目建设和运行期间发生的可预测的突发性事件或事故(一般不包括人为破坏及自然灾害)引起有毒有害、易燃易爆等物质泄漏、或突发事件产生的新的有毒有害物质所造成的对人身安全与环境的影响和损害进行评估，提出防范、应急与减缓措施，以使建设项目事故率、损失和环境影响达到可接受水平。</w:t>
      </w:r>
    </w:p>
    <w:p>
      <w:pPr>
        <w:pStyle w:val="5"/>
        <w:jc w:val="both"/>
        <w:rPr>
          <w:rFonts w:hint="default" w:ascii="Times New Roman" w:hAnsi="Times New Roman" w:eastAsia="宋体" w:cs="Times New Roman"/>
          <w:color w:val="auto"/>
          <w:lang w:val="en-US" w:eastAsia="zh-CN"/>
        </w:rPr>
      </w:pPr>
      <w:bookmarkStart w:id="380" w:name="_Toc22398"/>
      <w:r>
        <w:rPr>
          <w:rFonts w:hint="default" w:ascii="Times New Roman" w:hAnsi="Times New Roman" w:eastAsia="宋体" w:cs="Times New Roman"/>
          <w:color w:val="auto"/>
          <w:lang w:val="en-US" w:eastAsia="zh-CN"/>
        </w:rPr>
        <w:t>5.6.1 环境风险因素调查</w:t>
      </w:r>
      <w:bookmarkEnd w:id="380"/>
    </w:p>
    <w:p>
      <w:pPr>
        <w:pageBreakBefore w:val="0"/>
        <w:widowControl w:val="0"/>
        <w:kinsoku/>
        <w:wordWrap/>
        <w:overflowPunct/>
        <w:topLinePunct w:val="0"/>
        <w:autoSpaceDE/>
        <w:autoSpaceDN/>
        <w:bidi w:val="0"/>
        <w:adjustRightInd/>
        <w:snapToGrid w:val="0"/>
        <w:spacing w:line="480" w:lineRule="exact"/>
        <w:ind w:firstLine="482" w:firstLineChars="200"/>
        <w:jc w:val="both"/>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1、</w:t>
      </w:r>
      <w:r>
        <w:rPr>
          <w:rFonts w:hint="default" w:ascii="Times New Roman" w:hAnsi="Times New Roman" w:eastAsia="宋体" w:cs="Times New Roman"/>
          <w:b/>
          <w:bCs/>
          <w:color w:val="auto"/>
        </w:rPr>
        <w:t>风险源项分析</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通过对工程性质、工程量和工程所处地段环境敏感性的分析。本工程为</w:t>
      </w:r>
      <w:r>
        <w:rPr>
          <w:rFonts w:hint="default" w:ascii="Times New Roman" w:hAnsi="Times New Roman" w:eastAsia="宋体" w:cs="Times New Roman"/>
          <w:color w:val="auto"/>
          <w:lang w:val="en-US" w:eastAsia="zh-CN"/>
        </w:rPr>
        <w:t>生态修复项目</w:t>
      </w:r>
      <w:r>
        <w:rPr>
          <w:rFonts w:hint="default" w:ascii="Times New Roman" w:hAnsi="Times New Roman" w:eastAsia="宋体" w:cs="Times New Roman"/>
          <w:color w:val="auto"/>
        </w:rPr>
        <w:t>，属于典型的非污染生态影响型建设项目，项目涉及太湖</w:t>
      </w:r>
      <w:r>
        <w:rPr>
          <w:rFonts w:hint="default" w:ascii="Times New Roman" w:hAnsi="Times New Roman" w:eastAsia="宋体" w:cs="Times New Roman"/>
          <w:color w:val="auto"/>
          <w:lang w:val="en-US" w:eastAsia="zh-CN"/>
        </w:rPr>
        <w:t>渔洋山</w:t>
      </w:r>
      <w:r>
        <w:rPr>
          <w:rFonts w:hint="default" w:ascii="Times New Roman" w:hAnsi="Times New Roman" w:eastAsia="宋体" w:cs="Times New Roman"/>
          <w:color w:val="auto"/>
        </w:rPr>
        <w:t>饮用水水源保护区及用水源取水口；主要环境风险为施工期及营运期对饮用水水源保护区的风险。</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施工期环境风险因素调查</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项目施工期间不涉及使用炸药，施工过程中汽（柴）油等均从工程区附近城镇采购供应，随用随买，因而施工现场不布置油库。</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施工期存在的主要环境风险包括：①施工期</w:t>
      </w:r>
      <w:r>
        <w:rPr>
          <w:rFonts w:hint="eastAsia" w:cs="Times New Roman"/>
          <w:color w:val="auto"/>
          <w:lang w:val="en-US" w:eastAsia="zh-CN"/>
        </w:rPr>
        <w:t>的水下作业和</w:t>
      </w:r>
      <w:r>
        <w:rPr>
          <w:rFonts w:hint="default" w:ascii="Times New Roman" w:hAnsi="Times New Roman" w:eastAsia="宋体" w:cs="Times New Roman"/>
          <w:color w:val="auto"/>
        </w:rPr>
        <w:t>施工设备油等的泄露对饮用水源保护区及水源取水口造成水质污染事故的风险。②施工期施工人员生活污水、施工设备及车辆冲洗废水等施工废水等无序排放对饮用水源保护区及水源取水口造成水质污染事故的风险。③施工期各由于来往车量较多，若机械设备不及时维修保养，可能发生车辆碰撞、侧翻等交通事故造成石油类泄漏或运输物料的倾落的风险，进而对水质造成不利影响。</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营运期环境风险因素调查</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工程建成后，基本上不产生</w:t>
      </w:r>
      <w:r>
        <w:rPr>
          <w:rFonts w:hint="eastAsia" w:cs="Times New Roman"/>
          <w:color w:val="auto"/>
          <w:lang w:eastAsia="zh-CN"/>
        </w:rPr>
        <w:t>“</w:t>
      </w:r>
      <w:r>
        <w:rPr>
          <w:rFonts w:hint="default" w:ascii="Times New Roman" w:hAnsi="Times New Roman" w:eastAsia="宋体" w:cs="Times New Roman"/>
          <w:color w:val="auto"/>
        </w:rPr>
        <w:t>三废</w:t>
      </w:r>
      <w:r>
        <w:rPr>
          <w:rFonts w:hint="eastAsia" w:cs="Times New Roman"/>
          <w:color w:val="auto"/>
          <w:lang w:eastAsia="zh-CN"/>
        </w:rPr>
        <w:t>”</w:t>
      </w:r>
      <w:r>
        <w:rPr>
          <w:rFonts w:hint="default" w:ascii="Times New Roman" w:hAnsi="Times New Roman" w:eastAsia="宋体" w:cs="Times New Roman"/>
          <w:color w:val="auto"/>
        </w:rPr>
        <w:t>污染，运行期对环境的不利影响很小，但若取水泵站出现油泄漏将对下游水质产生一定的不良影响，因此，泵站漏油是运行期的环境风险之一。建议在各集水井设油水分离器处理，废油交有资质单位回收处理，水质处理达标后尽量回用；另一方面，应严格按照设计进行设备选型，防止漏油事故发生。</w:t>
      </w:r>
    </w:p>
    <w:p>
      <w:pPr>
        <w:pStyle w:val="5"/>
        <w:jc w:val="both"/>
        <w:rPr>
          <w:rFonts w:hint="default" w:ascii="Times New Roman" w:hAnsi="Times New Roman" w:eastAsia="宋体" w:cs="Times New Roman"/>
          <w:color w:val="auto"/>
          <w:lang w:val="en-US" w:eastAsia="zh-CN"/>
        </w:rPr>
      </w:pPr>
      <w:bookmarkStart w:id="381" w:name="_Toc23823"/>
      <w:r>
        <w:rPr>
          <w:rFonts w:hint="default" w:ascii="Times New Roman" w:hAnsi="Times New Roman" w:eastAsia="宋体" w:cs="Times New Roman"/>
          <w:color w:val="auto"/>
          <w:lang w:val="en-US" w:eastAsia="zh-CN"/>
        </w:rPr>
        <w:t>5.6.2环境风险潜势初判</w:t>
      </w:r>
      <w:bookmarkEnd w:id="381"/>
    </w:p>
    <w:p>
      <w:pPr>
        <w:tabs>
          <w:tab w:val="left" w:pos="1666"/>
        </w:tabs>
        <w:spacing w:line="500" w:lineRule="exact"/>
        <w:ind w:firstLine="480" w:firstLineChars="20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项目施工期、营运期基本无危险物质等风险源</w:t>
      </w:r>
      <w:r>
        <w:rPr>
          <w:rFonts w:hint="default" w:ascii="Times New Roman" w:hAnsi="Times New Roman" w:eastAsia="宋体" w:cs="Times New Roman"/>
          <w:color w:val="auto"/>
          <w:lang w:eastAsia="zh-CN"/>
        </w:rPr>
        <w:t>。根据《建设项目环境风险评价技术导则》（HJ/T169-2018）附录C</w:t>
      </w:r>
      <w:r>
        <w:rPr>
          <w:rFonts w:hint="default" w:ascii="Times New Roman" w:hAnsi="Times New Roman" w:eastAsia="宋体" w:cs="Times New Roman"/>
          <w:color w:val="auto"/>
          <w:lang w:val="en-US" w:eastAsia="zh-CN"/>
        </w:rPr>
        <w:t>计算</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本项目</w:t>
      </w:r>
      <w:r>
        <w:rPr>
          <w:rFonts w:hint="default" w:ascii="Times New Roman" w:hAnsi="Times New Roman" w:eastAsia="宋体" w:cs="Times New Roman"/>
          <w:color w:val="auto"/>
          <w:lang w:eastAsia="zh-CN"/>
        </w:rPr>
        <w:t>危险物质数量与临界量的比值（Q）为0，Q&lt;1，因此</w:t>
      </w:r>
      <w:r>
        <w:rPr>
          <w:rFonts w:hint="default" w:ascii="Times New Roman" w:hAnsi="Times New Roman" w:eastAsia="宋体" w:cs="Times New Roman"/>
          <w:color w:val="auto"/>
          <w:lang w:val="en-US" w:eastAsia="zh-CN"/>
        </w:rPr>
        <w:t>本</w:t>
      </w:r>
      <w:r>
        <w:rPr>
          <w:rFonts w:hint="default" w:ascii="Times New Roman" w:hAnsi="Times New Roman" w:eastAsia="宋体" w:cs="Times New Roman"/>
          <w:color w:val="auto"/>
          <w:lang w:eastAsia="zh-CN"/>
        </w:rPr>
        <w:t>项目环境风险潜势为I。</w:t>
      </w:r>
    </w:p>
    <w:p>
      <w:pPr>
        <w:pStyle w:val="5"/>
        <w:jc w:val="both"/>
        <w:rPr>
          <w:rFonts w:hint="default" w:ascii="Times New Roman" w:hAnsi="Times New Roman" w:eastAsia="宋体" w:cs="Times New Roman"/>
          <w:color w:val="auto"/>
          <w:lang w:val="en-US" w:eastAsia="zh-CN"/>
        </w:rPr>
      </w:pPr>
      <w:bookmarkStart w:id="382" w:name="_Toc30642"/>
      <w:r>
        <w:rPr>
          <w:rFonts w:hint="default" w:ascii="Times New Roman" w:hAnsi="Times New Roman" w:eastAsia="宋体" w:cs="Times New Roman"/>
          <w:color w:val="auto"/>
          <w:lang w:val="en-US" w:eastAsia="zh-CN"/>
        </w:rPr>
        <w:t>5.6.3环境风险评价等级</w:t>
      </w:r>
      <w:bookmarkEnd w:id="382"/>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本项目施工期环境风险潜势为I，运行期主要为施工水污染事故的风险。根据《建设项目环境风险评价技术导则》（HJ169-2018）评价工作等级划分要求，确定本项目环境风险进行简要分析。</w:t>
      </w:r>
    </w:p>
    <w:p>
      <w:pPr>
        <w:pStyle w:val="5"/>
        <w:jc w:val="both"/>
        <w:rPr>
          <w:rFonts w:hint="default" w:ascii="Times New Roman" w:hAnsi="Times New Roman" w:eastAsia="宋体" w:cs="Times New Roman"/>
          <w:color w:val="auto"/>
          <w:lang w:val="en-US" w:eastAsia="zh-CN"/>
        </w:rPr>
      </w:pPr>
      <w:bookmarkStart w:id="383" w:name="_Toc26168"/>
      <w:r>
        <w:rPr>
          <w:rFonts w:hint="default" w:ascii="Times New Roman" w:hAnsi="Times New Roman" w:eastAsia="宋体" w:cs="Times New Roman"/>
          <w:color w:val="auto"/>
          <w:lang w:val="en-US" w:eastAsia="zh-CN"/>
        </w:rPr>
        <w:t>5.6.4环境风险识别</w:t>
      </w:r>
      <w:bookmarkEnd w:id="383"/>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1、施工期环境风险识别</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施工期间不涉及使用炸药，本工程中汽（柴）油等均从工程区附近城镇采购供应，随用随买，因而施工现场不布置油库。施工期存在的主要环境风险包括：</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本项目为</w:t>
      </w:r>
      <w:r>
        <w:rPr>
          <w:rFonts w:hint="eastAsia" w:cs="Times New Roman"/>
          <w:color w:val="auto"/>
          <w:lang w:val="en-US" w:eastAsia="zh-CN"/>
        </w:rPr>
        <w:t>生态修复工程项目</w:t>
      </w:r>
      <w:r>
        <w:rPr>
          <w:rFonts w:hint="default" w:ascii="Times New Roman" w:hAnsi="Times New Roman" w:eastAsia="宋体" w:cs="Times New Roman"/>
          <w:color w:val="auto"/>
        </w:rPr>
        <w:t>，运营期基本不会对水源地产生风险影响。对太湖</w:t>
      </w:r>
      <w:r>
        <w:rPr>
          <w:rFonts w:hint="default" w:ascii="Times New Roman" w:hAnsi="Times New Roman" w:eastAsia="宋体" w:cs="Times New Roman"/>
          <w:color w:val="auto"/>
          <w:lang w:val="en-US" w:eastAsia="zh-CN"/>
        </w:rPr>
        <w:t>渔洋山</w:t>
      </w:r>
      <w:r>
        <w:rPr>
          <w:rFonts w:hint="default" w:ascii="Times New Roman" w:hAnsi="Times New Roman" w:eastAsia="宋体" w:cs="Times New Roman"/>
          <w:color w:val="auto"/>
        </w:rPr>
        <w:t>饮用水水源保护区的风险影响主要来自于施工期间。</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本工程施工期对饮用水取水口的风险影响主要来源于施工期</w:t>
      </w:r>
      <w:r>
        <w:rPr>
          <w:rFonts w:hint="eastAsia" w:cs="Times New Roman"/>
          <w:color w:val="auto"/>
          <w:lang w:val="en-US" w:eastAsia="zh-CN"/>
        </w:rPr>
        <w:t>水下作业</w:t>
      </w:r>
      <w:r>
        <w:rPr>
          <w:rFonts w:hint="default" w:ascii="Times New Roman" w:hAnsi="Times New Roman" w:eastAsia="宋体" w:cs="Times New Roman"/>
          <w:color w:val="auto"/>
        </w:rPr>
        <w:t>施工工艺不佳造成的悬浮物浓度上升，以及施工机械事故导致的溢油影响。</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施工期施工人员生活污水、施工设备及车辆冲洗废水等施工废水等无序排放对饮用水源保护区及水源取水口造成水质污染事故的风险。</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施工期各由于来往车量较多，若机械设备不及时维修保养，可能发生车辆碰撞、侧翻等交通事故造成石油类泄漏或运输物料的倾落的风险，进入太湖，对饮用水源保护区水体水质造成不利影响。</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2、营运期环境风险识别</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工程建成后，基本上不产生</w:t>
      </w:r>
      <w:r>
        <w:rPr>
          <w:rFonts w:hint="eastAsia" w:cs="Times New Roman"/>
          <w:color w:val="auto"/>
          <w:lang w:eastAsia="zh-CN"/>
        </w:rPr>
        <w:t>“</w:t>
      </w:r>
      <w:r>
        <w:rPr>
          <w:rFonts w:hint="default" w:ascii="Times New Roman" w:hAnsi="Times New Roman" w:eastAsia="宋体" w:cs="Times New Roman"/>
          <w:color w:val="auto"/>
        </w:rPr>
        <w:t>三废</w:t>
      </w:r>
      <w:r>
        <w:rPr>
          <w:rFonts w:hint="eastAsia" w:cs="Times New Roman"/>
          <w:color w:val="auto"/>
          <w:lang w:eastAsia="zh-CN"/>
        </w:rPr>
        <w:t>”</w:t>
      </w:r>
      <w:r>
        <w:rPr>
          <w:rFonts w:hint="default" w:ascii="Times New Roman" w:hAnsi="Times New Roman" w:eastAsia="宋体" w:cs="Times New Roman"/>
          <w:color w:val="auto"/>
        </w:rPr>
        <w:t>污染，运行期对环境的不利影响很小，但若取水泵站出现油泄漏将对下游水质产生一定的不良影响，因此，泵站漏油是运行期的环境风险之一。</w:t>
      </w:r>
    </w:p>
    <w:p>
      <w:pPr>
        <w:pStyle w:val="5"/>
        <w:jc w:val="both"/>
        <w:rPr>
          <w:rFonts w:hint="default" w:ascii="Times New Roman" w:hAnsi="Times New Roman" w:eastAsia="宋体" w:cs="Times New Roman"/>
          <w:color w:val="auto"/>
          <w:lang w:val="en-US" w:eastAsia="zh-CN"/>
        </w:rPr>
      </w:pPr>
      <w:bookmarkStart w:id="384" w:name="_Toc24069"/>
      <w:r>
        <w:rPr>
          <w:rFonts w:hint="default" w:ascii="Times New Roman" w:hAnsi="Times New Roman" w:eastAsia="宋体" w:cs="Times New Roman"/>
          <w:color w:val="auto"/>
          <w:lang w:val="en-US" w:eastAsia="zh-CN"/>
        </w:rPr>
        <w:t>5.6.5环境风险分析</w:t>
      </w:r>
      <w:bookmarkEnd w:id="384"/>
    </w:p>
    <w:p>
      <w:pPr>
        <w:tabs>
          <w:tab w:val="left" w:pos="1666"/>
        </w:tabs>
        <w:spacing w:line="500" w:lineRule="exact"/>
        <w:ind w:firstLine="482" w:firstLineChars="200"/>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1、</w:t>
      </w:r>
      <w:r>
        <w:rPr>
          <w:rFonts w:hint="default" w:ascii="Times New Roman" w:hAnsi="Times New Roman" w:eastAsia="宋体" w:cs="Times New Roman"/>
          <w:b/>
          <w:bCs/>
          <w:color w:val="auto"/>
        </w:rPr>
        <w:t>施工期环境风险影响分析</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1）源项分析</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根据本工程施工特点、周围环境特点以及工程与周围环境之间的关系，本工程施工期存在的环境风险主要来自①施工期施工人员生活污水、车辆等冲洗废水等无序排放可能造成的湖泊水质污染事故；②因施工期环境管理不善、设备损坏，</w:t>
      </w:r>
      <w:r>
        <w:rPr>
          <w:rFonts w:hint="eastAsia" w:cs="Times New Roman"/>
          <w:color w:val="auto"/>
          <w:lang w:val="en-US" w:eastAsia="zh-CN"/>
        </w:rPr>
        <w:t>水下工程</w:t>
      </w:r>
      <w:r>
        <w:rPr>
          <w:rFonts w:hint="default" w:ascii="Times New Roman" w:hAnsi="Times New Roman" w:eastAsia="宋体" w:cs="Times New Roman"/>
          <w:color w:val="auto"/>
        </w:rPr>
        <w:t>施工时，施工机械的油污跑冒滴漏、施工废渣排放事故进入水体会对水质产生影响；③施工期各由于来往车量较多，若机械设备不及时维修保养，可能发生车辆碰撞、侧翻等交通事故造成石油类泄漏或运输物料的倾落的风险，进而对水质造成不利影响。</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2）风险及危害分析</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本工程中汽（柴）油等均从工程区附近城镇采购供应，随用随买，因而施工现场不布置油库。因此导致该风险的可能性较小。</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施工过程中严格执行各项污染防治措施，对湖泊及下游水体水质和生态环境造成破坏的风险较小。</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由于工程区内，交通线路发达，来往车量较多，可能发生车辆碰撞或侧翻等事故，施工期存在一定交通事故风险，一旦发生车辆漏油、运输车辆物料以及其他运输的物料倾泄事故，可能对河道水质造成不利影响。根据施工期安排，本工程物料运输相对于一般公路而言运输量较小，因此发生事故概率较小。</w:t>
      </w:r>
    </w:p>
    <w:p>
      <w:pPr>
        <w:tabs>
          <w:tab w:val="left" w:pos="1666"/>
        </w:tabs>
        <w:spacing w:line="500" w:lineRule="exact"/>
        <w:ind w:firstLine="482" w:firstLineChars="200"/>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2、</w:t>
      </w:r>
      <w:r>
        <w:rPr>
          <w:rFonts w:hint="default" w:ascii="Times New Roman" w:hAnsi="Times New Roman" w:eastAsia="宋体" w:cs="Times New Roman"/>
          <w:b/>
          <w:bCs/>
          <w:color w:val="auto"/>
        </w:rPr>
        <w:t>营运期环境风险影响分析</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工程建成后，基本上不产生</w:t>
      </w:r>
      <w:r>
        <w:rPr>
          <w:rFonts w:hint="eastAsia" w:cs="Times New Roman"/>
          <w:color w:val="auto"/>
          <w:lang w:eastAsia="zh-CN"/>
        </w:rPr>
        <w:t>“</w:t>
      </w:r>
      <w:r>
        <w:rPr>
          <w:rFonts w:hint="default" w:ascii="Times New Roman" w:hAnsi="Times New Roman" w:eastAsia="宋体" w:cs="Times New Roman"/>
          <w:color w:val="auto"/>
        </w:rPr>
        <w:t>三废</w:t>
      </w:r>
      <w:r>
        <w:rPr>
          <w:rFonts w:hint="eastAsia" w:cs="Times New Roman"/>
          <w:color w:val="auto"/>
          <w:lang w:eastAsia="zh-CN"/>
        </w:rPr>
        <w:t>”</w:t>
      </w:r>
      <w:r>
        <w:rPr>
          <w:rFonts w:hint="default" w:ascii="Times New Roman" w:hAnsi="Times New Roman" w:eastAsia="宋体" w:cs="Times New Roman"/>
          <w:color w:val="auto"/>
        </w:rPr>
        <w:t>污染，运行期对环境的不利影响很小，但若取水泵站出现油泄漏将对下游水质产生一定的不良影响，因此，泵站漏油是运行期的环境风险之一。建议在各集水井设油水分离器处理，废油交有资质单位回收处理，水质处理达标后尽量回用；另一方面，应严格按照设计进行设备选型，防止漏油事故发生。</w:t>
      </w:r>
    </w:p>
    <w:p>
      <w:pPr>
        <w:pStyle w:val="5"/>
        <w:jc w:val="both"/>
        <w:rPr>
          <w:rFonts w:hint="default" w:ascii="Times New Roman" w:hAnsi="Times New Roman" w:eastAsia="宋体" w:cs="Times New Roman"/>
          <w:color w:val="auto"/>
          <w:lang w:val="en-US" w:eastAsia="zh-CN"/>
        </w:rPr>
      </w:pPr>
      <w:bookmarkStart w:id="385" w:name="_Toc28782"/>
      <w:r>
        <w:rPr>
          <w:rFonts w:hint="default" w:ascii="Times New Roman" w:hAnsi="Times New Roman" w:eastAsia="宋体" w:cs="Times New Roman"/>
          <w:color w:val="auto"/>
          <w:lang w:val="en-US" w:eastAsia="zh-CN"/>
        </w:rPr>
        <w:t>5.6.6环境风险事故防范措施</w:t>
      </w:r>
      <w:bookmarkEnd w:id="385"/>
    </w:p>
    <w:p>
      <w:pPr>
        <w:tabs>
          <w:tab w:val="left" w:pos="1666"/>
        </w:tabs>
        <w:spacing w:line="500" w:lineRule="exact"/>
        <w:ind w:firstLine="482" w:firstLineChars="200"/>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1、</w:t>
      </w:r>
      <w:r>
        <w:rPr>
          <w:rFonts w:hint="default" w:ascii="Times New Roman" w:hAnsi="Times New Roman" w:eastAsia="宋体" w:cs="Times New Roman"/>
          <w:b/>
          <w:bCs/>
          <w:color w:val="auto"/>
        </w:rPr>
        <w:t>施工期环境风险防范措施</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1）建立风险监控台帐</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工程开工时，各级风险管理职能部门均应建立完善的风险监控台帐，风险管理系统的动态性决定了风险监控台帐的动态性和不确定性，随着工程的进展，监控台帐中的风险控制因素应不断更新、完善。监控台帐中应明确潜在危险源的部位、风险危害程度、预控措施、各级负责人、更新记录等相关信息，针对重大危险源应附注风险评估纪要、专项安全施工方案，并对全体参建员工进行公示。</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2）实行环境风险过程控制</w:t>
      </w:r>
    </w:p>
    <w:p>
      <w:pPr>
        <w:tabs>
          <w:tab w:val="left" w:pos="1666"/>
        </w:tabs>
        <w:spacing w:line="500" w:lineRule="exact"/>
        <w:ind w:firstLine="480" w:firstLineChars="200"/>
        <w:jc w:val="both"/>
        <w:rPr>
          <w:rFonts w:hint="default" w:ascii="Times New Roman" w:hAnsi="Times New Roman" w:eastAsia="宋体" w:cs="Times New Roman"/>
          <w:color w:val="FF0000"/>
        </w:rPr>
      </w:pPr>
      <w:r>
        <w:rPr>
          <w:rFonts w:hint="default" w:ascii="Times New Roman" w:hAnsi="Times New Roman" w:eastAsia="宋体" w:cs="Times New Roman"/>
          <w:color w:val="auto"/>
        </w:rPr>
        <w:t>①合理布置施工场地、材料堆场、施工便道等临时工程位置，禁止将这些临时工程设置在靠近饮用水水源保护区水域附近。</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②汛期前，必须对排洪、排水系统进行全面检查，发现问题，及时解决，准备好必要的抢险物资、工具、运载机械。</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③加强值班和巡视，对饮用水水源保护区实行严格的巡查保护制度，并做好巡查记录，密切注视水情和水质变化，发现问题及时报告，采取应急措施，严防事态恶化，避免造成大规模饮用水源水环境污染事故。</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④根据项目情况，合理安排施工作业面，建设过程中禁止在工程占地范围以外的区域进行施工活动，尤其是涉及饮用水水源保护区范围内的施工，</w:t>
      </w:r>
      <w:r>
        <w:rPr>
          <w:rFonts w:hint="eastAsia" w:cs="Times New Roman"/>
          <w:color w:val="auto"/>
          <w:lang w:val="en-US" w:eastAsia="zh-CN"/>
        </w:rPr>
        <w:t>水下施工作业</w:t>
      </w:r>
      <w:r>
        <w:rPr>
          <w:rFonts w:hint="default" w:ascii="Times New Roman" w:hAnsi="Times New Roman" w:eastAsia="宋体" w:cs="Times New Roman"/>
          <w:color w:val="auto"/>
        </w:rPr>
        <w:t>过程中应严格管理并做好施工机械的保养和管理，以降低因意外事故对饮用水水源保护区的影响。</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eastAsia" w:cs="Times New Roman"/>
          <w:color w:val="auto"/>
          <w:lang w:val="en-US" w:eastAsia="zh-CN"/>
        </w:rPr>
        <w:t>⑤</w:t>
      </w:r>
      <w:r>
        <w:rPr>
          <w:rFonts w:hint="default" w:ascii="Times New Roman" w:hAnsi="Times New Roman" w:eastAsia="宋体" w:cs="Times New Roman"/>
          <w:color w:val="auto"/>
        </w:rPr>
        <w:t>经过水源保护区的工程施工尽量选用先进或保养较好的设备、机械，定期检查和维护，以有效地减少跑、冒、漏、滴的数量及机械维修次数，从而减少含油污水的产生量。</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eastAsia" w:cs="Times New Roman"/>
          <w:color w:val="auto"/>
          <w:lang w:val="en-US" w:eastAsia="zh-CN"/>
        </w:rPr>
        <w:t>⑥</w:t>
      </w:r>
      <w:r>
        <w:rPr>
          <w:rFonts w:hint="default" w:ascii="Times New Roman" w:hAnsi="Times New Roman" w:eastAsia="宋体" w:cs="Times New Roman"/>
          <w:color w:val="auto"/>
        </w:rPr>
        <w:t>施工期开展环保监理，定期对太湖水质进行监测，发现异常及时反馈当地水利及环保部门。</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eastAsia" w:cs="Times New Roman"/>
          <w:color w:val="auto"/>
          <w:lang w:val="en-US" w:eastAsia="zh-CN"/>
        </w:rPr>
        <w:t>⑦</w:t>
      </w:r>
      <w:r>
        <w:rPr>
          <w:rFonts w:hint="default" w:ascii="Times New Roman" w:hAnsi="Times New Roman" w:eastAsia="宋体" w:cs="Times New Roman"/>
          <w:color w:val="auto"/>
        </w:rPr>
        <w:t>施工时应设置专用的垃圾箱，产生的生活垃圾经收集后，送至环卫部门集中处理。施工结束后，由专门的人员负责彻底清理建筑垃圾，运至指定的弃渣场或其他指定场所进行处置。严禁生活垃圾、施工废料排入饮用水源保护区范围。</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eastAsia" w:cs="Times New Roman"/>
          <w:color w:val="auto"/>
          <w:lang w:val="en-US" w:eastAsia="zh-CN"/>
        </w:rPr>
        <w:t>⑧</w:t>
      </w:r>
      <w:r>
        <w:rPr>
          <w:rFonts w:hint="default" w:ascii="Times New Roman" w:hAnsi="Times New Roman" w:eastAsia="宋体" w:cs="Times New Roman"/>
          <w:color w:val="auto"/>
        </w:rPr>
        <w:t>施工单位应配备足够的油污吸附、隔离拦挡和净化材料，配备一定量的围油栏及吸油毡等应急物资，避免突发事故产生对水体造成污染。若施工发生油料泄露事故，可在有关部门的指导和配合下，及时采取浮油拦截和吸附措施，直至油污消除。</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eastAsia" w:cs="Times New Roman"/>
          <w:color w:val="auto"/>
          <w:lang w:val="en-US" w:eastAsia="zh-CN"/>
        </w:rPr>
        <w:t>⑨</w:t>
      </w:r>
      <w:r>
        <w:rPr>
          <w:rFonts w:hint="default" w:ascii="Times New Roman" w:hAnsi="Times New Roman" w:eastAsia="宋体" w:cs="Times New Roman"/>
          <w:color w:val="auto"/>
        </w:rPr>
        <w:t>与水源地水厂做好沟通工作，以防止施工期间发生水污染事故，而与水厂沟通不及时造成应急取水、供水造成的影响。</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此外，水源保护区内工点还必须加强施工期水土保持，切实落实水保方案中提出的工程、植物及临时防护措施，避免产生水土流失，控制水源保护区上游土石方流失影响。保护区场地应做好挡护和排水措施，禁止将废水排入水源保护区及其上游补给河道内。水源保护区附近的施工便道尽量利用既有公路，减少对水源保护区地表的扰动破坏。</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3）加强风险过程管理</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①加强施工队伍的管理，加强对施工人员的技术培训和环保培训，提高施工人员的安全意识和环境保护意识，严格操作规程，避免人为操作失当引起污染事故的发生。禁止施工人员向水源保护区内倾倒垃圾、冲洗机具，禁止游泳、洗衣等行为。</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②设立专职人员负责饮用水源保护区的监督、监控、管理工作，确保各项环保措施的落实。</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③加强施工机械管理，防止跑、冒、滴、漏等现象的发生。</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④加强施工过程和质量管理，严格按照施工要求进行施工。</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⑤委托有资质的监测单位在水工作业期间进行跟踪监测，对水体浊度及悬浮颗粒变化等进行监测，以便及时监测水质变化情况，如若发现超标，及时调整工艺，并采取有效措施进行水质达标控制。</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4）形成风险应急机制</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另外建议建设单位和施工单位建立事故应急机制，设立应急反应小组，一旦发生突发事件，首先停止施工，封锁现场，应急反应小组迅速组织补救措施，事后由有关机构进行损失评估和负责到底。</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5）形成应急联动机制</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指定专人每天对工程范围内的污染源进行巡视，防止污染水源地环境事件发生。为使保证饮水管线的绝对安全，以防发生突发事项，能迅速得到有效控制，避免事态进一步扩大，组织抢险队伍配合市自来水公司开展应急救援工作、减少事故给企业、个人造成的损失，依据国家有关法律、法规的要求，根据施工任务的实际情况，制定饮水管线应急预案并形成应急联动机制。具体如下：</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①立即上报。施工过程中如遇突发情况，目击人第一时间报告离事故突发地最近的项目领导、项目安全负责人并立即联系自来水公司巡查员，通知集团公司应急抢险领导小组，以便领导了解和指挥救援事故，并立即停止施工。</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②组织补救。当施工现场发生饮水管线发生突发情况后，项目部接到报告后，应立即指令抢险队伍成员在第一时间赶赴现场，配合市自来水公司开展补救措施和现场秩序的维护。派人及时切断现场电源，机械全部撤离现场，避免污染水质。</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③立即组织自我排除隐患，并向当地自来水公司取得联系，说明事故地点、严重程度，并派人到路口接应。并上报集团公司，公司派人第一时间赶往事故现场。</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④保护现场。指挥小组要派人保护好现场，维护好现场秩序，等待对事故原因及责任人的调查。</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⑤现场安全员对事故进行原因分析，由市自来水公司专业救援人员制定相应的整改措施，认真填写事故报告和相关处理报告，并上报公司及上级机关。</w:t>
      </w:r>
    </w:p>
    <w:p>
      <w:pPr>
        <w:pStyle w:val="5"/>
        <w:jc w:val="both"/>
        <w:rPr>
          <w:rFonts w:hint="default" w:ascii="Times New Roman" w:hAnsi="Times New Roman" w:eastAsia="宋体" w:cs="Times New Roman"/>
          <w:color w:val="auto"/>
          <w:lang w:val="en-US" w:eastAsia="zh-CN"/>
        </w:rPr>
      </w:pPr>
      <w:bookmarkStart w:id="386" w:name="_Toc16373"/>
      <w:r>
        <w:rPr>
          <w:rFonts w:hint="default" w:ascii="Times New Roman" w:hAnsi="Times New Roman" w:eastAsia="宋体" w:cs="Times New Roman"/>
          <w:color w:val="auto"/>
          <w:lang w:val="en-US" w:eastAsia="zh-CN"/>
        </w:rPr>
        <w:t>5.6.7本工程船舶溢油应急预案</w:t>
      </w:r>
      <w:bookmarkEnd w:id="386"/>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本工程溢油应急反应预案，应纳入本地区溢油应急体系管理。一旦施工船舶或通航船舶发生溢油事故，应当立即启动本工程船舶溢油应急预案，以将事故危害降到最低。本工程船舶污染事故应急预案组成如下：</w:t>
      </w:r>
    </w:p>
    <w:p>
      <w:pPr>
        <w:tabs>
          <w:tab w:val="left" w:pos="1666"/>
        </w:tabs>
        <w:spacing w:line="500" w:lineRule="exact"/>
        <w:ind w:firstLine="482" w:firstLineChars="200"/>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1、</w:t>
      </w:r>
      <w:r>
        <w:rPr>
          <w:rFonts w:hint="default" w:ascii="Times New Roman" w:hAnsi="Times New Roman" w:eastAsia="宋体" w:cs="Times New Roman"/>
          <w:b/>
          <w:bCs/>
          <w:color w:val="auto"/>
        </w:rPr>
        <w:t>应急组织及联络机构</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由环境监测站、水利部门等相关单位，分别在各地市成立应急机构并形成有效联合机制，制定船舶污染事故应急预案。</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在苏州</w:t>
      </w:r>
      <w:r>
        <w:rPr>
          <w:rFonts w:hint="default" w:ascii="Times New Roman" w:hAnsi="Times New Roman" w:eastAsia="宋体" w:cs="Times New Roman"/>
          <w:color w:val="auto"/>
          <w:lang w:val="en-US" w:eastAsia="zh-CN"/>
        </w:rPr>
        <w:t>吴中</w:t>
      </w:r>
      <w:r>
        <w:rPr>
          <w:rFonts w:hint="default" w:ascii="Times New Roman" w:hAnsi="Times New Roman" w:eastAsia="宋体" w:cs="Times New Roman"/>
          <w:color w:val="auto"/>
        </w:rPr>
        <w:t>区设置独立的事故应急中心，配备事故急救设备和器材，设专门的应急电话号码，专人负责24 小时接听。一旦发生情况，施工单位应立即通知应急中心，由应急中心负责人参照应急计划，启动事故应急程序联络事故应急领导小组，并由其通知有关用水单位和地区，组织调动人员、车辆、设备，联合采取应急行动，将船舶污染事故对环境的影响减少到最低程度。</w:t>
      </w:r>
    </w:p>
    <w:p>
      <w:pPr>
        <w:tabs>
          <w:tab w:val="left" w:pos="1666"/>
        </w:tabs>
        <w:spacing w:line="500" w:lineRule="exact"/>
        <w:ind w:firstLine="482" w:firstLineChars="200"/>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2、</w:t>
      </w:r>
      <w:r>
        <w:rPr>
          <w:rFonts w:hint="default" w:ascii="Times New Roman" w:hAnsi="Times New Roman" w:eastAsia="宋体" w:cs="Times New Roman"/>
          <w:b/>
          <w:bCs/>
          <w:color w:val="auto"/>
        </w:rPr>
        <w:t>事故应急队伍</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应急反应队伍包括指挥和控制人员、应急服务部门、施工单位及其它可能的受影响方，如附近的水厂、自然保护区管理机构、渔业局等。其中，施工单位应在人力和物力上积极配合事故应急中心的领导和指挥。</w:t>
      </w:r>
    </w:p>
    <w:p>
      <w:pPr>
        <w:tabs>
          <w:tab w:val="left" w:pos="1666"/>
        </w:tabs>
        <w:spacing w:line="500" w:lineRule="exact"/>
        <w:ind w:firstLine="482" w:firstLineChars="200"/>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3、</w:t>
      </w:r>
      <w:r>
        <w:rPr>
          <w:rFonts w:hint="default" w:ascii="Times New Roman" w:hAnsi="Times New Roman" w:eastAsia="宋体" w:cs="Times New Roman"/>
          <w:b/>
          <w:bCs/>
          <w:color w:val="auto"/>
        </w:rPr>
        <w:t>船舶污染事故应急设施</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利用海事、港口部门配备的围油栏、吸油毡、吸油机等应急设施，对船舶事故溢油进行吸附拦截。</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考虑到溢油事故的突发性，建设单位应自备必要的应急设施和应急行动计划工作人员，以便在突发事故的第一时间采取行动，将事故影响的范围和程度降低到最小。事故发生时，采取区域溢油应急计划联动机制，立即与各地市事故应急中心联系，启动溢油应急预案。本项目施工期风险事故应急应配备一定的应急设施，这对应对施工期的突发风险事故是非常必要的。建议项目配置以下设备以满足本项目事故应急需求，同时配备报警系统及必要的通信器材，以便及时与事故应急指挥中心及水厂、种质资源保护区管理机构、渔业局等建立联系，及时采取应急措施。</w:t>
      </w:r>
    </w:p>
    <w:p>
      <w:pPr>
        <w:tabs>
          <w:tab w:val="left" w:pos="1666"/>
        </w:tabs>
        <w:spacing w:line="500" w:lineRule="exact"/>
        <w:ind w:firstLine="462" w:firstLineChars="20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000000"/>
          <w:sz w:val="23"/>
          <w:szCs w:val="24"/>
        </w:rPr>
        <w:t>表 5.</w:t>
      </w:r>
      <w:r>
        <w:rPr>
          <w:rFonts w:hint="eastAsia" w:cs="Times New Roman"/>
          <w:b/>
          <w:bCs/>
          <w:color w:val="000000"/>
          <w:sz w:val="23"/>
          <w:szCs w:val="24"/>
          <w:lang w:val="en-US" w:eastAsia="zh-CN"/>
        </w:rPr>
        <w:t>6</w:t>
      </w:r>
      <w:r>
        <w:rPr>
          <w:rFonts w:hint="default" w:ascii="Times New Roman" w:hAnsi="Times New Roman" w:eastAsia="宋体" w:cs="Times New Roman"/>
          <w:b/>
          <w:bCs/>
          <w:color w:val="000000"/>
          <w:sz w:val="23"/>
          <w:szCs w:val="24"/>
        </w:rPr>
        <w:t>-1 本项目溢油应急需要增加的设备</w:t>
      </w:r>
    </w:p>
    <w:tbl>
      <w:tblPr>
        <w:tblStyle w:val="55"/>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050"/>
        <w:gridCol w:w="4228"/>
        <w:gridCol w:w="295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0" w:type="pct"/>
            <w:noWrap w:val="0"/>
            <w:vAlign w:val="center"/>
          </w:tcPr>
          <w:p>
            <w:pPr>
              <w:spacing w:line="320" w:lineRule="exact"/>
              <w:jc w:val="center"/>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编号</w:t>
            </w:r>
          </w:p>
        </w:tc>
        <w:tc>
          <w:tcPr>
            <w:tcW w:w="2289" w:type="pct"/>
            <w:noWrap w:val="0"/>
            <w:vAlign w:val="center"/>
          </w:tcPr>
          <w:p>
            <w:pPr>
              <w:spacing w:line="320" w:lineRule="exact"/>
              <w:jc w:val="center"/>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设备名称</w:t>
            </w:r>
          </w:p>
        </w:tc>
        <w:tc>
          <w:tcPr>
            <w:tcW w:w="1600" w:type="pct"/>
            <w:noWrap w:val="0"/>
            <w:vAlign w:val="center"/>
          </w:tcPr>
          <w:p>
            <w:pPr>
              <w:spacing w:line="320" w:lineRule="exact"/>
              <w:jc w:val="center"/>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数量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0" w:type="pct"/>
            <w:noWrap w:val="0"/>
            <w:vAlign w:val="center"/>
          </w:tcPr>
          <w:p>
            <w:pPr>
              <w:spacing w:line="32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2289" w:type="pct"/>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收油机</w:t>
            </w:r>
          </w:p>
        </w:tc>
        <w:tc>
          <w:tcPr>
            <w:tcW w:w="1600" w:type="pct"/>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4台（7m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0" w:type="pct"/>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2289" w:type="pct"/>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围油栏</w:t>
            </w:r>
          </w:p>
        </w:tc>
        <w:tc>
          <w:tcPr>
            <w:tcW w:w="1600" w:type="pct"/>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3000m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0" w:type="pct"/>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2289" w:type="pct"/>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吸油毡</w:t>
            </w:r>
          </w:p>
        </w:tc>
        <w:tc>
          <w:tcPr>
            <w:tcW w:w="1600" w:type="pct"/>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0" w:type="pct"/>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2289" w:type="pct"/>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吸油拖拦</w:t>
            </w:r>
          </w:p>
        </w:tc>
        <w:tc>
          <w:tcPr>
            <w:tcW w:w="1600" w:type="pct"/>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3000m</w:t>
            </w:r>
          </w:p>
        </w:tc>
      </w:tr>
    </w:tbl>
    <w:p>
      <w:pPr>
        <w:tabs>
          <w:tab w:val="left" w:pos="1666"/>
        </w:tabs>
        <w:spacing w:line="500" w:lineRule="exact"/>
        <w:ind w:firstLine="482" w:firstLineChars="200"/>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4、</w:t>
      </w:r>
      <w:r>
        <w:rPr>
          <w:rFonts w:hint="default" w:ascii="Times New Roman" w:hAnsi="Times New Roman" w:eastAsia="宋体" w:cs="Times New Roman"/>
          <w:b/>
          <w:bCs/>
          <w:color w:val="auto"/>
        </w:rPr>
        <w:t>船舶污染事故应急反应</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船舶发生污染水域事故，应当立即向太湖管理机构如实报告，同时按照污染事故应急计划的程序和要求，采取相应措施。在初始报告以后，船舶还应当根据事故的进展情况进一步作出补充报告。太湖管理机构接到船舶污染事故的报告后，预计溢油漂移趋势及对太湖水质可能造成的影响，由其确认核实后按照污染事故应急计划的程序作出反应。</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反应内容包括：向上级主管部门以及与事故相关的货主、保险公司、环保等部门报告(报告内容包括：时间、地点、船名、位置、水文情况、已经采取的措施、需要的援助等)；采取应急措施，利用工作船进行围油栏敷设、吸油毡收油作业，当溢油经过围控和回收仍有部分漂移至航道岸边时，组织附近码头人员、外部协作单位并召集附近民众进行岸滩油污清除工作；同步进行溢油的监测和监视，控制其扩散面积。在事故第一时间立即通知事故发生地点上下游各水厂单位，组织有关监测单位人员对取水口水域水质进行密集监测，发现水质超标立即关闭取水，待取水口水质达标后恢复取水。</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事故处理完毕后，肇事单位或船主应将事故原因、溢液量、污染清除处理过程、污染范围和影响程度，书面报告环保局，由环保局等部门组织调查，按实际情况确定由事故溢液造成受损失的赔偿费用，经法院最终裁决后，给予经济赔偿。</w:t>
      </w:r>
    </w:p>
    <w:p>
      <w:pPr>
        <w:tabs>
          <w:tab w:val="left" w:pos="1666"/>
        </w:tabs>
        <w:spacing w:line="500" w:lineRule="exact"/>
        <w:ind w:firstLine="482" w:firstLineChars="200"/>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5、</w:t>
      </w:r>
      <w:r>
        <w:rPr>
          <w:rFonts w:hint="default" w:ascii="Times New Roman" w:hAnsi="Times New Roman" w:eastAsia="宋体" w:cs="Times New Roman"/>
          <w:b/>
          <w:bCs/>
          <w:color w:val="auto"/>
        </w:rPr>
        <w:t>人员培训</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应急反应管理人员、设施操作人员、应急清污人员应参加相关业务培训，逐步实现应急反应人员持证上岗，使应急人员具备应急反应理论和溢油控制及清污的实践经验。</w:t>
      </w:r>
    </w:p>
    <w:p>
      <w:pPr>
        <w:tabs>
          <w:tab w:val="left" w:pos="1666"/>
        </w:tabs>
        <w:spacing w:line="500" w:lineRule="exact"/>
        <w:ind w:firstLine="482" w:firstLineChars="200"/>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6、</w:t>
      </w:r>
      <w:r>
        <w:rPr>
          <w:rFonts w:hint="default" w:ascii="Times New Roman" w:hAnsi="Times New Roman" w:eastAsia="宋体" w:cs="Times New Roman"/>
          <w:b/>
          <w:bCs/>
          <w:color w:val="auto"/>
        </w:rPr>
        <w:t>定期检查</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每年进行一次计划检查，及时对应急组织指挥机构成员及其联系方式进行修改。</w:t>
      </w:r>
    </w:p>
    <w:p>
      <w:pPr>
        <w:pStyle w:val="5"/>
        <w:jc w:val="both"/>
        <w:rPr>
          <w:rFonts w:hint="default" w:ascii="Times New Roman" w:hAnsi="Times New Roman" w:eastAsia="宋体" w:cs="Times New Roman"/>
          <w:color w:val="auto"/>
          <w:lang w:val="en-US" w:eastAsia="zh-CN"/>
        </w:rPr>
      </w:pPr>
      <w:bookmarkStart w:id="387" w:name="_Toc8331"/>
      <w:r>
        <w:rPr>
          <w:rFonts w:hint="default" w:ascii="Times New Roman" w:hAnsi="Times New Roman" w:eastAsia="宋体" w:cs="Times New Roman"/>
          <w:color w:val="auto"/>
          <w:lang w:val="en-US" w:eastAsia="zh-CN"/>
        </w:rPr>
        <w:t>5.6.8环境风险事故应急预案</w:t>
      </w:r>
      <w:bookmarkEnd w:id="387"/>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环境风险事故发生后，能否迅速而有效地作出应急反应，对于控制污染，减少污染损失以及消除污染等都起着关键性的作用。针对本工程施工和运营期可能发生的取水口污染、溢油、泄漏事故等环境风险事故，通过对事故的风险评价，制定突发性事故应急处理预案等，对事故快速作出反应，最大限度地减少事故污染对水环境的危害，建立应付突发性事故的抢险指挥系统，组织制定一份可操作的风险应急预案，定期进行演习是非常必要的。一旦出现重大事故，能有效的组织救援，及时控制污染、减少污染损失。</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因此本环评对应急预案的编制提出如下要求：</w:t>
      </w:r>
    </w:p>
    <w:p>
      <w:pPr>
        <w:tabs>
          <w:tab w:val="left" w:pos="1666"/>
        </w:tabs>
        <w:spacing w:line="500" w:lineRule="exact"/>
        <w:ind w:firstLine="482" w:firstLineChars="200"/>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rPr>
        <w:t>1、应急组织</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1）成立项目饮用水水源突发环境事件应急领导小组，管理机构是建设单位，负责应急计划的管理和实施，并进行事件调度指挥。指挥部对各部门和人员的职责有明确分工，具体到职责、分工、协作关系，做到人人心中有数。经过应急事故处置培训的人员要轮流值班，并建立严格交接班制度。</w:t>
      </w:r>
    </w:p>
    <w:p>
      <w:pPr>
        <w:tabs>
          <w:tab w:val="left" w:pos="1666"/>
        </w:tabs>
        <w:spacing w:line="500" w:lineRule="exact"/>
        <w:ind w:firstLine="482" w:firstLineChars="200"/>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2、联络机构</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建立快速灵敏的报警系统和通讯指挥联络系统，包括与太湖流域管理应急反应体系、苏州市、苏州高新区应急反应体系指挥系统及各部门联络、24小时有效的报警装置及内部、外部通讯联络手段，以便及时进行抢险作业，因为在事故应急反应过程中，及时对事故进行通报是决定整个反应过程和消除污染效果成败的关键。</w:t>
      </w:r>
    </w:p>
    <w:p>
      <w:pPr>
        <w:tabs>
          <w:tab w:val="left" w:pos="1666"/>
        </w:tabs>
        <w:spacing w:line="500" w:lineRule="exact"/>
        <w:ind w:firstLine="482" w:firstLineChars="200"/>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3、救援队伍</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成立专业救援队伍，由指挥部统一指挥。管理部门应与地方周边地区应急设施和救援队伍的单位建立联防制度，工作人员参加应急培训和演练，以确保关键时候发挥其作用。由专人负责防护器材的配给和现场救援。一旦发生事故，应及时和当地有关应急救援部门联系，迅速报告，启动应急预案或请求当地救援中心或人防办组织救援，也可向邻近地区的救援部门请求救援。</w:t>
      </w:r>
    </w:p>
    <w:p>
      <w:pPr>
        <w:tabs>
          <w:tab w:val="left" w:pos="1666"/>
        </w:tabs>
        <w:spacing w:line="500" w:lineRule="exact"/>
        <w:ind w:firstLine="482" w:firstLineChars="200"/>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rPr>
        <w:t>4、应急反应程序</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风险事故反应程序应包括：事故报警、报告程序、需要应急手段、应急措施描述、责任人和责任范围等。</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事故报警的及时与正确是能否及时实施应急救援的关键。当发生突发性事故等时，事故单位或现场人员，除应立即停止相关事故源，采用防止漏油、化学品泄漏等应急措施积极组织自救外，必须及时将事故向应急指挥部和有关部门报告。</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应急指挥部值班员接到报警后，在作出相应应急反应的同时，应根据事故性质、事故严重程度，立即向上级领导、水利、水务、环保、消防、卫生防疫等有关部门报告，同时应急指挥人指挥应急救援队伍进入事故现场。有关部门应根据事故性质和影响大小确定启动上一级应急方案和环境风险应急方案。</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风险事故应急反应程序如图</w:t>
      </w:r>
      <w:r>
        <w:rPr>
          <w:rFonts w:hint="eastAsia" w:cs="Times New Roman"/>
          <w:color w:val="auto"/>
          <w:lang w:val="en-US" w:eastAsia="zh-CN"/>
        </w:rPr>
        <w:t>5</w:t>
      </w:r>
      <w:r>
        <w:rPr>
          <w:rFonts w:hint="default" w:ascii="Times New Roman" w:hAnsi="Times New Roman" w:eastAsia="宋体" w:cs="Times New Roman"/>
          <w:color w:val="auto"/>
        </w:rPr>
        <w:t>.6-1。</w:t>
      </w:r>
    </w:p>
    <w:p>
      <w:pPr>
        <w:tabs>
          <w:tab w:val="left" w:pos="1666"/>
        </w:tabs>
        <w:spacing w:line="500" w:lineRule="exact"/>
        <w:ind w:firstLine="480" w:firstLineChars="200"/>
        <w:rPr>
          <w:rFonts w:hint="default" w:ascii="Times New Roman" w:hAnsi="Times New Roman" w:eastAsia="宋体" w:cs="Times New Roman"/>
          <w:color w:val="auto"/>
        </w:rPr>
      </w:pPr>
    </w:p>
    <w:p>
      <w:pPr>
        <w:tabs>
          <w:tab w:val="left" w:pos="1666"/>
        </w:tabs>
        <w:spacing w:line="500" w:lineRule="exact"/>
        <w:ind w:firstLine="480" w:firstLineChars="200"/>
        <w:rPr>
          <w:rFonts w:hint="default" w:ascii="Times New Roman" w:hAnsi="Times New Roman" w:eastAsia="宋体" w:cs="Times New Roman"/>
          <w:color w:val="auto"/>
        </w:rPr>
      </w:pPr>
    </w:p>
    <w:p>
      <w:pPr>
        <w:tabs>
          <w:tab w:val="left" w:pos="1666"/>
        </w:tabs>
        <w:spacing w:line="500" w:lineRule="exact"/>
        <w:ind w:firstLine="480" w:firstLineChars="200"/>
        <w:rPr>
          <w:rFonts w:hint="default" w:ascii="Times New Roman" w:hAnsi="Times New Roman" w:eastAsia="宋体" w:cs="Times New Roman"/>
          <w:color w:val="auto"/>
        </w:rPr>
      </w:pPr>
    </w:p>
    <w:p>
      <w:pPr>
        <w:tabs>
          <w:tab w:val="left" w:pos="1666"/>
        </w:tabs>
        <w:spacing w:line="500" w:lineRule="exact"/>
        <w:ind w:firstLine="480" w:firstLineChars="200"/>
        <w:rPr>
          <w:rFonts w:hint="default" w:ascii="Times New Roman" w:hAnsi="Times New Roman" w:eastAsia="宋体" w:cs="Times New Roman"/>
          <w:color w:val="auto"/>
        </w:rPr>
      </w:pPr>
    </w:p>
    <w:p>
      <w:pPr>
        <w:tabs>
          <w:tab w:val="left" w:pos="1666"/>
        </w:tabs>
        <w:spacing w:line="500" w:lineRule="exact"/>
        <w:ind w:firstLine="480" w:firstLineChars="200"/>
        <w:rPr>
          <w:rFonts w:hint="default" w:ascii="Times New Roman" w:hAnsi="Times New Roman" w:eastAsia="宋体" w:cs="Times New Roman"/>
          <w:color w:val="auto"/>
        </w:rPr>
      </w:pPr>
      <w:r>
        <w:rPr>
          <w:rFonts w:hint="default" w:ascii="Times New Roman" w:hAnsi="Times New Roman" w:eastAsia="宋体" w:cs="Times New Roman"/>
        </w:rPr>
        <w:drawing>
          <wp:anchor distT="0" distB="0" distL="114300" distR="114300" simplePos="0" relativeHeight="251691008" behindDoc="0" locked="0" layoutInCell="1" allowOverlap="1">
            <wp:simplePos x="0" y="0"/>
            <wp:positionH relativeFrom="column">
              <wp:posOffset>549275</wp:posOffset>
            </wp:positionH>
            <wp:positionV relativeFrom="paragraph">
              <wp:posOffset>-158115</wp:posOffset>
            </wp:positionV>
            <wp:extent cx="4467225" cy="3733800"/>
            <wp:effectExtent l="0" t="0" r="9525" b="0"/>
            <wp:wrapNone/>
            <wp:docPr id="9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3"/>
                    <pic:cNvPicPr>
                      <a:picLocks noChangeAspect="1"/>
                    </pic:cNvPicPr>
                  </pic:nvPicPr>
                  <pic:blipFill>
                    <a:blip r:embed="rId81"/>
                    <a:stretch>
                      <a:fillRect/>
                    </a:stretch>
                  </pic:blipFill>
                  <pic:spPr>
                    <a:xfrm>
                      <a:off x="0" y="0"/>
                      <a:ext cx="4467225" cy="3733800"/>
                    </a:xfrm>
                    <a:prstGeom prst="rect">
                      <a:avLst/>
                    </a:prstGeom>
                    <a:noFill/>
                    <a:ln>
                      <a:noFill/>
                    </a:ln>
                  </pic:spPr>
                </pic:pic>
              </a:graphicData>
            </a:graphic>
          </wp:anchor>
        </w:drawing>
      </w:r>
    </w:p>
    <w:p>
      <w:pPr>
        <w:tabs>
          <w:tab w:val="left" w:pos="1666"/>
        </w:tabs>
        <w:spacing w:line="500" w:lineRule="exact"/>
        <w:ind w:firstLine="480" w:firstLineChars="200"/>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tabs>
          <w:tab w:val="left" w:pos="1666"/>
        </w:tabs>
        <w:spacing w:line="500" w:lineRule="exact"/>
        <w:ind w:firstLine="482" w:firstLineChars="200"/>
        <w:jc w:val="center"/>
        <w:rPr>
          <w:rFonts w:hint="default" w:ascii="Times New Roman" w:hAnsi="Times New Roman" w:eastAsia="宋体" w:cs="Times New Roman"/>
          <w:b/>
          <w:bCs/>
          <w:color w:val="auto"/>
        </w:rPr>
      </w:pPr>
    </w:p>
    <w:p>
      <w:pPr>
        <w:pStyle w:val="2"/>
        <w:rPr>
          <w:rFonts w:hint="default" w:ascii="Times New Roman" w:hAnsi="Times New Roman" w:eastAsia="宋体" w:cs="Times New Roman"/>
          <w:b/>
          <w:bCs/>
          <w:color w:val="auto"/>
        </w:rPr>
      </w:pPr>
    </w:p>
    <w:p>
      <w:pPr>
        <w:pStyle w:val="2"/>
        <w:rPr>
          <w:rFonts w:hint="default" w:ascii="Times New Roman" w:hAnsi="Times New Roman" w:eastAsia="宋体" w:cs="Times New Roman"/>
          <w:b/>
          <w:bCs/>
          <w:color w:val="auto"/>
        </w:rPr>
      </w:pPr>
    </w:p>
    <w:p>
      <w:pPr>
        <w:pStyle w:val="2"/>
        <w:rPr>
          <w:rFonts w:hint="default" w:ascii="Times New Roman" w:hAnsi="Times New Roman" w:eastAsia="宋体" w:cs="Times New Roman"/>
          <w:b/>
          <w:bCs/>
          <w:color w:val="auto"/>
        </w:rPr>
      </w:pPr>
    </w:p>
    <w:p>
      <w:pPr>
        <w:tabs>
          <w:tab w:val="left" w:pos="1666"/>
        </w:tabs>
        <w:spacing w:line="500" w:lineRule="exact"/>
        <w:ind w:firstLine="482" w:firstLineChars="200"/>
        <w:jc w:val="center"/>
        <w:rPr>
          <w:rFonts w:hint="default" w:ascii="Times New Roman" w:hAnsi="Times New Roman" w:eastAsia="宋体" w:cs="Times New Roman"/>
          <w:b/>
          <w:bCs/>
          <w:color w:val="auto"/>
        </w:rPr>
      </w:pPr>
    </w:p>
    <w:p>
      <w:pPr>
        <w:pStyle w:val="2"/>
        <w:rPr>
          <w:rFonts w:hint="default" w:ascii="Times New Roman" w:hAnsi="Times New Roman" w:eastAsia="宋体" w:cs="Times New Roman"/>
          <w:b/>
          <w:bCs/>
          <w:color w:val="auto"/>
        </w:rPr>
      </w:pPr>
    </w:p>
    <w:p>
      <w:pPr>
        <w:tabs>
          <w:tab w:val="left" w:pos="1666"/>
        </w:tabs>
        <w:spacing w:line="500" w:lineRule="exact"/>
        <w:ind w:firstLine="482" w:firstLineChars="20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图5.</w:t>
      </w:r>
      <w:r>
        <w:rPr>
          <w:rFonts w:hint="eastAsia" w:cs="Times New Roman"/>
          <w:b/>
          <w:bCs/>
          <w:color w:val="auto"/>
          <w:lang w:val="en-US" w:eastAsia="zh-CN"/>
        </w:rPr>
        <w:t>6</w:t>
      </w:r>
      <w:r>
        <w:rPr>
          <w:rFonts w:hint="default" w:ascii="Times New Roman" w:hAnsi="Times New Roman" w:eastAsia="宋体" w:cs="Times New Roman"/>
          <w:b/>
          <w:bCs/>
          <w:color w:val="auto"/>
        </w:rPr>
        <w:t>-1 风险事故应急反应程序</w:t>
      </w:r>
    </w:p>
    <w:p>
      <w:pPr>
        <w:tabs>
          <w:tab w:val="left" w:pos="1666"/>
        </w:tabs>
        <w:spacing w:line="500" w:lineRule="exact"/>
        <w:ind w:firstLine="482" w:firstLineChars="200"/>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rPr>
        <w:t>5、信息报告制度</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（1）突发环境事件信息报告制度与程序。</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项目饮用水水源应急管理机构有关人员应按照早发现、早报告、早处置的原则，对发生在项目区有可能对饮用水水源地造成环境影响事件的信息进行收集和上报。</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突发环境事件责任单位和责任人以及负有监管责任的单位发现突发环境事件后，必须在1小时内向所在地县级以上人民政府报告，同时向上一级相关专业主管部门报告，并立即组织现场调查。应急处置过程中，要及时续报有关情况。以争取上级相关部门根据情况给予协调支援。</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（2）突发环境事件通报与信息发布制度与程序。</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涉及饮用水源突发环境事件应及时上报相关部门，项目饮用水源应急小组应保持良好状态，实行24小时值班制度，制定联络员、值班电话、并报项目饮用水源应急小组备案并向社会公布。</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突发环境事件发生地的人民政府相关部门，在应急反应的同时，要及时向毗邻和可能波及的地方相关部门通报有关情况，接到通报的部门应当视情况采取必要措施。在突发环境事件信息发布中，要做到及时、准确、权威，积极争取群众的理解与支持。</w:t>
      </w:r>
    </w:p>
    <w:p>
      <w:pPr>
        <w:tabs>
          <w:tab w:val="left" w:pos="1666"/>
        </w:tabs>
        <w:spacing w:line="500" w:lineRule="exact"/>
        <w:ind w:firstLine="482" w:firstLineChars="200"/>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rPr>
        <w:t>6、施工期应急处置措施</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（1）事故发生后，应立即停止一切施工活动，果断控制或切断污染源，采取相应的措施，如迅速调集围油栏、吸油毡等防污器材，防止污染进一步扩大。</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（2）立即向项目饮用水水源突发环境事件应急领导小组上报情况，并立即报告当地环保部门、消防部门、事故处理部门、监测站；政府调集环境监测人员，进行24小时的水质监测。</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（3）组织人员成立抢险队，及时拦截危险品泄漏至水体或打捞落入水体中的物件，同时采取相应的处置措施，最大限度地减轻影响范围和程度。</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4）饮用水水源保护区水污染事故发生后，应立即通知苏州白洋湾水厂和相城水厂，调整水处理设施参数，如增加停留时间、加大药剂投加、增加消毒时间和力度等措施，以确保应急水厂供水水质，直至事故结束，以备用应急取水之需。</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（5）监测站在接到通知之时，立即对各控制断面进行水质监测，随时公告水质情况。</w:t>
      </w:r>
    </w:p>
    <w:p>
      <w:pPr>
        <w:tabs>
          <w:tab w:val="left" w:pos="1666"/>
        </w:tabs>
        <w:spacing w:line="500" w:lineRule="exact"/>
        <w:ind w:firstLine="482" w:firstLineChars="200"/>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rPr>
        <w:t>7、营运期应急处置措施</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（1）应急原则</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相关管理部门应事先制订环境风险应急手册或预案，完善必要的装备和设备。针对不同环境风险事故环境危害性，实施不同的抢救方案，分别采取堵漏、隔离、围拦、覆盖、通风、防火降温、防毒、防爆、避雷、防静电、冲水稀释、化学处理等办法。一般发生泄漏风险事故时，首先应采取隔离措施，避免事故影响范围的扩大，包括封道、隔离，必要时司乘人员撤离，甚至事故影响范围内居住人群的疏散撤离。应配备专业人员，并接受安全技术培训，熟悉岗位操作方法，考核合格才能上岗。至于处理的物资和器材，可由各专业分管部门负责配备齐全，并定期检查其有效期。</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（2）应急要求</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一旦发生水质污染事故，有关部门应立即启动突发事故处理领导小组，结合公安、环保、卫生、防疫等各部门，采取消除污染的各种措施，万不得已时，在水质监测结果表明某些指标超标、危及人体健康时，应采取必要的应急防范措施。建议结合速走高新区整体社会和生态环境应急体系，必须包括以下内容：</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由消防和太湖</w:t>
      </w:r>
      <w:r>
        <w:rPr>
          <w:rFonts w:hint="default" w:ascii="Times New Roman" w:hAnsi="Times New Roman" w:eastAsia="宋体" w:cs="Times New Roman"/>
          <w:color w:val="auto"/>
          <w:lang w:eastAsia="zh-CN"/>
        </w:rPr>
        <w:t>渔洋山</w:t>
      </w:r>
      <w:r>
        <w:rPr>
          <w:rFonts w:hint="default" w:ascii="Times New Roman" w:hAnsi="Times New Roman" w:eastAsia="宋体" w:cs="Times New Roman"/>
          <w:color w:val="auto"/>
        </w:rPr>
        <w:t>饮用水水源保护区运营管理单位成立环境风险应急指挥中心和现场事故应急组。应急指挥中心安排经过训练人员负责应急突发事件组织、指挥、抢修、控制、协调等应急响应行动。当突发性事故情况严重，可能导致重大环境事故时，</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（3）应急措施</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发生事故后，驾驶员和通行人员应立即向有关部门报告，说明事故情况，在等待专业人员救援的同时要保护、控制好现场。</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相关应急人员赶到现场后应立即采取一切办法切断事故源，查清泄漏目标和部位。在污染发现初期，立即采取适当的应急措施，视突发性风险事故类型不同，泄漏污染物的种类不同，采取针对性的措施。如果车辆在发生事故后引起火灾，则应按灭火预案进行扑救，并用污水收集车对消防水进行收集外运。如果车辆装载的油类出现泄漏时，应用污水收集车对其泄漏物进行回收，在特大暴雨时，如泄漏不能有效控制，容易引起事故应急池超过负荷导致污水外溢的情况下，应加派污水收集车对渗漏液收集池进行抽水，并启用其他路段的事故应急池，防止污水外溢污染太湖及周边河流。</w:t>
      </w:r>
    </w:p>
    <w:p>
      <w:pPr>
        <w:tabs>
          <w:tab w:val="left" w:pos="1666"/>
        </w:tabs>
        <w:spacing w:line="500" w:lineRule="exact"/>
        <w:ind w:firstLine="482" w:firstLineChars="200"/>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rPr>
        <w:t>8、应急解除</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应急解除判别标准：污染物泄漏源或溢出源已经得到控制；现场抢救活动已经结束；对取水口的威胁已经排除；对周边地区构成的威胁已经得到解除；被紧急疏散的人员已经得到妥善安置。</w:t>
      </w:r>
    </w:p>
    <w:p>
      <w:pPr>
        <w:tabs>
          <w:tab w:val="left" w:pos="1666"/>
        </w:tabs>
        <w:spacing w:line="500" w:lineRule="exact"/>
        <w:ind w:firstLine="482" w:firstLineChars="200"/>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rPr>
        <w:t>9、后期处置</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应急处置工作结束后，应进行事故污染分析，及时查找突发环境事件的原因，建设单位与施工单位进行会商总结，总结经验教训，并提出具体的整改实施计划，防止类似问题的重复出现，以便减少环保污染事故。同时应提交总结报告，按程序上报相关管理部门。</w:t>
      </w:r>
    </w:p>
    <w:p>
      <w:pPr>
        <w:tabs>
          <w:tab w:val="left" w:pos="1666"/>
        </w:tabs>
        <w:spacing w:line="500" w:lineRule="exact"/>
        <w:ind w:firstLine="482" w:firstLineChars="200"/>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rPr>
        <w:t>10、应急保障</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本项目施工期建设及施工单位应按集中式饮用水水源地应急标准配备的应急设备和器材，建设专用水的水质应急物资仓库，作为应急备用设备资源。</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营运期相关管理部门应按集中式饮用水水源地应急标准配备的应急设备和器材，建设专用水的水质应急物资仓库，作为应急备用设备资源。</w:t>
      </w:r>
    </w:p>
    <w:p>
      <w:pPr>
        <w:tabs>
          <w:tab w:val="left" w:pos="1666"/>
        </w:tabs>
        <w:spacing w:line="500" w:lineRule="exact"/>
        <w:ind w:firstLine="482" w:firstLineChars="200"/>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rPr>
        <w:t>11、培训及演练</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（1）施工期</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建设单位及施工单位认真组织有关管理干部和员工进行学习应急预案，明确自身在应急预案中的地位和职责。</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应急指挥人员应参加相应的应急知识和反应决策培训。建设及施工单位办公室、安全生产处、工程建设处、设备技术处等有关应急作业人员应参加应急操作培训。</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应急反应指挥部应不定期举行污染事故应急演习或模拟演练，以保证应急预案的有效实施和不断完善，提高实战能力，原则上每两年进行一次演习，由指挥部办公室制定演习方案。</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（2）营运期</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为了确保应急预案实施的有效性和可操作性，必须预先对应急预案中所涉及的人员进行训练、对设备器材进行保护保养，使参加应急行动的每一个人都能做到应知应会、熟练掌握。</w:t>
      </w:r>
    </w:p>
    <w:p>
      <w:pPr>
        <w:tabs>
          <w:tab w:val="left" w:pos="1666"/>
        </w:tabs>
        <w:spacing w:line="50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相关管理部门定期组织应急人员应急救援和应急响应培训，使受培训人员能掌握使用和维护、保养各种溢油应急设备和器材，并具有在指挥人员指导下完成应急反应的能力。同时对周边居民、企业进行应急响应知识的宣传。定期组织和训练应急演练、演习，在模拟的事故状态下，检查应急机构，应急队伍，应急设备和器材，应急通讯等各方面的实战能力、应急反应能力和应急预案程序实施的科学性。通过演习，可发现薄弱环节，并进行不断的修改和完善。一旦遇到突发风险事故，可迅速展开应急抢险，及时控制事态发展和蔓延，降低风险损失。</w:t>
      </w:r>
    </w:p>
    <w:p>
      <w:pPr>
        <w:pStyle w:val="5"/>
        <w:jc w:val="both"/>
        <w:rPr>
          <w:rFonts w:hint="default" w:ascii="Times New Roman" w:hAnsi="Times New Roman" w:eastAsia="宋体" w:cs="Times New Roman"/>
          <w:color w:val="auto"/>
          <w:lang w:val="en-US" w:eastAsia="zh-CN"/>
        </w:rPr>
      </w:pPr>
      <w:bookmarkStart w:id="388" w:name="_Toc9980"/>
      <w:r>
        <w:rPr>
          <w:rFonts w:hint="default" w:ascii="Times New Roman" w:hAnsi="Times New Roman" w:eastAsia="宋体" w:cs="Times New Roman"/>
          <w:color w:val="auto"/>
          <w:lang w:val="en-US" w:eastAsia="zh-CN"/>
        </w:rPr>
        <w:t>5.6.9 分析结论</w:t>
      </w:r>
      <w:bookmarkEnd w:id="388"/>
    </w:p>
    <w:p>
      <w:pPr>
        <w:tabs>
          <w:tab w:val="left" w:pos="1666"/>
        </w:tabs>
        <w:spacing w:line="50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环境风险潜势为Ⅰ，评价工作等级为简单分析，主要环境风险为施工期水污染事故，不会构成较大风险，不会对外环境的敏感目标造成较大影响。本项目制定完善的风险防范措施，定期施工及管理情况，定期进行维护，保证施工安全和质量。项目风险水平可以接受。为落实各项污染防治措施，加强环境保护工作管理，应当根据实际情况制定各种类型的环保制度。</w:t>
      </w:r>
    </w:p>
    <w:p>
      <w:pPr>
        <w:tabs>
          <w:tab w:val="left" w:pos="1666"/>
        </w:tabs>
        <w:spacing w:line="500" w:lineRule="exact"/>
        <w:ind w:firstLine="482" w:firstLineChars="20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w:t>
      </w:r>
      <w:r>
        <w:rPr>
          <w:rFonts w:hint="eastAsia" w:cs="Times New Roman"/>
          <w:b/>
          <w:bCs/>
          <w:color w:val="auto"/>
          <w:lang w:val="en-US" w:eastAsia="zh-CN"/>
        </w:rPr>
        <w:t>5.6-2</w:t>
      </w:r>
      <w:r>
        <w:rPr>
          <w:rFonts w:hint="default" w:ascii="Times New Roman" w:hAnsi="Times New Roman" w:eastAsia="宋体" w:cs="Times New Roman"/>
          <w:b/>
          <w:bCs/>
          <w:color w:val="auto"/>
          <w:lang w:val="en-US" w:eastAsia="zh-CN"/>
        </w:rPr>
        <w:t xml:space="preserve"> </w:t>
      </w:r>
      <w:r>
        <w:rPr>
          <w:rFonts w:hint="eastAsia" w:cs="Times New Roman"/>
          <w:b/>
          <w:bCs/>
          <w:color w:val="auto"/>
          <w:lang w:val="en-US" w:eastAsia="zh-CN"/>
        </w:rPr>
        <w:t xml:space="preserve"> </w:t>
      </w:r>
      <w:r>
        <w:rPr>
          <w:rFonts w:hint="default" w:ascii="Times New Roman" w:hAnsi="Times New Roman" w:eastAsia="宋体" w:cs="Times New Roman"/>
          <w:b/>
          <w:bCs/>
          <w:color w:val="auto"/>
          <w:lang w:val="en-US" w:eastAsia="zh-CN"/>
        </w:rPr>
        <w:t>建设项目环境风险简单分析表</w:t>
      </w:r>
    </w:p>
    <w:tbl>
      <w:tblPr>
        <w:tblStyle w:val="56"/>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31"/>
        <w:gridCol w:w="70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rPr>
              <w:t>建设项目</w:t>
            </w:r>
            <w:r>
              <w:rPr>
                <w:rFonts w:hint="default" w:ascii="Times New Roman" w:hAnsi="Times New Roman" w:eastAsia="宋体" w:cs="Times New Roman"/>
                <w:b/>
                <w:bCs/>
                <w:color w:val="000000"/>
                <w:sz w:val="21"/>
                <w:szCs w:val="21"/>
                <w:vertAlign w:val="baseline"/>
                <w:lang w:val="en-US" w:eastAsia="zh-CN"/>
              </w:rPr>
              <w:t>名称</w:t>
            </w:r>
          </w:p>
        </w:tc>
        <w:tc>
          <w:tcPr>
            <w:tcW w:w="37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sz w:val="21"/>
                <w:szCs w:val="21"/>
                <w:vertAlign w:val="baseline"/>
                <w:lang w:eastAsia="zh-CN"/>
              </w:rPr>
            </w:pPr>
            <w:r>
              <w:rPr>
                <w:rFonts w:hint="default" w:ascii="Times New Roman" w:hAnsi="Times New Roman" w:eastAsia="宋体" w:cs="Times New Roman"/>
                <w:b w:val="0"/>
                <w:bCs w:val="0"/>
                <w:color w:val="000000"/>
                <w:sz w:val="21"/>
                <w:szCs w:val="21"/>
                <w:vertAlign w:val="baseline"/>
                <w:lang w:eastAsia="zh-CN"/>
              </w:rPr>
              <w:t>苏州市太湖渔洋山水源地近岸生态修复工程项目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建设地点</w:t>
            </w:r>
          </w:p>
        </w:tc>
        <w:tc>
          <w:tcPr>
            <w:tcW w:w="37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sz w:val="21"/>
                <w:szCs w:val="21"/>
                <w:vertAlign w:val="baseline"/>
              </w:rPr>
            </w:pPr>
            <w:r>
              <w:rPr>
                <w:rFonts w:hint="default" w:ascii="Times New Roman" w:hAnsi="Times New Roman" w:eastAsia="宋体" w:cs="Times New Roman"/>
                <w:b w:val="0"/>
                <w:bCs w:val="0"/>
                <w:color w:val="000000"/>
                <w:sz w:val="21"/>
                <w:szCs w:val="21"/>
                <w:vertAlign w:val="baseline"/>
              </w:rPr>
              <w:t>太湖渔洋山饮用水水源地一级和二级保护区范围内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主要危险物质及分布</w:t>
            </w:r>
          </w:p>
        </w:tc>
        <w:tc>
          <w:tcPr>
            <w:tcW w:w="37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环境影响途径及危害后果（大气、地表水、地下水等）</w:t>
            </w:r>
          </w:p>
        </w:tc>
        <w:tc>
          <w:tcPr>
            <w:tcW w:w="37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施工期：</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①施工期</w:t>
            </w:r>
            <w:r>
              <w:rPr>
                <w:rFonts w:hint="eastAsia" w:cs="Times New Roman"/>
                <w:b w:val="0"/>
                <w:bCs w:val="0"/>
                <w:color w:val="auto"/>
                <w:sz w:val="21"/>
                <w:szCs w:val="21"/>
                <w:vertAlign w:val="baseline"/>
                <w:lang w:val="en-US" w:eastAsia="zh-CN"/>
              </w:rPr>
              <w:t>水下施工</w:t>
            </w:r>
            <w:r>
              <w:rPr>
                <w:rFonts w:hint="default" w:ascii="Times New Roman" w:hAnsi="Times New Roman" w:eastAsia="宋体" w:cs="Times New Roman"/>
                <w:b w:val="0"/>
                <w:bCs w:val="0"/>
                <w:color w:val="auto"/>
                <w:sz w:val="21"/>
                <w:szCs w:val="21"/>
                <w:vertAlign w:val="baseline"/>
                <w:lang w:eastAsia="zh-CN"/>
              </w:rPr>
              <w:t>作业过程中施工设备油等的泄露对饮用水源保护区及水源取水口造成水质污染事故的风险。②施工期施工人员生活污水、施工设备及车辆冲洗废水等施工废水等无序排放对饮用水源保护区及水源取水口造成水质污染事故的风险。</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营运期：</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①取水泵站出现柴油泄漏，污染水体。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风险防范措施要求</w:t>
            </w:r>
          </w:p>
        </w:tc>
        <w:tc>
          <w:tcPr>
            <w:tcW w:w="37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一、过程控制：</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①合理布置施工场地、材料堆场、施工便道等临时工程位置，禁止将这些临时工程设置在靠近饮用水水源保护区水域附近。</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②汛期前，必须对排洪、排水系统进行全面检查，发现问题，及时解决，准备好必要的抢险物资、工具、运载机械。</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③加强值班和巡视，对饮用水水源保护区实行严格的巡查保护制度，并做好巡查记录，密切注视水情和水质变化，发现问题及时报告，采取应急措施，严防事态恶化，避免造成大规模饮用水源水环境污染事故。</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④根据项目情况，合理安排施工作业面，建设过程中禁止在工程占地范围以外的区域进行施工活动，尤其是涉及饮用水水源保护区范围内的施工，施工围堰的设置和拆除过程中应严格管理并做好施工机械的保养和管理，以降低因意外事故对饮用水水源保护区的影响。</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⑤施工生产废水统一收集至指定地点处理：施工泥浆废水通过沉淀后回收利用；基坑废水中和后沉淀处理，含油废水静置、隔油处理，处理后废水可回用，沉淀渣定期清理；严禁施工生产废水、弃渣排入饮用水源保护区。</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⑥经过水源保护区的工程施工尽量选用先进或保养较好的设备、机械，定期检查和维护，以有效地减少跑、冒、漏、滴的数量及机械维修次数，从而减少含油污水的产生量。</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⑦施工期开展环保监理，定期对太湖水质进行监测，发现异常及时反馈当地水利及环保部门。</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⑧施工时应设置专用的垃圾箱，产生的生活垃圾经收集后，送至环卫部门集中处理。施工结束后，由专门的人员负责彻底清理拆迁及撤离产生的废料、建筑垃圾，运至指定的弃渣场或其他指定场所进行处置。严禁生活垃圾、施工废料排入饮用水源保护区范围。</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⑨施工单位应配备足够的油污吸附、隔离拦挡和净化材料，配备一定量的围油栏及吸油毡等应急物资，避免突发事故产生对水体造成污染。若施工发生油料泄露事故，可在有关部门的指导和配合下，及时采取浮油拦截和吸附措施，直至油污消除。</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⑩与应急备用水源地应急水厂做好沟通工作，以防止施工期间发生水污染事故，而与水厂沟通不及时造成应急取水、供水造成的影响。</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二、风险管理：</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①加强施工队伍的管理，加强对施工人员的技术培训和环保培训，提高施工人员的安全意识和环境保护意识，严格操作规程，避免人为操作失当引起污染事故的发生。禁止施工人员向水源保护区内倾倒垃圾、冲洗机具，禁止游泳、洗衣等行为。</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②设立专职人员负责饮用水源保护区的监督、监控、管理工作，确保各项环保措施的落实。</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③加强施工机械管理，防止跑、冒、滴、漏等现象的发生。</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④加强施工过程和质量管理，严格按照施工要求进行施工。</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⑤委托有资质的监测单位在水工作业期间进行跟踪监测，对水体浊度及悬浮颗粒变化等进行监测，以便及时监测水质变化情况，如若发现超标，及时调整工艺，并采取有效措施进行水质达标控制。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sz w:val="21"/>
                <w:szCs w:val="21"/>
                <w:vertAlign w:val="baseline"/>
              </w:rPr>
            </w:pPr>
            <w:r>
              <w:rPr>
                <w:rFonts w:hint="default" w:ascii="Times New Roman" w:hAnsi="Times New Roman" w:eastAsia="宋体" w:cs="Times New Roman"/>
                <w:b/>
                <w:bCs/>
                <w:color w:val="000000"/>
                <w:sz w:val="21"/>
                <w:szCs w:val="21"/>
                <w:vertAlign w:val="baseline"/>
              </w:rPr>
              <w:t>填表说明</w:t>
            </w:r>
          </w:p>
        </w:tc>
        <w:tc>
          <w:tcPr>
            <w:tcW w:w="37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b/>
                <w:bCs/>
                <w:color w:val="000000"/>
                <w:sz w:val="21"/>
                <w:szCs w:val="21"/>
                <w:vertAlign w:val="baseline"/>
              </w:rPr>
            </w:pPr>
            <w:r>
              <w:rPr>
                <w:rFonts w:hint="default" w:ascii="Times New Roman" w:hAnsi="Times New Roman" w:eastAsia="宋体" w:cs="Times New Roman"/>
                <w:b w:val="0"/>
                <w:bCs w:val="0"/>
                <w:color w:val="000000"/>
                <w:sz w:val="21"/>
                <w:szCs w:val="21"/>
                <w:vertAlign w:val="baseline"/>
              </w:rPr>
              <w:t>主要环境风险为施工期水污染事故，不会构成较大风险，不会对外环境的敏感目标造成较大影响。本项目制定完善的风险防范措施，定期施工及管理情况，定期进行维护，保证施工安全和质量。项目风险水平可以接受。</w:t>
            </w:r>
          </w:p>
        </w:tc>
      </w:tr>
    </w:tbl>
    <w:p>
      <w:pPr>
        <w:adjustRightInd w:val="0"/>
        <w:snapToGrid w:val="0"/>
        <w:spacing w:line="480" w:lineRule="exact"/>
        <w:ind w:firstLine="480" w:firstLineChars="200"/>
        <w:rPr>
          <w:rFonts w:hint="default" w:ascii="Times New Roman" w:hAnsi="Times New Roman" w:eastAsia="宋体" w:cs="Times New Roman"/>
          <w:color w:val="FF0000"/>
          <w:lang w:val="en-US" w:eastAsia="zh-CN"/>
        </w:rPr>
        <w:sectPr>
          <w:pgSz w:w="11905" w:h="16838"/>
          <w:pgMar w:top="1797" w:right="1440" w:bottom="1797" w:left="1440" w:header="850" w:footer="992" w:gutter="0"/>
          <w:pgBorders>
            <w:top w:val="none" w:sz="0" w:space="0"/>
            <w:left w:val="none" w:sz="0" w:space="0"/>
            <w:bottom w:val="none" w:sz="0" w:space="0"/>
            <w:right w:val="none" w:sz="0" w:space="0"/>
          </w:pgBorders>
          <w:pgNumType w:fmt="decimal"/>
          <w:cols w:space="0" w:num="1"/>
          <w:docGrid w:type="lines" w:linePitch="392" w:charSpace="0"/>
        </w:sectPr>
      </w:pPr>
    </w:p>
    <w:bookmarkEnd w:id="378"/>
    <w:bookmarkEnd w:id="379"/>
    <w:p>
      <w:pPr>
        <w:pStyle w:val="3"/>
        <w:spacing w:before="117" w:after="117"/>
        <w:jc w:val="both"/>
        <w:rPr>
          <w:rFonts w:hint="default" w:ascii="Times New Roman" w:hAnsi="Times New Roman" w:eastAsia="宋体" w:cs="Times New Roman"/>
          <w:color w:val="auto"/>
        </w:rPr>
      </w:pPr>
      <w:bookmarkStart w:id="389" w:name="_Toc492644440"/>
      <w:bookmarkStart w:id="390" w:name="_Toc6656"/>
      <w:r>
        <w:rPr>
          <w:rFonts w:hint="default" w:ascii="Times New Roman" w:hAnsi="Times New Roman" w:eastAsia="宋体" w:cs="Times New Roman"/>
          <w:color w:val="auto"/>
        </w:rPr>
        <w:t>6环境保护措施</w:t>
      </w:r>
      <w:bookmarkEnd w:id="389"/>
      <w:bookmarkEnd w:id="390"/>
    </w:p>
    <w:p>
      <w:pPr>
        <w:pStyle w:val="4"/>
        <w:bidi w:val="0"/>
        <w:jc w:val="both"/>
        <w:rPr>
          <w:rFonts w:hint="default" w:ascii="Times New Roman" w:hAnsi="Times New Roman" w:eastAsia="宋体" w:cs="Times New Roman"/>
          <w:color w:val="auto"/>
        </w:rPr>
      </w:pPr>
      <w:bookmarkStart w:id="391" w:name="_Toc492644441"/>
      <w:bookmarkStart w:id="392" w:name="_Toc28956"/>
      <w:r>
        <w:rPr>
          <w:rFonts w:hint="default" w:ascii="Times New Roman" w:hAnsi="Times New Roman" w:eastAsia="宋体" w:cs="Times New Roman"/>
          <w:color w:val="auto"/>
        </w:rPr>
        <w:t>6.</w:t>
      </w:r>
      <w:r>
        <w:rPr>
          <w:rFonts w:hint="default" w:ascii="Times New Roman" w:hAnsi="Times New Roman" w:eastAsia="宋体" w:cs="Times New Roman"/>
          <w:color w:val="auto"/>
          <w:lang w:val="en-US" w:eastAsia="zh-CN"/>
        </w:rPr>
        <w:t>1饮用水源保护区保护措施</w:t>
      </w:r>
      <w:bookmarkEnd w:id="391"/>
      <w:bookmarkEnd w:id="392"/>
    </w:p>
    <w:p>
      <w:pPr>
        <w:pStyle w:val="5"/>
        <w:bidi w:val="0"/>
        <w:jc w:val="both"/>
        <w:rPr>
          <w:rFonts w:hint="default" w:ascii="Times New Roman" w:hAnsi="Times New Roman" w:eastAsia="宋体" w:cs="Times New Roman"/>
          <w:color w:val="auto"/>
        </w:rPr>
      </w:pPr>
      <w:bookmarkStart w:id="393" w:name="_Toc507334626"/>
      <w:bookmarkStart w:id="394" w:name="_Toc503461677"/>
      <w:bookmarkStart w:id="395" w:name="_Toc492644564"/>
      <w:bookmarkStart w:id="396" w:name="_Toc447887855"/>
      <w:bookmarkStart w:id="397" w:name="_Toc20920"/>
      <w:r>
        <w:rPr>
          <w:rFonts w:hint="default" w:ascii="Times New Roman" w:hAnsi="Times New Roman" w:eastAsia="宋体" w:cs="Times New Roman"/>
          <w:color w:val="auto"/>
        </w:rPr>
        <w:t>6.</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.1</w:t>
      </w:r>
      <w:bookmarkEnd w:id="393"/>
      <w:bookmarkEnd w:id="394"/>
      <w:bookmarkEnd w:id="395"/>
      <w:bookmarkEnd w:id="396"/>
      <w:bookmarkStart w:id="398" w:name="_Toc419288571"/>
      <w:bookmarkStart w:id="399" w:name="_Toc503461678"/>
      <w:bookmarkStart w:id="400" w:name="_Toc492644565"/>
      <w:r>
        <w:rPr>
          <w:rFonts w:hint="default" w:ascii="Times New Roman" w:hAnsi="Times New Roman" w:eastAsia="宋体" w:cs="Times New Roman"/>
          <w:color w:val="auto"/>
        </w:rPr>
        <w:t>饮用水源保护区保护措施</w:t>
      </w:r>
      <w:bookmarkEnd w:id="397"/>
    </w:p>
    <w:p>
      <w:pPr>
        <w:adjustRightInd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本项目工程在太湖</w:t>
      </w:r>
      <w:r>
        <w:rPr>
          <w:rFonts w:hint="eastAsia" w:ascii="Times New Roman" w:hAnsi="Times New Roman" w:eastAsia="宋体" w:cs="Times New Roman"/>
          <w:color w:val="auto"/>
          <w:lang w:val="en-US" w:eastAsia="zh-CN"/>
        </w:rPr>
        <w:t>渔洋山</w:t>
      </w:r>
      <w:r>
        <w:rPr>
          <w:rFonts w:hint="default" w:ascii="Times New Roman" w:hAnsi="Times New Roman" w:eastAsia="宋体" w:cs="Times New Roman"/>
          <w:color w:val="auto"/>
        </w:rPr>
        <w:t>饮用水水源保护区一级</w:t>
      </w:r>
      <w:r>
        <w:rPr>
          <w:rFonts w:hint="eastAsia" w:ascii="Times New Roman" w:hAnsi="Times New Roman" w:eastAsia="宋体" w:cs="Times New Roman"/>
          <w:color w:val="auto"/>
          <w:lang w:val="en-US" w:eastAsia="zh-CN"/>
        </w:rPr>
        <w:t>和二级</w:t>
      </w:r>
      <w:r>
        <w:rPr>
          <w:rFonts w:hint="default" w:ascii="Times New Roman" w:hAnsi="Times New Roman" w:eastAsia="宋体" w:cs="Times New Roman"/>
          <w:color w:val="auto"/>
        </w:rPr>
        <w:t>管控区范围内，施工过程有可能对水源地水体产生影响，按照从严管理的原则，依据《中华人民共和国水污染防治法》（2008年6 月1日）对饮用水源保护区的管理要求，要求在施工期做到以下要求：</w:t>
      </w:r>
    </w:p>
    <w:p>
      <w:pPr>
        <w:adjustRightInd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（1）施工时应该进行水质监测，严格管控取水水质，保障取水水质的安全，一旦监测超标，停止取水，并做好应急措施，必要时启用备用取水设施；</w:t>
      </w:r>
    </w:p>
    <w:p>
      <w:pPr>
        <w:adjustRightInd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（2）严禁在饮用水水源保护区内堆放施工材料等，施工材料临时堆放地点应远离饮用水源保护区，并应备有临时遮挡的帆布，做好用料的合理安排以减少堆放时间，废弃后应及时清运；</w:t>
      </w:r>
    </w:p>
    <w:p>
      <w:pPr>
        <w:adjustRightInd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rPr>
        <w:t>）禁止在靠近施工区河段区域新建与本工程有关的排放污染物的临时工程；</w:t>
      </w:r>
    </w:p>
    <w:p>
      <w:pPr>
        <w:adjustRightInd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4</w:t>
      </w:r>
      <w:r>
        <w:rPr>
          <w:rFonts w:hint="default" w:ascii="Times New Roman" w:hAnsi="Times New Roman" w:eastAsia="宋体" w:cs="Times New Roman"/>
          <w:color w:val="auto"/>
        </w:rPr>
        <w:t>）教育引导施工人员，不在该河段内游泳，乱扔垃圾等；</w:t>
      </w:r>
    </w:p>
    <w:p>
      <w:pPr>
        <w:adjustRightInd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rPr>
        <w:t>）建立完善的水质监测及预警系统，加强地表水体的监测工作；</w:t>
      </w:r>
    </w:p>
    <w:p>
      <w:pPr>
        <w:adjustRightInd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6</w:t>
      </w:r>
      <w:r>
        <w:rPr>
          <w:rFonts w:hint="default" w:ascii="Times New Roman" w:hAnsi="Times New Roman" w:eastAsia="宋体" w:cs="Times New Roman"/>
          <w:color w:val="auto"/>
        </w:rPr>
        <w:t>）水源保护区段施工必须配备一定量的围油栏及吸油毡等应急物资，避免突发事故产生对水体造成污染。</w:t>
      </w:r>
    </w:p>
    <w:p>
      <w:pPr>
        <w:adjustRightInd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本工程为非污染生态工程，运行期不会排放污染物，基本不会对取水口水质产生影响。</w:t>
      </w:r>
    </w:p>
    <w:p>
      <w:pPr>
        <w:pStyle w:val="5"/>
        <w:bidi w:val="0"/>
        <w:jc w:val="both"/>
        <w:rPr>
          <w:rFonts w:hint="default" w:ascii="Times New Roman" w:hAnsi="Times New Roman" w:eastAsia="宋体" w:cs="Times New Roman"/>
          <w:color w:val="auto"/>
        </w:rPr>
      </w:pPr>
      <w:bookmarkStart w:id="401" w:name="_Toc23239"/>
      <w:r>
        <w:rPr>
          <w:rFonts w:hint="default" w:ascii="Times New Roman" w:hAnsi="Times New Roman" w:eastAsia="宋体" w:cs="Times New Roman"/>
          <w:color w:val="auto"/>
        </w:rPr>
        <w:t>6.1.2 取水口风险防范措施</w:t>
      </w:r>
      <w:bookmarkEnd w:id="401"/>
    </w:p>
    <w:p>
      <w:pPr>
        <w:adjustRightInd w:val="0"/>
        <w:snapToGrid w:val="0"/>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为了降低水体环境受影响的风险，拟制定风险防范对策措施：</w:t>
      </w:r>
    </w:p>
    <w:p>
      <w:pPr>
        <w:adjustRightInd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（1）加强施工环境管理，重视水源保护的宣传教育</w:t>
      </w:r>
    </w:p>
    <w:p>
      <w:pPr>
        <w:adjustRightInd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用水安全关系到居民生命健康，因此要加强施工期环境管理工作，设专门的部门进行管理，并责任落实到人。加强宣传教育工作，提高施工人员的水源保护意识，严格按照施工要求进行，教育施工人员要规范操作施工机械，严格按规定使用含油等有机化学品以及危险化学品，坚决杜绝对水源可能造成影响的施工活动。</w:t>
      </w:r>
    </w:p>
    <w:p>
      <w:pPr>
        <w:adjustRightInd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（2）建立水污染突发性事件应急机制</w:t>
      </w:r>
    </w:p>
    <w:p>
      <w:pPr>
        <w:adjustRightInd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一是建立工程附近河段水源地水质自动监测系统，加强施工期水源地水质的动态监测与跟踪，以防范意外事故排放等原因造成的水质污染事故；二是编制水污染突发性事件应急预案，主要包括事故发生后的污染应急治理方案以及应急取水方案。</w:t>
      </w:r>
    </w:p>
    <w:p>
      <w:pPr>
        <w:pStyle w:val="4"/>
        <w:bidi w:val="0"/>
        <w:jc w:val="both"/>
        <w:rPr>
          <w:rFonts w:hint="default" w:ascii="Times New Roman" w:hAnsi="Times New Roman" w:eastAsia="宋体" w:cs="Times New Roman"/>
          <w:color w:val="auto"/>
        </w:rPr>
      </w:pPr>
      <w:bookmarkStart w:id="402" w:name="_Toc26852"/>
      <w:r>
        <w:rPr>
          <w:rFonts w:hint="default" w:ascii="Times New Roman" w:hAnsi="Times New Roman" w:eastAsia="宋体" w:cs="Times New Roman"/>
          <w:color w:val="auto"/>
        </w:rPr>
        <w:t>6.2 水环境保护措施</w:t>
      </w:r>
      <w:bookmarkEnd w:id="402"/>
    </w:p>
    <w:p>
      <w:pPr>
        <w:pStyle w:val="5"/>
        <w:bidi w:val="0"/>
        <w:jc w:val="both"/>
        <w:rPr>
          <w:rFonts w:hint="default" w:ascii="Times New Roman" w:hAnsi="Times New Roman" w:eastAsia="宋体" w:cs="Times New Roman"/>
          <w:color w:val="auto"/>
        </w:rPr>
      </w:pPr>
      <w:bookmarkStart w:id="403" w:name="_Toc1245"/>
      <w:r>
        <w:rPr>
          <w:rFonts w:hint="default" w:ascii="Times New Roman" w:hAnsi="Times New Roman" w:eastAsia="宋体" w:cs="Times New Roman"/>
          <w:color w:val="auto"/>
        </w:rPr>
        <w:t>6.2.</w:t>
      </w:r>
      <w:r>
        <w:rPr>
          <w:rFonts w:hint="eastAsia" w:cs="Times New Roman"/>
          <w:color w:val="auto"/>
          <w:lang w:val="en-US" w:eastAsia="zh-CN"/>
        </w:rPr>
        <w:t>1</w:t>
      </w:r>
      <w:r>
        <w:rPr>
          <w:rFonts w:hint="default" w:ascii="Times New Roman" w:hAnsi="Times New Roman" w:eastAsia="宋体" w:cs="Times New Roman"/>
          <w:color w:val="auto"/>
        </w:rPr>
        <w:t xml:space="preserve"> 施工生活污水处理</w:t>
      </w:r>
      <w:bookmarkEnd w:id="403"/>
    </w:p>
    <w:p>
      <w:pPr>
        <w:adjustRightInd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本项目设置项目部，为尽可能使其生活污水等影响减小到最低程度，应采取合理有效的措施：</w:t>
      </w:r>
    </w:p>
    <w:p>
      <w:pPr>
        <w:adjustRightInd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（1）对于居住在附近民房的施工人员的生活污水，经市政污水管网接入</w:t>
      </w:r>
      <w:r>
        <w:rPr>
          <w:rFonts w:hint="eastAsia" w:cs="Times New Roman"/>
          <w:color w:val="auto"/>
          <w:lang w:val="en-US" w:eastAsia="zh-CN"/>
        </w:rPr>
        <w:t>金庭污水处理厂</w:t>
      </w:r>
      <w:r>
        <w:rPr>
          <w:rFonts w:hint="default" w:ascii="Times New Roman" w:hAnsi="Times New Roman" w:eastAsia="宋体" w:cs="Times New Roman"/>
          <w:color w:val="auto"/>
        </w:rPr>
        <w:t>，经处理达标后排放。</w:t>
      </w:r>
    </w:p>
    <w:p>
      <w:pPr>
        <w:adjustRightInd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（2）</w:t>
      </w:r>
      <w:r>
        <w:rPr>
          <w:rFonts w:hint="eastAsia" w:cs="Times New Roman"/>
          <w:color w:val="auto"/>
          <w:lang w:val="en-US" w:eastAsia="zh-CN"/>
        </w:rPr>
        <w:t>项目部</w:t>
      </w:r>
      <w:r>
        <w:rPr>
          <w:rFonts w:hint="default" w:ascii="Times New Roman" w:hAnsi="Times New Roman" w:eastAsia="宋体" w:cs="Times New Roman"/>
          <w:color w:val="auto"/>
        </w:rPr>
        <w:t>位于</w:t>
      </w:r>
      <w:r>
        <w:rPr>
          <w:rFonts w:hint="eastAsia" w:cs="Times New Roman"/>
          <w:color w:val="auto"/>
          <w:lang w:val="en-US" w:eastAsia="zh-CN"/>
        </w:rPr>
        <w:t>金庭污水处理厂</w:t>
      </w:r>
      <w:r>
        <w:rPr>
          <w:rFonts w:hint="default" w:ascii="Times New Roman" w:hAnsi="Times New Roman" w:eastAsia="宋体" w:cs="Times New Roman"/>
          <w:color w:val="auto"/>
        </w:rPr>
        <w:t>纳管范围，项目所在区域至污水处理厂污水管网已建成，且目前正常运行，施工人员产生的生活污水接管入市政污水管接入</w:t>
      </w:r>
      <w:r>
        <w:rPr>
          <w:rFonts w:hint="eastAsia" w:cs="Times New Roman"/>
          <w:color w:val="auto"/>
          <w:lang w:val="en-US" w:eastAsia="zh-CN"/>
        </w:rPr>
        <w:t>金庭污水处理厂</w:t>
      </w:r>
      <w:r>
        <w:rPr>
          <w:rFonts w:hint="default" w:ascii="Times New Roman" w:hAnsi="Times New Roman" w:eastAsia="宋体" w:cs="Times New Roman"/>
          <w:color w:val="auto"/>
        </w:rPr>
        <w:t>是可行的。</w:t>
      </w:r>
    </w:p>
    <w:p>
      <w:pPr>
        <w:adjustRightInd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（3）项目施工人员产生的生活污水禁止排放至附近水体，尤其是太湖，为饮用水水源保护区，为II类水体，应加强管理力度。</w:t>
      </w:r>
    </w:p>
    <w:p>
      <w:pPr>
        <w:pStyle w:val="4"/>
        <w:bidi w:val="0"/>
        <w:jc w:val="both"/>
        <w:rPr>
          <w:rFonts w:hint="default" w:ascii="Times New Roman" w:hAnsi="Times New Roman" w:eastAsia="宋体" w:cs="Times New Roman"/>
          <w:color w:val="auto"/>
        </w:rPr>
      </w:pPr>
      <w:bookmarkStart w:id="404" w:name="_Toc22386"/>
      <w:r>
        <w:rPr>
          <w:rFonts w:hint="default" w:ascii="Times New Roman" w:hAnsi="Times New Roman" w:eastAsia="宋体" w:cs="Times New Roman"/>
          <w:color w:val="auto"/>
        </w:rPr>
        <w:t>6.3 大气环境保护措施</w:t>
      </w:r>
      <w:bookmarkEnd w:id="404"/>
    </w:p>
    <w:p>
      <w:pPr>
        <w:pStyle w:val="5"/>
        <w:bidi w:val="0"/>
        <w:jc w:val="both"/>
        <w:rPr>
          <w:rFonts w:hint="default" w:ascii="Times New Roman" w:hAnsi="Times New Roman" w:eastAsia="宋体" w:cs="Times New Roman"/>
          <w:color w:val="auto"/>
        </w:rPr>
      </w:pPr>
      <w:bookmarkStart w:id="405" w:name="_Toc16352"/>
      <w:r>
        <w:rPr>
          <w:rFonts w:hint="default" w:ascii="Times New Roman" w:hAnsi="Times New Roman" w:eastAsia="宋体" w:cs="Times New Roman"/>
          <w:color w:val="auto"/>
        </w:rPr>
        <w:t>6.3.1 扬尘、粉尘影响防护对策措施</w:t>
      </w:r>
      <w:bookmarkEnd w:id="405"/>
    </w:p>
    <w:p>
      <w:pPr>
        <w:adjustRightInd w:val="0"/>
        <w:snapToGrid w:val="0"/>
        <w:spacing w:line="480" w:lineRule="exact"/>
        <w:ind w:firstLine="480" w:firstLineChars="200"/>
        <w:jc w:val="both"/>
        <w:rPr>
          <w:rFonts w:hint="default" w:ascii="Times New Roman" w:hAnsi="Times New Roman" w:eastAsia="宋体" w:cs="Times New Roman"/>
          <w:b w:val="0"/>
          <w:bCs w:val="0"/>
          <w:color w:val="auto"/>
        </w:rPr>
      </w:pPr>
      <w:r>
        <w:rPr>
          <w:rFonts w:hint="eastAsia" w:cs="Times New Roman"/>
          <w:b w:val="0"/>
          <w:bCs w:val="0"/>
          <w:color w:val="auto"/>
          <w:lang w:val="en-US" w:eastAsia="zh-CN"/>
        </w:rPr>
        <w:t>1、</w:t>
      </w:r>
      <w:r>
        <w:rPr>
          <w:rFonts w:hint="default" w:ascii="Times New Roman" w:hAnsi="Times New Roman" w:eastAsia="宋体" w:cs="Times New Roman"/>
          <w:b w:val="0"/>
          <w:bCs w:val="0"/>
          <w:color w:val="auto"/>
        </w:rPr>
        <w:t>车辆运输扬尘</w:t>
      </w:r>
    </w:p>
    <w:p>
      <w:pPr>
        <w:adjustRightInd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车辆运输扬尘主要产自车辆碾压道路起尘和运输物料的泄露，可通过以下措施加以控制：</w:t>
      </w:r>
    </w:p>
    <w:p>
      <w:pPr>
        <w:adjustRightInd w:val="0"/>
        <w:snapToGrid w:val="0"/>
        <w:spacing w:line="480" w:lineRule="exact"/>
        <w:ind w:firstLine="480" w:firstLineChars="200"/>
        <w:jc w:val="both"/>
        <w:rPr>
          <w:rFonts w:hint="default" w:ascii="Times New Roman" w:hAnsi="Times New Roman" w:eastAsia="宋体" w:cs="Times New Roman"/>
          <w:color w:val="auto"/>
        </w:rPr>
      </w:pPr>
      <w:r>
        <w:rPr>
          <w:rFonts w:hint="eastAsia" w:cs="Times New Roman"/>
          <w:color w:val="auto"/>
          <w:lang w:eastAsia="zh-CN"/>
        </w:rPr>
        <w:t>（</w:t>
      </w:r>
      <w:r>
        <w:rPr>
          <w:rFonts w:hint="eastAsia" w:cs="Times New Roman"/>
          <w:color w:val="auto"/>
          <w:lang w:val="en-US" w:eastAsia="zh-CN"/>
        </w:rPr>
        <w:t>1</w:t>
      </w:r>
      <w:r>
        <w:rPr>
          <w:rFonts w:hint="eastAsia" w:cs="Times New Roman"/>
          <w:color w:val="auto"/>
          <w:lang w:eastAsia="zh-CN"/>
        </w:rPr>
        <w:t>）</w:t>
      </w:r>
      <w:r>
        <w:rPr>
          <w:rFonts w:hint="default" w:ascii="Times New Roman" w:hAnsi="Times New Roman" w:eastAsia="宋体" w:cs="Times New Roman"/>
          <w:color w:val="auto"/>
        </w:rPr>
        <w:t>施工道路应进行硬化、工地出入口设置车辆冲洗设施，运输车辆必须冲洗后出场，减少车辆带出的泥土散落在施工道路上；</w:t>
      </w:r>
    </w:p>
    <w:p>
      <w:pPr>
        <w:adjustRightInd w:val="0"/>
        <w:snapToGrid w:val="0"/>
        <w:spacing w:line="480" w:lineRule="exact"/>
        <w:ind w:firstLine="480" w:firstLineChars="200"/>
        <w:jc w:val="both"/>
        <w:rPr>
          <w:rFonts w:hint="default" w:ascii="Times New Roman" w:hAnsi="Times New Roman" w:eastAsia="宋体" w:cs="Times New Roman"/>
          <w:color w:val="auto"/>
        </w:rPr>
      </w:pPr>
      <w:r>
        <w:rPr>
          <w:rFonts w:hint="eastAsia" w:cs="Times New Roman"/>
          <w:color w:val="auto"/>
          <w:lang w:eastAsia="zh-CN"/>
        </w:rPr>
        <w:t>（</w:t>
      </w:r>
      <w:r>
        <w:rPr>
          <w:rFonts w:hint="eastAsia" w:cs="Times New Roman"/>
          <w:color w:val="auto"/>
          <w:lang w:val="en-US" w:eastAsia="zh-CN"/>
        </w:rPr>
        <w:t>2</w:t>
      </w:r>
      <w:r>
        <w:rPr>
          <w:rFonts w:hint="eastAsia" w:cs="Times New Roman"/>
          <w:color w:val="auto"/>
          <w:lang w:eastAsia="zh-CN"/>
        </w:rPr>
        <w:t>）</w:t>
      </w:r>
      <w:r>
        <w:rPr>
          <w:rFonts w:hint="default" w:ascii="Times New Roman" w:hAnsi="Times New Roman" w:eastAsia="宋体" w:cs="Times New Roman"/>
          <w:color w:val="auto"/>
        </w:rPr>
        <w:t>定期对施工道路进行养护、清扫，保持路面平整；路两侧设限速标志，控制车速不得超过30km/h；</w:t>
      </w:r>
    </w:p>
    <w:p>
      <w:pPr>
        <w:adjustRightInd w:val="0"/>
        <w:snapToGrid w:val="0"/>
        <w:spacing w:line="480" w:lineRule="exact"/>
        <w:ind w:firstLine="480" w:firstLineChars="200"/>
        <w:jc w:val="both"/>
        <w:rPr>
          <w:rFonts w:hint="default" w:ascii="Times New Roman" w:hAnsi="Times New Roman" w:eastAsia="宋体" w:cs="Times New Roman"/>
          <w:color w:val="auto"/>
        </w:rPr>
      </w:pPr>
      <w:r>
        <w:rPr>
          <w:rFonts w:hint="eastAsia" w:cs="Times New Roman"/>
          <w:color w:val="auto"/>
          <w:lang w:eastAsia="zh-CN"/>
        </w:rPr>
        <w:t>（</w:t>
      </w:r>
      <w:r>
        <w:rPr>
          <w:rFonts w:hint="eastAsia" w:cs="Times New Roman"/>
          <w:color w:val="auto"/>
          <w:lang w:val="en-US" w:eastAsia="zh-CN"/>
        </w:rPr>
        <w:t>3</w:t>
      </w:r>
      <w:r>
        <w:rPr>
          <w:rFonts w:hint="eastAsia" w:cs="Times New Roman"/>
          <w:color w:val="auto"/>
          <w:lang w:eastAsia="zh-CN"/>
        </w:rPr>
        <w:t>）</w:t>
      </w:r>
      <w:r>
        <w:rPr>
          <w:rFonts w:hint="default" w:ascii="Times New Roman" w:hAnsi="Times New Roman" w:eastAsia="宋体" w:cs="Times New Roman"/>
          <w:color w:val="auto"/>
        </w:rPr>
        <w:t>工程沿线共配备洒水车，定期洒水清扫运输车进出的主干道，保持车辆出入口路面清洁、湿润，并尽量减缓行驶车速；施工现场设专人负责保洁工作，每个施工段安排1 名员工对施工场地和运输车辆行驶路面进行洒水和清扫。洒水次数根据天气情况而定，原则上每天早（7:30～9:00）、晚（16:30～19:00）上下班高峰期以及中（12:00～13:00）各洒水一次，当风速大于5 级、夏季晴好的天气每隔2个小时洒水一次；</w:t>
      </w:r>
    </w:p>
    <w:p>
      <w:pPr>
        <w:adjustRightInd w:val="0"/>
        <w:snapToGrid w:val="0"/>
        <w:spacing w:line="480" w:lineRule="exact"/>
        <w:ind w:firstLine="480" w:firstLineChars="200"/>
        <w:jc w:val="both"/>
        <w:rPr>
          <w:rFonts w:hint="eastAsia" w:ascii="Times New Roman" w:hAnsi="Times New Roman" w:eastAsia="宋体" w:cs="Times New Roman"/>
          <w:color w:val="0000FF"/>
          <w:lang w:eastAsia="zh-CN"/>
        </w:rPr>
      </w:pPr>
      <w:r>
        <w:rPr>
          <w:rFonts w:hint="eastAsia" w:cs="Times New Roman"/>
          <w:color w:val="auto"/>
          <w:lang w:eastAsia="zh-CN"/>
        </w:rPr>
        <w:t>（</w:t>
      </w:r>
      <w:r>
        <w:rPr>
          <w:rFonts w:hint="eastAsia" w:cs="Times New Roman"/>
          <w:color w:val="auto"/>
          <w:lang w:val="en-US" w:eastAsia="zh-CN"/>
        </w:rPr>
        <w:t>4</w:t>
      </w:r>
      <w:r>
        <w:rPr>
          <w:rFonts w:hint="eastAsia" w:cs="Times New Roman"/>
          <w:color w:val="auto"/>
          <w:lang w:eastAsia="zh-CN"/>
        </w:rPr>
        <w:t>）</w:t>
      </w:r>
      <w:r>
        <w:rPr>
          <w:rFonts w:hint="default" w:ascii="Times New Roman" w:hAnsi="Times New Roman" w:eastAsia="宋体" w:cs="Times New Roman"/>
          <w:color w:val="auto"/>
        </w:rPr>
        <w:t>正常情况下每天洒水不少于2 次，遇干燥或大风天气，每天可增加至洒水3～</w:t>
      </w:r>
    </w:p>
    <w:p>
      <w:pPr>
        <w:adjustRightInd w:val="0"/>
        <w:snapToGrid w:val="0"/>
        <w:spacing w:line="480" w:lineRule="exact"/>
        <w:jc w:val="both"/>
        <w:rPr>
          <w:rFonts w:hint="default" w:ascii="Times New Roman" w:hAnsi="Times New Roman" w:eastAsia="宋体" w:cs="Times New Roman"/>
          <w:color w:val="auto"/>
        </w:rPr>
      </w:pPr>
      <w:r>
        <w:rPr>
          <w:rFonts w:hint="default" w:ascii="Times New Roman" w:hAnsi="Times New Roman" w:eastAsia="宋体" w:cs="Times New Roman"/>
          <w:color w:val="auto"/>
        </w:rPr>
        <w:t>4 次。对于临近风景名胜区、保护区的施工区，应酌情增加洒水量和洒水次数。洒水应结合路面掉落的泥土清扫开展，避免出现道路泥泞、影响居民正常出行的情况发生；</w:t>
      </w:r>
    </w:p>
    <w:p>
      <w:pPr>
        <w:adjustRightInd w:val="0"/>
        <w:snapToGrid w:val="0"/>
        <w:spacing w:line="480" w:lineRule="exact"/>
        <w:ind w:firstLine="480" w:firstLineChars="200"/>
        <w:jc w:val="both"/>
        <w:rPr>
          <w:rFonts w:hint="default" w:ascii="Times New Roman" w:hAnsi="Times New Roman" w:eastAsia="宋体" w:cs="Times New Roman"/>
          <w:color w:val="auto"/>
        </w:rPr>
      </w:pPr>
      <w:r>
        <w:rPr>
          <w:rFonts w:hint="eastAsia" w:cs="Times New Roman"/>
          <w:color w:val="auto"/>
          <w:lang w:eastAsia="zh-CN"/>
        </w:rPr>
        <w:t>（</w:t>
      </w:r>
      <w:r>
        <w:rPr>
          <w:rFonts w:hint="eastAsia" w:cs="Times New Roman"/>
          <w:color w:val="auto"/>
          <w:lang w:val="en-US" w:eastAsia="zh-CN"/>
        </w:rPr>
        <w:t>5</w:t>
      </w:r>
      <w:r>
        <w:rPr>
          <w:rFonts w:hint="eastAsia" w:cs="Times New Roman"/>
          <w:color w:val="auto"/>
          <w:lang w:eastAsia="zh-CN"/>
        </w:rPr>
        <w:t>）</w:t>
      </w:r>
      <w:r>
        <w:rPr>
          <w:rFonts w:hint="default" w:ascii="Times New Roman" w:hAnsi="Times New Roman" w:eastAsia="宋体" w:cs="Times New Roman"/>
          <w:color w:val="auto"/>
        </w:rPr>
        <w:t>加强运输管理，水泥、砂石运输时用防水布覆盖，装卸作业要文明作业， 坚持文明装卸，避免袋装水泥散包；运输车辆卸完货后应清洗车厢；工作车辆及运输车辆在离开施工区时冲洗轮胎，检查装车质量；</w:t>
      </w:r>
    </w:p>
    <w:p>
      <w:pPr>
        <w:adjustRightInd w:val="0"/>
        <w:snapToGrid w:val="0"/>
        <w:spacing w:line="480" w:lineRule="exact"/>
        <w:ind w:firstLine="480" w:firstLineChars="200"/>
        <w:jc w:val="both"/>
        <w:rPr>
          <w:rFonts w:hint="default" w:ascii="Times New Roman" w:hAnsi="Times New Roman" w:eastAsia="宋体" w:cs="Times New Roman"/>
          <w:color w:val="auto"/>
        </w:rPr>
      </w:pPr>
      <w:r>
        <w:rPr>
          <w:rFonts w:hint="eastAsia" w:cs="Times New Roman"/>
          <w:color w:val="auto"/>
          <w:lang w:eastAsia="zh-CN"/>
        </w:rPr>
        <w:t>（</w:t>
      </w:r>
      <w:r>
        <w:rPr>
          <w:rFonts w:hint="eastAsia" w:cs="Times New Roman"/>
          <w:color w:val="auto"/>
          <w:lang w:val="en-US" w:eastAsia="zh-CN"/>
        </w:rPr>
        <w:t>6</w:t>
      </w:r>
      <w:r>
        <w:rPr>
          <w:rFonts w:hint="eastAsia" w:cs="Times New Roman"/>
          <w:color w:val="auto"/>
          <w:lang w:eastAsia="zh-CN"/>
        </w:rPr>
        <w:t>）</w:t>
      </w:r>
      <w:r>
        <w:rPr>
          <w:rFonts w:hint="default" w:ascii="Times New Roman" w:hAnsi="Times New Roman" w:eastAsia="宋体" w:cs="Times New Roman"/>
          <w:color w:val="auto"/>
        </w:rPr>
        <w:t>加强施工管理，选择合理运输路线，减少扬尘对沿线居民的影响；运输车辆经过居民点路段应控制施工车辆行驶速度。</w:t>
      </w:r>
    </w:p>
    <w:p>
      <w:pPr>
        <w:adjustRightInd w:val="0"/>
        <w:snapToGrid w:val="0"/>
        <w:spacing w:line="480" w:lineRule="exact"/>
        <w:ind w:firstLine="480" w:firstLineChars="200"/>
        <w:jc w:val="both"/>
        <w:rPr>
          <w:rFonts w:hint="default" w:ascii="Times New Roman" w:hAnsi="Times New Roman" w:eastAsia="宋体" w:cs="Times New Roman"/>
          <w:b w:val="0"/>
          <w:bCs w:val="0"/>
          <w:color w:val="auto"/>
        </w:rPr>
      </w:pPr>
      <w:r>
        <w:rPr>
          <w:rFonts w:hint="eastAsia" w:cs="Times New Roman"/>
          <w:b w:val="0"/>
          <w:bCs w:val="0"/>
          <w:color w:val="auto"/>
          <w:lang w:val="en-US" w:eastAsia="zh-CN"/>
        </w:rPr>
        <w:t>2、</w:t>
      </w:r>
      <w:r>
        <w:rPr>
          <w:rFonts w:hint="default" w:ascii="Times New Roman" w:hAnsi="Times New Roman" w:eastAsia="宋体" w:cs="Times New Roman"/>
          <w:b w:val="0"/>
          <w:bCs w:val="0"/>
          <w:color w:val="auto"/>
        </w:rPr>
        <w:t>敏感点大气污染防治措施</w:t>
      </w:r>
    </w:p>
    <w:p>
      <w:pPr>
        <w:adjustRightInd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本项目沿线和施工场地附近敏感点主要</w:t>
      </w:r>
      <w:r>
        <w:rPr>
          <w:rFonts w:hint="eastAsia" w:cs="Times New Roman"/>
          <w:color w:val="auto"/>
          <w:lang w:val="en-US" w:eastAsia="zh-CN"/>
        </w:rPr>
        <w:t>为渔洋山景区</w:t>
      </w:r>
      <w:r>
        <w:rPr>
          <w:rFonts w:hint="eastAsia" w:cs="Times New Roman"/>
          <w:color w:val="auto"/>
          <w:lang w:eastAsia="zh-CN"/>
        </w:rPr>
        <w:t>，</w:t>
      </w:r>
      <w:r>
        <w:rPr>
          <w:rFonts w:hint="default" w:ascii="Times New Roman" w:hAnsi="Times New Roman" w:eastAsia="宋体" w:cs="Times New Roman"/>
          <w:color w:val="auto"/>
        </w:rPr>
        <w:t>在项目施工期间将受施工扬尘的影响。根据天气和现场具体施工情况调整洒水降尘次数以降低扬尘对周围环境的影响。雨天可以减少洒水降尘次数，干燥天气则应增加洒水降尘次数。</w:t>
      </w:r>
    </w:p>
    <w:p>
      <w:pPr>
        <w:adjustRightInd w:val="0"/>
        <w:snapToGrid w:val="0"/>
        <w:spacing w:line="480" w:lineRule="exact"/>
        <w:ind w:firstLine="480" w:firstLineChars="200"/>
        <w:jc w:val="both"/>
        <w:rPr>
          <w:rFonts w:hint="default" w:ascii="Times New Roman" w:hAnsi="Times New Roman" w:eastAsia="宋体" w:cs="Times New Roman"/>
          <w:color w:val="auto"/>
        </w:rPr>
      </w:pPr>
      <w:r>
        <w:rPr>
          <w:rFonts w:hint="eastAsia" w:cs="Times New Roman"/>
          <w:color w:val="auto"/>
          <w:lang w:val="en-US" w:eastAsia="zh-CN"/>
        </w:rPr>
        <w:t>3</w:t>
      </w:r>
      <w:r>
        <w:rPr>
          <w:rFonts w:hint="default" w:ascii="Times New Roman" w:hAnsi="Times New Roman" w:eastAsia="宋体" w:cs="Times New Roman"/>
          <w:color w:val="auto"/>
        </w:rPr>
        <w:t>、加强对施工人员的环保教育，提高全体施工人员的环保意识，坚持文明施工、科学施工，减少施工期的大气污染。同时，施工时要落实有关劳动保护措施，防止粉尘等影响施工人员身体健康。</w:t>
      </w:r>
    </w:p>
    <w:p>
      <w:pPr>
        <w:adjustRightInd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综上所述，施工期扬尘等废气影响是暂时的，随着施工期的结束，影响也随之结束，建设单位应注意施工扬尘的防治问题，加强施工管理，采取相应措施，尽可能减少对周边环境以及周边居民区等敏感点的影响，根据国内同类项目情况分析，施工期在采取上述措施后能较大程度的降低施工期扬尘污染的影响，将影响控制在一定的范围内。</w:t>
      </w:r>
    </w:p>
    <w:p>
      <w:pPr>
        <w:pStyle w:val="5"/>
        <w:bidi w:val="0"/>
        <w:jc w:val="both"/>
        <w:rPr>
          <w:rFonts w:hint="default" w:ascii="Times New Roman" w:hAnsi="Times New Roman" w:eastAsia="宋体" w:cs="Times New Roman"/>
          <w:color w:val="auto"/>
        </w:rPr>
      </w:pPr>
      <w:bookmarkStart w:id="406" w:name="_Toc11009"/>
      <w:r>
        <w:rPr>
          <w:rFonts w:hint="default" w:ascii="Times New Roman" w:hAnsi="Times New Roman" w:eastAsia="宋体" w:cs="Times New Roman"/>
          <w:color w:val="auto"/>
        </w:rPr>
        <w:t>6.3.2 燃油、燃料废气控制措施</w:t>
      </w:r>
      <w:bookmarkEnd w:id="406"/>
    </w:p>
    <w:p>
      <w:pPr>
        <w:adjustRightInd w:val="0"/>
        <w:snapToGrid w:val="0"/>
        <w:spacing w:line="480" w:lineRule="exact"/>
        <w:ind w:firstLine="480" w:firstLineChars="200"/>
        <w:jc w:val="both"/>
        <w:rPr>
          <w:rFonts w:hint="default" w:ascii="Times New Roman" w:hAnsi="Times New Roman" w:eastAsia="宋体" w:cs="Times New Roman"/>
          <w:color w:val="auto"/>
        </w:rPr>
      </w:pPr>
      <w:r>
        <w:rPr>
          <w:rFonts w:hint="eastAsia" w:cs="Times New Roman"/>
          <w:color w:val="auto"/>
          <w:lang w:val="en-US" w:eastAsia="zh-CN"/>
        </w:rPr>
        <w:t>1、</w:t>
      </w:r>
      <w:r>
        <w:rPr>
          <w:rFonts w:hint="default" w:ascii="Times New Roman" w:hAnsi="Times New Roman" w:eastAsia="宋体" w:cs="Times New Roman"/>
          <w:color w:val="auto"/>
        </w:rPr>
        <w:t>选用符合国家有关机械、机动车标准的施工机械和运输工具，使用符合标准的油料或清洁能源，使其排放的废气能够达到国家标准。</w:t>
      </w:r>
    </w:p>
    <w:p>
      <w:pPr>
        <w:adjustRightInd w:val="0"/>
        <w:snapToGrid w:val="0"/>
        <w:spacing w:line="480" w:lineRule="exact"/>
        <w:ind w:firstLine="480" w:firstLineChars="200"/>
        <w:jc w:val="both"/>
        <w:rPr>
          <w:rFonts w:hint="default" w:ascii="Times New Roman" w:hAnsi="Times New Roman" w:eastAsia="宋体" w:cs="Times New Roman"/>
          <w:color w:val="auto"/>
        </w:rPr>
      </w:pPr>
      <w:r>
        <w:rPr>
          <w:rFonts w:hint="eastAsia" w:cs="Times New Roman"/>
          <w:color w:val="auto"/>
          <w:lang w:val="en-US" w:eastAsia="zh-CN"/>
        </w:rPr>
        <w:t>2、</w:t>
      </w:r>
      <w:r>
        <w:rPr>
          <w:rFonts w:hint="default" w:ascii="Times New Roman" w:hAnsi="Times New Roman" w:eastAsia="宋体" w:cs="Times New Roman"/>
          <w:color w:val="auto"/>
        </w:rPr>
        <w:t>对于燃柴油的大型运输车辆，尾气排放量与污染物含量均较燃汽油车辆高，需安装尾气净化器，保证尾气达标排放。</w:t>
      </w:r>
    </w:p>
    <w:p>
      <w:pPr>
        <w:adjustRightInd w:val="0"/>
        <w:snapToGrid w:val="0"/>
        <w:spacing w:line="480" w:lineRule="exact"/>
        <w:ind w:firstLine="480" w:firstLineChars="200"/>
        <w:jc w:val="both"/>
        <w:rPr>
          <w:rFonts w:hint="default" w:ascii="Times New Roman" w:hAnsi="Times New Roman" w:eastAsia="宋体" w:cs="Times New Roman"/>
          <w:color w:val="auto"/>
        </w:rPr>
      </w:pPr>
      <w:r>
        <w:rPr>
          <w:rFonts w:hint="eastAsia" w:cs="Times New Roman"/>
          <w:color w:val="auto"/>
          <w:lang w:val="en-US" w:eastAsia="zh-CN"/>
        </w:rPr>
        <w:t>3、</w:t>
      </w:r>
      <w:r>
        <w:rPr>
          <w:rFonts w:hint="default" w:ascii="Times New Roman" w:hAnsi="Times New Roman" w:eastAsia="宋体" w:cs="Times New Roman"/>
          <w:color w:val="auto"/>
        </w:rPr>
        <w:t>加强燃油机械设备的维护和保养，使发动机处于正常、良好的工作状态；执行《在用汽车报废标准》，推行强制更新报废制度，对于发动机耗油多、效率低、排放尾气严重超标的老旧车辆，及时更新。</w:t>
      </w:r>
    </w:p>
    <w:p>
      <w:pPr>
        <w:adjustRightInd w:val="0"/>
        <w:snapToGrid w:val="0"/>
        <w:spacing w:line="480" w:lineRule="exact"/>
        <w:ind w:firstLine="480" w:firstLineChars="200"/>
        <w:jc w:val="both"/>
        <w:rPr>
          <w:rFonts w:hint="default" w:ascii="Times New Roman" w:hAnsi="Times New Roman" w:eastAsia="宋体" w:cs="Times New Roman"/>
          <w:color w:val="auto"/>
        </w:rPr>
      </w:pPr>
      <w:r>
        <w:rPr>
          <w:rFonts w:hint="eastAsia" w:cs="Times New Roman"/>
          <w:color w:val="auto"/>
          <w:lang w:val="en-US" w:eastAsia="zh-CN"/>
        </w:rPr>
        <w:t>4、</w:t>
      </w:r>
      <w:r>
        <w:rPr>
          <w:rFonts w:hint="default" w:ascii="Times New Roman" w:hAnsi="Times New Roman" w:eastAsia="宋体" w:cs="Times New Roman"/>
          <w:color w:val="auto"/>
        </w:rPr>
        <w:t>施工现场的办公区有条件时应当进行绿化和美化，食堂应采用液化气作为燃料，不得使用燃煤、燃油炉灶。</w:t>
      </w:r>
    </w:p>
    <w:p>
      <w:pPr>
        <w:adjustRightInd w:val="0"/>
        <w:snapToGrid w:val="0"/>
        <w:spacing w:line="480" w:lineRule="exact"/>
        <w:ind w:firstLine="480" w:firstLineChars="200"/>
        <w:jc w:val="both"/>
        <w:rPr>
          <w:rFonts w:hint="default" w:ascii="Times New Roman" w:hAnsi="Times New Roman" w:eastAsia="宋体" w:cs="Times New Roman"/>
          <w:color w:val="auto"/>
        </w:rPr>
      </w:pPr>
      <w:r>
        <w:rPr>
          <w:rFonts w:hint="eastAsia" w:cs="Times New Roman"/>
          <w:color w:val="auto"/>
          <w:lang w:val="en-US" w:eastAsia="zh-CN"/>
        </w:rPr>
        <w:t>5、</w:t>
      </w:r>
      <w:r>
        <w:rPr>
          <w:rFonts w:hint="default" w:ascii="Times New Roman" w:hAnsi="Times New Roman" w:eastAsia="宋体" w:cs="Times New Roman"/>
          <w:color w:val="auto"/>
        </w:rPr>
        <w:t>在施工招标时，将车辆使用标准、燃油、燃料使用标准，纳入招标文件予以明确。施工期环境监理单位应将施工单位施工车辆、燃油、燃料的使用情况纳入环境监理工作中。</w:t>
      </w:r>
    </w:p>
    <w:p>
      <w:pPr>
        <w:adjustRightInd w:val="0"/>
        <w:snapToGrid w:val="0"/>
        <w:spacing w:line="480" w:lineRule="exact"/>
        <w:ind w:firstLine="480" w:firstLineChars="200"/>
        <w:jc w:val="both"/>
        <w:rPr>
          <w:rFonts w:hint="default" w:ascii="Times New Roman" w:hAnsi="Times New Roman" w:eastAsia="宋体" w:cs="Times New Roman"/>
          <w:color w:val="auto"/>
        </w:rPr>
      </w:pPr>
      <w:r>
        <w:rPr>
          <w:rFonts w:hint="eastAsia" w:cs="Times New Roman"/>
          <w:color w:val="auto"/>
          <w:lang w:val="en-US" w:eastAsia="zh-CN"/>
        </w:rPr>
        <w:t>6、</w:t>
      </w:r>
      <w:r>
        <w:rPr>
          <w:rFonts w:hint="default" w:ascii="Times New Roman" w:hAnsi="Times New Roman" w:eastAsia="宋体" w:cs="Times New Roman"/>
          <w:color w:val="auto"/>
        </w:rPr>
        <w:t>加强对施工机械，运输车辆的维修保养，禁止以柴油为燃料的施工机械超负荷工作，减少烟度和颗粒物排放；</w:t>
      </w:r>
    </w:p>
    <w:p>
      <w:pPr>
        <w:adjustRightInd w:val="0"/>
        <w:snapToGrid w:val="0"/>
        <w:spacing w:line="480" w:lineRule="exact"/>
        <w:ind w:firstLine="480" w:firstLineChars="200"/>
        <w:jc w:val="both"/>
        <w:rPr>
          <w:rFonts w:hint="eastAsia" w:ascii="Times New Roman" w:hAnsi="Times New Roman" w:eastAsia="宋体" w:cs="Times New Roman"/>
          <w:color w:val="auto"/>
          <w:lang w:eastAsia="zh-CN"/>
        </w:rPr>
      </w:pPr>
      <w:r>
        <w:rPr>
          <w:rFonts w:hint="eastAsia" w:cs="Times New Roman"/>
          <w:color w:val="auto"/>
          <w:lang w:val="en-US" w:eastAsia="zh-CN"/>
        </w:rPr>
        <w:t>7、</w:t>
      </w:r>
      <w:r>
        <w:rPr>
          <w:rFonts w:hint="default" w:ascii="Times New Roman" w:hAnsi="Times New Roman" w:eastAsia="宋体" w:cs="Times New Roman"/>
          <w:color w:val="auto"/>
        </w:rPr>
        <w:t>配合有关部门搞好施工期间周围道路的交通组织，避免因施工而造成交通堵塞，减少因此而产生的怠速废气排放</w:t>
      </w:r>
      <w:r>
        <w:rPr>
          <w:rFonts w:hint="eastAsia" w:cs="Times New Roman"/>
          <w:color w:val="auto"/>
          <w:lang w:eastAsia="zh-CN"/>
        </w:rPr>
        <w:t>。</w:t>
      </w:r>
    </w:p>
    <w:p>
      <w:pPr>
        <w:pStyle w:val="5"/>
        <w:bidi w:val="0"/>
        <w:jc w:val="both"/>
        <w:rPr>
          <w:rFonts w:hint="default" w:ascii="Times New Roman" w:hAnsi="Times New Roman" w:eastAsia="宋体" w:cs="Times New Roman"/>
          <w:color w:val="auto"/>
        </w:rPr>
      </w:pPr>
      <w:bookmarkStart w:id="407" w:name="_Toc28048"/>
      <w:r>
        <w:rPr>
          <w:rFonts w:hint="default" w:ascii="Times New Roman" w:hAnsi="Times New Roman" w:eastAsia="宋体" w:cs="Times New Roman"/>
          <w:color w:val="auto"/>
        </w:rPr>
        <w:t>6.3.3 施工人员劳动保护</w:t>
      </w:r>
      <w:bookmarkEnd w:id="407"/>
    </w:p>
    <w:p>
      <w:pPr>
        <w:adjustRightInd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按照国家有关劳动保护的规定，为施工人员发放防尘用具，施工过程中还应及时清洗更换。</w:t>
      </w:r>
    </w:p>
    <w:p>
      <w:pPr>
        <w:adjustRightInd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加强对施工人员的环保教育，提高全体施工人员的环保意识，坚持文明施工、科学施工，减少施工期的大气污染。</w:t>
      </w:r>
    </w:p>
    <w:bookmarkEnd w:id="398"/>
    <w:bookmarkEnd w:id="399"/>
    <w:bookmarkEnd w:id="400"/>
    <w:p>
      <w:pPr>
        <w:pStyle w:val="4"/>
        <w:bidi w:val="0"/>
        <w:jc w:val="both"/>
        <w:rPr>
          <w:rFonts w:hint="default" w:ascii="Times New Roman" w:hAnsi="Times New Roman" w:eastAsia="宋体" w:cs="Times New Roman"/>
          <w:color w:val="auto"/>
        </w:rPr>
      </w:pPr>
      <w:bookmarkStart w:id="408" w:name="_Toc492644443"/>
      <w:bookmarkStart w:id="409" w:name="_Toc1664"/>
      <w:r>
        <w:rPr>
          <w:rFonts w:hint="default" w:ascii="Times New Roman" w:hAnsi="Times New Roman" w:eastAsia="宋体" w:cs="Times New Roman"/>
          <w:color w:val="auto"/>
        </w:rPr>
        <w:t>6.</w:t>
      </w:r>
      <w:r>
        <w:rPr>
          <w:rFonts w:hint="eastAsia" w:ascii="Times New Roman" w:hAnsi="Times New Roman" w:eastAsia="宋体" w:cs="Times New Roman"/>
          <w:color w:val="auto"/>
          <w:lang w:val="en-US" w:eastAsia="zh-CN"/>
        </w:rPr>
        <w:t>4声环境保护措施</w:t>
      </w:r>
      <w:bookmarkEnd w:id="408"/>
      <w:bookmarkEnd w:id="409"/>
    </w:p>
    <w:p>
      <w:pPr>
        <w:pStyle w:val="5"/>
        <w:bidi w:val="0"/>
        <w:jc w:val="both"/>
        <w:rPr>
          <w:rFonts w:hint="default" w:ascii="Times New Roman" w:hAnsi="Times New Roman" w:eastAsia="宋体" w:cs="Times New Roman"/>
          <w:color w:val="auto"/>
        </w:rPr>
      </w:pPr>
      <w:bookmarkStart w:id="410" w:name="_Toc516492487"/>
      <w:bookmarkStart w:id="411" w:name="_Toc27624"/>
      <w:bookmarkStart w:id="412" w:name="_Toc5253"/>
      <w:r>
        <w:rPr>
          <w:rFonts w:hint="default" w:ascii="Times New Roman" w:hAnsi="Times New Roman" w:eastAsia="宋体" w:cs="Times New Roman"/>
          <w:color w:val="auto"/>
        </w:rPr>
        <w:t>6.</w:t>
      </w:r>
      <w:r>
        <w:rPr>
          <w:rFonts w:hint="eastAsia" w:ascii="Times New Roman" w:hAnsi="Times New Roman" w:eastAsia="宋体" w:cs="Times New Roman"/>
          <w:color w:val="auto"/>
          <w:lang w:val="en-US" w:eastAsia="zh-CN"/>
        </w:rPr>
        <w:t>4</w:t>
      </w:r>
      <w:r>
        <w:rPr>
          <w:rFonts w:hint="default" w:ascii="Times New Roman" w:hAnsi="Times New Roman" w:eastAsia="宋体" w:cs="Times New Roman"/>
          <w:color w:val="auto"/>
        </w:rPr>
        <w:t>.1施工期减缓措施</w:t>
      </w:r>
      <w:bookmarkEnd w:id="410"/>
      <w:bookmarkEnd w:id="411"/>
      <w:bookmarkEnd w:id="412"/>
    </w:p>
    <w:p>
      <w:pPr>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为了保护周围的声环境质量，施工期应采取如下措施：</w:t>
      </w:r>
    </w:p>
    <w:p>
      <w:pPr>
        <w:snapToGrid w:val="0"/>
        <w:spacing w:line="480" w:lineRule="exact"/>
        <w:ind w:firstLine="482" w:firstLineChars="200"/>
        <w:jc w:val="both"/>
        <w:rPr>
          <w:rFonts w:hint="default" w:ascii="Times New Roman" w:hAnsi="Times New Roman" w:eastAsia="宋体" w:cs="Times New Roman"/>
          <w:b/>
          <w:bCs/>
          <w:color w:val="auto"/>
        </w:rPr>
      </w:pPr>
      <w:r>
        <w:rPr>
          <w:rFonts w:hint="eastAsia" w:ascii="Times New Roman" w:hAnsi="Times New Roman" w:eastAsia="宋体" w:cs="Times New Roman"/>
          <w:b/>
          <w:bCs/>
          <w:color w:val="auto"/>
          <w:lang w:val="en-US" w:eastAsia="zh-CN"/>
        </w:rPr>
        <w:t>1、</w:t>
      </w:r>
      <w:r>
        <w:rPr>
          <w:rFonts w:hint="default" w:ascii="Times New Roman" w:hAnsi="Times New Roman" w:eastAsia="宋体" w:cs="Times New Roman"/>
          <w:b/>
          <w:bCs/>
          <w:color w:val="auto"/>
        </w:rPr>
        <w:t>施工设备噪声控制</w:t>
      </w:r>
    </w:p>
    <w:p>
      <w:pPr>
        <w:snapToGrid w:val="0"/>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1</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在离工程距离较近的声环境敏感点附近减少施工工程设置，针对施工过程中具有噪声突发、不规则、不连续、高强度等特点的施工活动，合理安排施工工序加以缓解；</w:t>
      </w:r>
    </w:p>
    <w:p>
      <w:pPr>
        <w:snapToGrid w:val="0"/>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选用低噪声的机具，对施工区域有保护目标的地方施工时间应进行合理安排，尽量不在夜间22:00 至次日清晨6:00 安排高噪声施工。确属工程需要，应事前报当地环保部门批准，并公告周围居民；</w:t>
      </w:r>
    </w:p>
    <w:p>
      <w:pPr>
        <w:snapToGrid w:val="0"/>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3</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施工单位选择低噪声作业方式，选用符合标准的施工车辆，所有进场施工车辆、机械设备，外排噪声指标参数须符合相关环保标准；禁止不符合国家噪声排放标准的机械设备和运输车辆进入工区，从根本上降低声强；</w:t>
      </w:r>
    </w:p>
    <w:p>
      <w:pPr>
        <w:snapToGrid w:val="0"/>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4</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施工过程中要尽量选用低噪声设备，施工期间加强机械设备的维修和保养，保持良好的运行工况，减低设备运行噪声；</w:t>
      </w:r>
    </w:p>
    <w:p>
      <w:pPr>
        <w:snapToGrid w:val="0"/>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5</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对于施工机械噪声，首先应在施工布置时合理安排噪声较大的机械，尽量避开敏感区，在敏感目标处设置临时移动隔声屏；</w:t>
      </w:r>
    </w:p>
    <w:p>
      <w:pPr>
        <w:snapToGrid w:val="0"/>
        <w:spacing w:line="480" w:lineRule="exact"/>
        <w:ind w:firstLine="480" w:firstLineChars="200"/>
        <w:jc w:val="both"/>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6</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施工单位对必须使用噪声污染严重的设备时应合理安排施工时间，不在动物繁殖和迁徙季节施工</w:t>
      </w:r>
      <w:r>
        <w:rPr>
          <w:rFonts w:hint="eastAsia" w:ascii="Times New Roman" w:hAnsi="Times New Roman" w:eastAsia="宋体" w:cs="Times New Roman"/>
          <w:color w:val="auto"/>
          <w:lang w:eastAsia="zh-CN"/>
        </w:rPr>
        <w:t>。</w:t>
      </w:r>
    </w:p>
    <w:p>
      <w:pPr>
        <w:snapToGrid w:val="0"/>
        <w:spacing w:line="480" w:lineRule="exact"/>
        <w:ind w:firstLine="482" w:firstLineChars="200"/>
        <w:jc w:val="both"/>
        <w:rPr>
          <w:rFonts w:hint="default" w:ascii="Times New Roman" w:hAnsi="Times New Roman" w:eastAsia="宋体" w:cs="Times New Roman"/>
          <w:b/>
          <w:bCs/>
          <w:color w:val="auto"/>
        </w:rPr>
      </w:pPr>
      <w:r>
        <w:rPr>
          <w:rFonts w:hint="eastAsia" w:ascii="Times New Roman" w:hAnsi="Times New Roman" w:eastAsia="宋体" w:cs="Times New Roman"/>
          <w:b/>
          <w:bCs/>
          <w:color w:val="auto"/>
          <w:lang w:val="en-US" w:eastAsia="zh-CN"/>
        </w:rPr>
        <w:t>2、</w:t>
      </w:r>
      <w:r>
        <w:rPr>
          <w:rFonts w:hint="default" w:ascii="Times New Roman" w:hAnsi="Times New Roman" w:eastAsia="宋体" w:cs="Times New Roman"/>
          <w:b/>
          <w:bCs/>
          <w:color w:val="auto"/>
        </w:rPr>
        <w:t>交通噪声控制</w:t>
      </w:r>
    </w:p>
    <w:p>
      <w:pPr>
        <w:snapToGrid w:val="0"/>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cs="Times New Roman"/>
          <w:color w:val="auto"/>
          <w:lang w:val="en-US" w:eastAsia="zh-CN"/>
        </w:rPr>
        <w:t>1</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合理安排施工车辆行驶线路和时间，注意限速行驶、禁止高音鸣号、尽量减少鸣笛，以减小地区交通噪声；</w:t>
      </w:r>
    </w:p>
    <w:p>
      <w:pPr>
        <w:snapToGrid w:val="0"/>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cs="Times New Roman"/>
          <w:color w:val="auto"/>
          <w:lang w:val="en-US" w:eastAsia="zh-CN"/>
        </w:rPr>
        <w:t>2</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加强道路的养护和车辆的维护保养，降低噪声源；</w:t>
      </w:r>
    </w:p>
    <w:p>
      <w:pPr>
        <w:snapToGrid w:val="0"/>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cs="Times New Roman"/>
          <w:color w:val="auto"/>
          <w:lang w:val="en-US" w:eastAsia="zh-CN"/>
        </w:rPr>
        <w:t>3</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合理安排运输时间，避开午休时间，夜间禁止施工；</w:t>
      </w:r>
    </w:p>
    <w:p>
      <w:pPr>
        <w:snapToGrid w:val="0"/>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cs="Times New Roman"/>
          <w:color w:val="auto"/>
          <w:lang w:val="en-US" w:eastAsia="zh-CN"/>
        </w:rPr>
        <w:t>4</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在噪声敏感点附近进行工程施工时减速慢行，禁止鸣笛，减少出车频率，夜间禁止施工。</w:t>
      </w:r>
    </w:p>
    <w:p>
      <w:pPr>
        <w:snapToGrid w:val="0"/>
        <w:spacing w:line="480" w:lineRule="exact"/>
        <w:ind w:firstLine="482" w:firstLineChars="200"/>
        <w:jc w:val="both"/>
        <w:rPr>
          <w:rFonts w:hint="default" w:ascii="Times New Roman" w:hAnsi="Times New Roman" w:eastAsia="宋体" w:cs="Times New Roman"/>
          <w:b/>
          <w:bCs/>
          <w:color w:val="auto"/>
        </w:rPr>
      </w:pPr>
      <w:r>
        <w:rPr>
          <w:rFonts w:hint="eastAsia" w:ascii="Times New Roman" w:hAnsi="Times New Roman" w:eastAsia="宋体" w:cs="Times New Roman"/>
          <w:b/>
          <w:bCs/>
          <w:color w:val="auto"/>
          <w:lang w:val="en-US" w:eastAsia="zh-CN"/>
        </w:rPr>
        <w:t>3、</w:t>
      </w:r>
      <w:r>
        <w:rPr>
          <w:rFonts w:hint="default" w:ascii="Times New Roman" w:hAnsi="Times New Roman" w:eastAsia="宋体" w:cs="Times New Roman"/>
          <w:b/>
          <w:bCs/>
          <w:color w:val="auto"/>
        </w:rPr>
        <w:t>施工人员防护措施</w:t>
      </w:r>
    </w:p>
    <w:p>
      <w:pPr>
        <w:snapToGrid w:val="0"/>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1</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施工单位应合理安排工作人员轮流操作产生高强噪声的施工机械，减少接触高噪声的时间，或穿插安排高噪声和低噪声的工作；</w:t>
      </w:r>
    </w:p>
    <w:p>
      <w:pPr>
        <w:snapToGrid w:val="0"/>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为长时间接触高噪声设备的施工人员发放耳塞、耳机、防声头盔等防噪用具；</w:t>
      </w:r>
    </w:p>
    <w:p>
      <w:pPr>
        <w:snapToGrid w:val="0"/>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3</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提倡文明施工，建立控制人为噪声的管理制度，尽量减少人为大声喧哗，增强全体施工人员防噪声扰民的自觉意识。对人为活动噪声应有管理措施，要杜绝人为敲打、叫嚷、野蛮装卸噪声等现象，最低限度减少噪声扰民。</w:t>
      </w:r>
    </w:p>
    <w:p>
      <w:pPr>
        <w:pStyle w:val="5"/>
        <w:bidi w:val="0"/>
        <w:jc w:val="both"/>
        <w:rPr>
          <w:rFonts w:hint="default" w:ascii="Times New Roman" w:hAnsi="Times New Roman" w:eastAsia="宋体" w:cs="Times New Roman"/>
          <w:color w:val="auto"/>
        </w:rPr>
      </w:pPr>
      <w:bookmarkStart w:id="413" w:name="_Toc12267"/>
      <w:r>
        <w:rPr>
          <w:rFonts w:hint="default" w:ascii="Times New Roman" w:hAnsi="Times New Roman" w:eastAsia="宋体" w:cs="Times New Roman"/>
          <w:color w:val="auto"/>
        </w:rPr>
        <w:t>6.4.2 降噪效果及达标分析</w:t>
      </w:r>
      <w:bookmarkEnd w:id="413"/>
    </w:p>
    <w:p>
      <w:pPr>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次环评皆选择较成熟的常规降噪措施，通过查阅其它同类工程的施工期环境监测资料及竣工环境保护验收技术文件，并做类比分析认为，该措施基本能达到预期的降噪效果。需要做好施工期的环境管理及环境监理工作，确保各项措施得到有效落实，分析认为各环境敏感点的声环境质量基本可以达标。</w:t>
      </w:r>
    </w:p>
    <w:p>
      <w:pPr>
        <w:pStyle w:val="5"/>
        <w:bidi w:val="0"/>
        <w:jc w:val="both"/>
        <w:rPr>
          <w:rFonts w:hint="default" w:ascii="Times New Roman" w:hAnsi="Times New Roman" w:eastAsia="宋体" w:cs="Times New Roman"/>
          <w:color w:val="auto"/>
        </w:rPr>
      </w:pPr>
      <w:bookmarkStart w:id="414" w:name="_Toc23942"/>
      <w:r>
        <w:rPr>
          <w:rFonts w:hint="default" w:ascii="Times New Roman" w:hAnsi="Times New Roman" w:eastAsia="宋体" w:cs="Times New Roman"/>
          <w:color w:val="auto"/>
        </w:rPr>
        <w:t>6.4.3 声环境保护措施小结</w:t>
      </w:r>
      <w:bookmarkEnd w:id="414"/>
    </w:p>
    <w:p>
      <w:pPr>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工程施工期、运营期声环境保护措施见表 6.4-1。</w:t>
      </w:r>
    </w:p>
    <w:p>
      <w:pPr>
        <w:snapToGrid w:val="0"/>
        <w:spacing w:line="480" w:lineRule="exact"/>
        <w:ind w:firstLine="482" w:firstLineChars="20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表6.4-1 声环境保护措施</w:t>
      </w:r>
    </w:p>
    <w:tbl>
      <w:tblPr>
        <w:tblStyle w:val="5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46"/>
        <w:gridCol w:w="1200"/>
        <w:gridCol w:w="4635"/>
        <w:gridCol w:w="24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tcBorders>
              <w:tl2br w:val="nil"/>
              <w:tr2bl w:val="nil"/>
            </w:tcBorders>
            <w:vAlign w:val="center"/>
          </w:tcPr>
          <w:p>
            <w:pPr>
              <w:widowControl w:val="0"/>
              <w:snapToGrid w:val="0"/>
              <w:spacing w:line="240" w:lineRule="auto"/>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阶段</w:t>
            </w:r>
          </w:p>
        </w:tc>
        <w:tc>
          <w:tcPr>
            <w:tcW w:w="1200" w:type="dxa"/>
            <w:tcBorders>
              <w:tl2br w:val="nil"/>
              <w:tr2bl w:val="nil"/>
            </w:tcBorders>
            <w:vAlign w:val="center"/>
          </w:tcPr>
          <w:p>
            <w:pPr>
              <w:widowControl w:val="0"/>
              <w:snapToGrid w:val="0"/>
              <w:spacing w:line="240" w:lineRule="auto"/>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类型</w:t>
            </w:r>
          </w:p>
        </w:tc>
        <w:tc>
          <w:tcPr>
            <w:tcW w:w="4635" w:type="dxa"/>
            <w:tcBorders>
              <w:tl2br w:val="nil"/>
              <w:tr2bl w:val="nil"/>
            </w:tcBorders>
            <w:vAlign w:val="center"/>
          </w:tcPr>
          <w:p>
            <w:pPr>
              <w:widowControl w:val="0"/>
              <w:snapToGrid w:val="0"/>
              <w:spacing w:line="240" w:lineRule="auto"/>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保护措施</w:t>
            </w:r>
          </w:p>
        </w:tc>
        <w:tc>
          <w:tcPr>
            <w:tcW w:w="2460" w:type="dxa"/>
            <w:tcBorders>
              <w:tl2br w:val="nil"/>
              <w:tr2bl w:val="nil"/>
            </w:tcBorders>
            <w:vAlign w:val="center"/>
          </w:tcPr>
          <w:p>
            <w:pPr>
              <w:widowControl w:val="0"/>
              <w:snapToGrid w:val="0"/>
              <w:spacing w:line="240" w:lineRule="auto"/>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restart"/>
            <w:tcBorders>
              <w:tl2br w:val="nil"/>
              <w:tr2bl w:val="nil"/>
            </w:tcBorders>
            <w:vAlign w:val="center"/>
          </w:tcPr>
          <w:p>
            <w:pPr>
              <w:widowControl w:val="0"/>
              <w:snapToGrid w:val="0"/>
              <w:spacing w:line="240" w:lineRule="auto"/>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施工期</w:t>
            </w:r>
          </w:p>
        </w:tc>
        <w:tc>
          <w:tcPr>
            <w:tcW w:w="1200" w:type="dxa"/>
            <w:tcBorders>
              <w:tl2br w:val="nil"/>
              <w:tr2bl w:val="nil"/>
            </w:tcBorders>
            <w:vAlign w:val="center"/>
          </w:tcPr>
          <w:p>
            <w:pPr>
              <w:widowControl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施工设备噪声控制</w:t>
            </w:r>
          </w:p>
        </w:tc>
        <w:tc>
          <w:tcPr>
            <w:tcW w:w="4635" w:type="dxa"/>
            <w:tcBorders>
              <w:tl2br w:val="nil"/>
              <w:tr2bl w:val="nil"/>
            </w:tcBorders>
            <w:vAlign w:val="center"/>
          </w:tcPr>
          <w:p>
            <w:pPr>
              <w:widowControl w:val="0"/>
              <w:snapToGrid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设备噪声排放指标参数符合相关环保标准；选用低噪声设备；设备保养；避开敏感区，设置隔声屏；敏感点附近禁止夜间施工，昼间合理安排施工时间，严格控制施工设备的噪声分贝</w:t>
            </w:r>
          </w:p>
        </w:tc>
        <w:tc>
          <w:tcPr>
            <w:tcW w:w="2460" w:type="dxa"/>
            <w:vMerge w:val="restart"/>
            <w:tcBorders>
              <w:tl2br w:val="nil"/>
              <w:tr2bl w:val="nil"/>
            </w:tcBorders>
            <w:vAlign w:val="center"/>
          </w:tcPr>
          <w:p>
            <w:pPr>
              <w:widowControl w:val="0"/>
              <w:snapToGrid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《声环境质量标准》（GB3096-2008）中的2类区标准以及《建筑施工场界环境噪声排放标准》（GB 12523- 2011）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continue"/>
            <w:tcBorders>
              <w:tl2br w:val="nil"/>
              <w:tr2bl w:val="nil"/>
            </w:tcBorders>
            <w:vAlign w:val="center"/>
          </w:tcPr>
          <w:p>
            <w:pPr>
              <w:widowControl w:val="0"/>
              <w:snapToGrid w:val="0"/>
              <w:spacing w:line="240" w:lineRule="auto"/>
              <w:jc w:val="center"/>
              <w:rPr>
                <w:rFonts w:hint="default" w:ascii="Times New Roman" w:hAnsi="Times New Roman" w:eastAsia="宋体" w:cs="Times New Roman"/>
                <w:color w:val="auto"/>
                <w:sz w:val="21"/>
                <w:szCs w:val="21"/>
                <w:vertAlign w:val="baseline"/>
              </w:rPr>
            </w:pPr>
          </w:p>
        </w:tc>
        <w:tc>
          <w:tcPr>
            <w:tcW w:w="1200" w:type="dxa"/>
            <w:tcBorders>
              <w:tl2br w:val="nil"/>
              <w:tr2bl w:val="nil"/>
            </w:tcBorders>
            <w:vAlign w:val="center"/>
          </w:tcPr>
          <w:p>
            <w:pPr>
              <w:widowControl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交通噪声控制</w:t>
            </w:r>
          </w:p>
        </w:tc>
        <w:tc>
          <w:tcPr>
            <w:tcW w:w="4635" w:type="dxa"/>
            <w:tcBorders>
              <w:tl2br w:val="nil"/>
              <w:tr2bl w:val="nil"/>
            </w:tcBorders>
            <w:vAlign w:val="center"/>
          </w:tcPr>
          <w:p>
            <w:pPr>
              <w:widowControl w:val="0"/>
              <w:snapToGrid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交通管制措施，设立警示牌和限速； 道路养护和车辆维护保养；夜间禁止施工；敏感点附近减速慢行，禁止鸣笛，减少出车频率，夜间禁止施工</w:t>
            </w:r>
          </w:p>
        </w:tc>
        <w:tc>
          <w:tcPr>
            <w:tcW w:w="2460" w:type="dxa"/>
            <w:vMerge w:val="continue"/>
            <w:tcBorders>
              <w:tl2br w:val="nil"/>
              <w:tr2bl w:val="nil"/>
            </w:tcBorders>
            <w:vAlign w:val="center"/>
          </w:tcPr>
          <w:p>
            <w:pPr>
              <w:widowControl w:val="0"/>
              <w:snapToGrid w:val="0"/>
              <w:spacing w:line="240" w:lineRule="auto"/>
              <w:jc w:val="center"/>
              <w:rPr>
                <w:rFonts w:hint="default" w:ascii="Times New Roman" w:hAnsi="Times New Roman" w:eastAsia="宋体" w:cs="Times New Roman"/>
                <w:color w:val="auto"/>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continue"/>
            <w:tcBorders>
              <w:tl2br w:val="nil"/>
              <w:tr2bl w:val="nil"/>
            </w:tcBorders>
            <w:vAlign w:val="center"/>
          </w:tcPr>
          <w:p>
            <w:pPr>
              <w:widowControl w:val="0"/>
              <w:snapToGrid w:val="0"/>
              <w:spacing w:line="240" w:lineRule="auto"/>
              <w:jc w:val="center"/>
              <w:rPr>
                <w:rFonts w:hint="default" w:ascii="Times New Roman" w:hAnsi="Times New Roman" w:eastAsia="宋体" w:cs="Times New Roman"/>
                <w:color w:val="auto"/>
                <w:sz w:val="21"/>
                <w:szCs w:val="21"/>
                <w:vertAlign w:val="baseline"/>
              </w:rPr>
            </w:pPr>
          </w:p>
        </w:tc>
        <w:tc>
          <w:tcPr>
            <w:tcW w:w="1200" w:type="dxa"/>
            <w:tcBorders>
              <w:tl2br w:val="nil"/>
              <w:tr2bl w:val="nil"/>
            </w:tcBorders>
            <w:vAlign w:val="center"/>
          </w:tcPr>
          <w:p>
            <w:pPr>
              <w:widowControl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施工人员保护</w:t>
            </w:r>
          </w:p>
        </w:tc>
        <w:tc>
          <w:tcPr>
            <w:tcW w:w="4635" w:type="dxa"/>
            <w:tcBorders>
              <w:tl2br w:val="nil"/>
              <w:tr2bl w:val="nil"/>
            </w:tcBorders>
            <w:vAlign w:val="center"/>
          </w:tcPr>
          <w:p>
            <w:pPr>
              <w:widowControl w:val="0"/>
              <w:snapToGrid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轮班制，每人每天工作时间不超过6小时；噪声防护用品</w:t>
            </w:r>
          </w:p>
        </w:tc>
        <w:tc>
          <w:tcPr>
            <w:tcW w:w="2460" w:type="dxa"/>
            <w:tcBorders>
              <w:tl2br w:val="nil"/>
              <w:tr2bl w:val="nil"/>
            </w:tcBorders>
            <w:vAlign w:val="center"/>
          </w:tcPr>
          <w:p>
            <w:pPr>
              <w:widowControl w:val="0"/>
              <w:snapToGrid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减小噪声影响</w:t>
            </w:r>
          </w:p>
        </w:tc>
      </w:tr>
    </w:tbl>
    <w:p>
      <w:pPr>
        <w:pStyle w:val="4"/>
        <w:bidi w:val="0"/>
        <w:jc w:val="both"/>
        <w:rPr>
          <w:rFonts w:hint="default" w:ascii="Times New Roman" w:hAnsi="Times New Roman" w:eastAsia="宋体" w:cs="Times New Roman"/>
          <w:color w:val="auto"/>
        </w:rPr>
      </w:pPr>
      <w:bookmarkStart w:id="415" w:name="_Toc492644444"/>
      <w:bookmarkStart w:id="416" w:name="_Toc9405"/>
      <w:r>
        <w:rPr>
          <w:rFonts w:hint="default" w:ascii="Times New Roman" w:hAnsi="Times New Roman" w:eastAsia="宋体" w:cs="Times New Roman"/>
          <w:color w:val="auto"/>
        </w:rPr>
        <w:t>6.</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rPr>
        <w:t>固废污染防治措施</w:t>
      </w:r>
      <w:bookmarkEnd w:id="415"/>
      <w:bookmarkEnd w:id="416"/>
      <w:bookmarkStart w:id="417" w:name="_Toc503461686"/>
      <w:bookmarkStart w:id="418" w:name="_Toc419288578"/>
      <w:bookmarkStart w:id="419" w:name="_Toc435202514"/>
      <w:bookmarkStart w:id="420" w:name="_Toc507334637"/>
      <w:bookmarkStart w:id="421" w:name="_Toc447887864"/>
      <w:bookmarkStart w:id="422" w:name="_Toc492644572"/>
    </w:p>
    <w:p>
      <w:pPr>
        <w:pStyle w:val="5"/>
        <w:bidi w:val="0"/>
        <w:jc w:val="both"/>
        <w:rPr>
          <w:rFonts w:hint="default" w:ascii="Times New Roman" w:hAnsi="Times New Roman" w:eastAsia="宋体" w:cs="Times New Roman"/>
          <w:color w:val="auto"/>
        </w:rPr>
      </w:pPr>
      <w:bookmarkStart w:id="423" w:name="_Toc12462"/>
      <w:bookmarkStart w:id="424" w:name="_Toc149956253"/>
      <w:bookmarkStart w:id="425" w:name="_Toc521590158"/>
      <w:bookmarkStart w:id="426" w:name="_Toc184547527"/>
      <w:bookmarkStart w:id="427" w:name="_Toc500919024"/>
      <w:bookmarkStart w:id="428" w:name="_Toc170902140"/>
      <w:bookmarkStart w:id="429" w:name="_Toc500919022"/>
      <w:r>
        <w:rPr>
          <w:rFonts w:hint="default" w:ascii="Times New Roman" w:hAnsi="Times New Roman" w:eastAsia="宋体" w:cs="Times New Roman"/>
          <w:color w:val="auto"/>
        </w:rPr>
        <w:t>6.5.1 施工生活垃圾处理</w:t>
      </w:r>
      <w:bookmarkEnd w:id="423"/>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工程施工高峰施工人数</w:t>
      </w:r>
      <w:r>
        <w:rPr>
          <w:rFonts w:hint="eastAsia" w:cs="Times New Roman"/>
          <w:color w:val="auto"/>
          <w:lang w:val="en-US" w:eastAsia="zh-CN"/>
        </w:rPr>
        <w:t>2</w:t>
      </w:r>
      <w:r>
        <w:rPr>
          <w:rFonts w:hint="default" w:ascii="Times New Roman" w:hAnsi="Times New Roman" w:eastAsia="宋体" w:cs="Times New Roman"/>
          <w:color w:val="auto"/>
        </w:rPr>
        <w:t>0人，据估算，工程施工进入高峰后，日产生活垃圾0.0</w:t>
      </w:r>
      <w:r>
        <w:rPr>
          <w:rFonts w:hint="eastAsia" w:cs="Times New Roman"/>
          <w:color w:val="auto"/>
          <w:lang w:val="en-US" w:eastAsia="zh-CN"/>
        </w:rPr>
        <w:t>2</w:t>
      </w:r>
      <w:r>
        <w:rPr>
          <w:rFonts w:hint="default" w:ascii="Times New Roman" w:hAnsi="Times New Roman" w:eastAsia="宋体" w:cs="Times New Roman"/>
          <w:color w:val="auto"/>
        </w:rPr>
        <w:t>t，工程</w:t>
      </w:r>
      <w:r>
        <w:rPr>
          <w:rFonts w:hint="eastAsia" w:cs="Times New Roman"/>
          <w:color w:val="auto"/>
          <w:lang w:val="en-US" w:eastAsia="zh-CN"/>
        </w:rPr>
        <w:t>施工工期95天</w:t>
      </w:r>
      <w:r>
        <w:rPr>
          <w:rFonts w:hint="default" w:ascii="Times New Roman" w:hAnsi="Times New Roman" w:eastAsia="宋体" w:cs="Times New Roman"/>
          <w:color w:val="auto"/>
        </w:rPr>
        <w:t>，施工期生活垃圾总量约1</w:t>
      </w:r>
      <w:r>
        <w:rPr>
          <w:rFonts w:hint="eastAsia" w:cs="Times New Roman"/>
          <w:color w:val="auto"/>
          <w:lang w:val="en-US" w:eastAsia="zh-CN"/>
        </w:rPr>
        <w:t>.</w:t>
      </w:r>
      <w:r>
        <w:rPr>
          <w:rFonts w:hint="default" w:ascii="Times New Roman" w:hAnsi="Times New Roman" w:eastAsia="宋体" w:cs="Times New Roman"/>
          <w:color w:val="auto"/>
        </w:rPr>
        <w:t>9t。</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（1）生活垃圾成分及特点</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由于生活垃圾是苍蝇、蚊虫孽生、致病细菌繁衍、鼠类肆虐的场所，是传染病的重要传播源，垃圾处理不当，不仅会危害施工人群健康，同时还会严重影响施工区景观，污染周边环境。</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参照同类工程施工期生活垃圾成分调查结果，该部份固体废物具有以下特点：</w:t>
      </w:r>
    </w:p>
    <w:p>
      <w:pPr>
        <w:widowControl w:val="0"/>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垃圾中难降解物及无机物含量高(由塑料、玻璃和金属等组成)约60％；</w:t>
      </w:r>
    </w:p>
    <w:p>
      <w:pPr>
        <w:widowControl w:val="0"/>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rPr>
        <w:t>垃圾中有机成分主要以厨余为主；</w:t>
      </w:r>
    </w:p>
    <w:p>
      <w:pPr>
        <w:widowControl w:val="0"/>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rPr>
        <w:t>有机物中木草、塑料、织品、废纸等可燃物含量低；</w:t>
      </w:r>
    </w:p>
    <w:p>
      <w:pPr>
        <w:widowControl w:val="0"/>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4）</w:t>
      </w:r>
      <w:r>
        <w:rPr>
          <w:rFonts w:hint="default" w:ascii="Times New Roman" w:hAnsi="Times New Roman" w:eastAsia="宋体" w:cs="Times New Roman"/>
          <w:color w:val="auto"/>
        </w:rPr>
        <w:t>垃圾含水率高约30％，容重为0.7kg/L；</w:t>
      </w:r>
    </w:p>
    <w:p>
      <w:pPr>
        <w:widowControl w:val="0"/>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rPr>
        <w:t>垃圾低位发热值低。</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（2）处理目标</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施工期各营地的生活垃圾处置率达 100%。</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（3）处理方案</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工程位于</w:t>
      </w:r>
      <w:r>
        <w:rPr>
          <w:rFonts w:hint="eastAsia" w:ascii="Times New Roman" w:hAnsi="Times New Roman" w:eastAsia="宋体" w:cs="Times New Roman"/>
          <w:color w:val="auto"/>
          <w:lang w:val="en-US" w:eastAsia="zh-CN"/>
        </w:rPr>
        <w:t>度假区</w:t>
      </w:r>
      <w:r>
        <w:rPr>
          <w:rFonts w:hint="default" w:ascii="Times New Roman" w:hAnsi="Times New Roman" w:eastAsia="宋体" w:cs="Times New Roman"/>
          <w:color w:val="auto"/>
        </w:rPr>
        <w:t>，要求施工期生活垃圾全部运往</w:t>
      </w:r>
      <w:r>
        <w:rPr>
          <w:rFonts w:hint="eastAsia" w:ascii="Times New Roman" w:hAnsi="Times New Roman" w:eastAsia="宋体" w:cs="Times New Roman"/>
          <w:color w:val="auto"/>
          <w:lang w:val="en-US" w:eastAsia="zh-CN"/>
        </w:rPr>
        <w:t>度假区</w:t>
      </w:r>
      <w:r>
        <w:rPr>
          <w:rFonts w:hint="default" w:ascii="Times New Roman" w:hAnsi="Times New Roman" w:eastAsia="宋体" w:cs="Times New Roman"/>
          <w:color w:val="auto"/>
        </w:rPr>
        <w:t>环保局指定地点，按要求处理。</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根据施工人员数，在项目部等工区配置垃圾桶，垃圾采用袋装。施工承包商在其生产、生活营区安排专人负责生活垃圾的清扫，委托地方卫生环卫部门进行定期清运。严禁进行焚烧、随机堆放等行为。垃圾桶需经常喷洒消毒药水，防止蚊蝇等传染疾病。</w:t>
      </w:r>
    </w:p>
    <w:bookmarkEnd w:id="417"/>
    <w:bookmarkEnd w:id="418"/>
    <w:bookmarkEnd w:id="419"/>
    <w:bookmarkEnd w:id="420"/>
    <w:bookmarkEnd w:id="421"/>
    <w:bookmarkEnd w:id="422"/>
    <w:bookmarkEnd w:id="424"/>
    <w:bookmarkEnd w:id="425"/>
    <w:bookmarkEnd w:id="426"/>
    <w:bookmarkEnd w:id="427"/>
    <w:bookmarkEnd w:id="428"/>
    <w:bookmarkEnd w:id="429"/>
    <w:p>
      <w:pPr>
        <w:pStyle w:val="4"/>
        <w:bidi w:val="0"/>
        <w:jc w:val="both"/>
        <w:rPr>
          <w:rFonts w:hint="default" w:ascii="Times New Roman" w:hAnsi="Times New Roman" w:eastAsia="宋体" w:cs="Times New Roman"/>
          <w:color w:val="auto"/>
        </w:rPr>
      </w:pPr>
      <w:bookmarkStart w:id="430" w:name="_Toc13066"/>
      <w:bookmarkStart w:id="431" w:name="_Toc425238825"/>
      <w:bookmarkStart w:id="432" w:name="_Toc337979030"/>
      <w:bookmarkStart w:id="433" w:name="_Toc492644445"/>
      <w:bookmarkStart w:id="434" w:name="_Toc447887866"/>
      <w:bookmarkStart w:id="435" w:name="_Toc460775036"/>
      <w:bookmarkStart w:id="436" w:name="_Toc435202516"/>
      <w:bookmarkStart w:id="437" w:name="_Toc424517639"/>
      <w:r>
        <w:rPr>
          <w:rFonts w:hint="default" w:ascii="Times New Roman" w:hAnsi="Times New Roman" w:eastAsia="宋体" w:cs="Times New Roman"/>
          <w:color w:val="auto"/>
        </w:rPr>
        <w:t>6.</w:t>
      </w:r>
      <w:r>
        <w:rPr>
          <w:rFonts w:hint="eastAsia" w:ascii="Times New Roman" w:hAnsi="Times New Roman" w:eastAsia="宋体" w:cs="Times New Roman"/>
          <w:color w:val="auto"/>
          <w:lang w:val="en-US" w:eastAsia="zh-CN"/>
        </w:rPr>
        <w:t>6</w:t>
      </w:r>
      <w:r>
        <w:rPr>
          <w:rFonts w:hint="default" w:ascii="Times New Roman" w:hAnsi="Times New Roman" w:eastAsia="宋体" w:cs="Times New Roman"/>
          <w:color w:val="auto"/>
        </w:rPr>
        <w:t>生态环境保护措施</w:t>
      </w:r>
      <w:bookmarkEnd w:id="430"/>
    </w:p>
    <w:p>
      <w:pPr>
        <w:pStyle w:val="5"/>
        <w:bidi w:val="0"/>
        <w:jc w:val="both"/>
        <w:rPr>
          <w:rFonts w:hint="default" w:ascii="Times New Roman" w:hAnsi="Times New Roman" w:eastAsia="宋体" w:cs="Times New Roman"/>
          <w:color w:val="auto"/>
        </w:rPr>
      </w:pPr>
      <w:bookmarkStart w:id="438" w:name="_Toc6300"/>
      <w:r>
        <w:rPr>
          <w:rFonts w:hint="default" w:ascii="Times New Roman" w:hAnsi="Times New Roman" w:eastAsia="宋体" w:cs="Times New Roman"/>
          <w:color w:val="auto"/>
        </w:rPr>
        <w:t>6.6.1 水生生态保护措施</w:t>
      </w:r>
      <w:bookmarkEnd w:id="438"/>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该工程属于非污染工程，对水体扰动相对较小，但仍需针对该工程对河段的水生物的影响方式、影响范围等，通过优化施工时间、减小施工施工作业面和施工时间、设置生态型堤岸、采取必要的管理措施等降低其影响。</w:t>
      </w:r>
    </w:p>
    <w:p>
      <w:pPr>
        <w:widowControl w:val="0"/>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生态影响的避免措施</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为减少水上工程的实施对水生生物，尤其是鱼类资源的影响，建议本工程开发建设前，尽量做好施工规划前期工作，水上工程的实施应避开水生生物繁殖季节。加强宣传，设置水生生物保护警示牌，增强施工人员的环保意识。</w:t>
      </w:r>
    </w:p>
    <w:p>
      <w:pPr>
        <w:widowControl w:val="0"/>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rPr>
        <w:t>生态影响的消减措施</w:t>
      </w:r>
    </w:p>
    <w:p>
      <w:pPr>
        <w:widowControl w:val="0"/>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建议在枯水期施工，减缓对所涉河段水生生态的影响。</w:t>
      </w:r>
    </w:p>
    <w:p>
      <w:pPr>
        <w:widowControl w:val="0"/>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rPr>
        <w:t>施工期间，应严禁施工人员随意将各类废弃物，如生活垃圾等，直接抛入水体之中，尤其禁止抛弃有毒有害物质。</w:t>
      </w:r>
    </w:p>
    <w:p>
      <w:pPr>
        <w:widowControl w:val="0"/>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rPr>
        <w:t>生态管理等措施</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工程建设施工期、营运期都应进行生态影响的监测或调查。在施工期主要是对与施工有关的区域进行监测。通过监测加强对生态的管理，开展对工程影响区的环境教育，提高施工人员和管理人员环境意识。通过动态监测和完善管理，使生态环境向良性或有利方向发展。</w:t>
      </w:r>
    </w:p>
    <w:p>
      <w:pPr>
        <w:widowControl w:val="0"/>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4、</w:t>
      </w:r>
      <w:r>
        <w:rPr>
          <w:rFonts w:hint="default" w:ascii="Times New Roman" w:hAnsi="Times New Roman" w:eastAsia="宋体" w:cs="Times New Roman"/>
          <w:color w:val="auto"/>
        </w:rPr>
        <w:t>生态影响的管理措施</w:t>
      </w:r>
    </w:p>
    <w:p>
      <w:pPr>
        <w:widowControl w:val="0"/>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1</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在工程的建设和营运期，除了工程业主应设立由工程技术、环保和安全等方面人员组成的环保工作部门，落实各项环保措施外，施工方应与保护区管理部门保持密切联系，保护区管理部门应指导施工方在施工过程中如何对水生生物进行保护，并与上述部门一道加强对工程施工行为的监督和管理。</w:t>
      </w:r>
    </w:p>
    <w:p>
      <w:pPr>
        <w:widowControl w:val="0"/>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环保宣传和教育。在进场施工前，聘请水生生物专家组织施工人员学习有关国家法律和法规，对施工人员进行野生珍稀保护水生动物的科普宣传工作，使施工人员了解保护水生态环境的意义，提高施工人员保护水环境意识。禁止施工人员进行捕捞活动。</w:t>
      </w:r>
    </w:p>
    <w:p>
      <w:pPr>
        <w:widowControl w:val="0"/>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3</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施工巡逻。工程施工，需要有湖泊管理部门参与。施工时若发现珍稀水生动物在附近应暂停施工，或者采用鸣笛善意驱赶，避免意外伤害事故的发生。</w:t>
      </w:r>
    </w:p>
    <w:p>
      <w:pPr>
        <w:pStyle w:val="5"/>
        <w:bidi w:val="0"/>
        <w:jc w:val="both"/>
        <w:rPr>
          <w:rFonts w:hint="default" w:ascii="Times New Roman" w:hAnsi="Times New Roman" w:eastAsia="宋体" w:cs="Times New Roman"/>
          <w:color w:val="auto"/>
        </w:rPr>
      </w:pPr>
      <w:bookmarkStart w:id="439" w:name="_Toc17508"/>
      <w:r>
        <w:rPr>
          <w:rFonts w:hint="default" w:ascii="Times New Roman" w:hAnsi="Times New Roman" w:eastAsia="宋体" w:cs="Times New Roman"/>
          <w:color w:val="auto"/>
        </w:rPr>
        <w:t>6.6.2 陆生生态保护保护措施</w:t>
      </w:r>
      <w:bookmarkEnd w:id="439"/>
    </w:p>
    <w:p>
      <w:pPr>
        <w:widowControl w:val="0"/>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生态环境影响的消减措施</w:t>
      </w:r>
    </w:p>
    <w:p>
      <w:pPr>
        <w:widowControl w:val="0"/>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1</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施工前进行陆生植物的全面调查，合理优化施工场地的布置，尽量减少工程实施对植被的破坏程度；</w:t>
      </w:r>
    </w:p>
    <w:p>
      <w:pPr>
        <w:widowControl w:val="0"/>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施工所需外购建筑材料，随用随运，尽量少占地、少破坏植被；</w:t>
      </w:r>
    </w:p>
    <w:p>
      <w:pPr>
        <w:widowControl w:val="0"/>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cs="Times New Roman"/>
          <w:color w:val="auto"/>
          <w:lang w:val="en-US" w:eastAsia="zh-CN"/>
        </w:rPr>
        <w:t>3</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施工过程中，施工人员和施工机械禁止到非施工区活动，避免扰动施工管理区范围外的植被和动物，施工结束后及时恢复植被。</w:t>
      </w:r>
    </w:p>
    <w:p>
      <w:pPr>
        <w:widowControl w:val="0"/>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cs="Times New Roman"/>
          <w:color w:val="auto"/>
          <w:lang w:val="en-US" w:eastAsia="zh-CN"/>
        </w:rPr>
        <w:t>4</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在施工过程中如发现施工场地周边有保护植物和古树名木，应及时向建设单位和当地林业部门、环保部门汇报，并做好植物的保护工作，如采取就地保护、植物移植或工程调整等措施，以尽可能减小对保护植物的影响。</w:t>
      </w:r>
    </w:p>
    <w:p>
      <w:pPr>
        <w:widowControl w:val="0"/>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cs="Times New Roman"/>
          <w:color w:val="auto"/>
          <w:lang w:val="en-US" w:eastAsia="zh-CN"/>
        </w:rPr>
        <w:t>5</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工程结束后，应对堆场进行处理，恢复生态，解决堆场底泥严重影响周围景观的问题，避免裸露的泥面被雨水冲刷造成二次污染。</w:t>
      </w:r>
    </w:p>
    <w:p>
      <w:pPr>
        <w:widowControl w:val="0"/>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cs="Times New Roman"/>
          <w:color w:val="auto"/>
          <w:lang w:val="en-US" w:eastAsia="zh-CN"/>
        </w:rPr>
        <w:t>6</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现场需加强施工人员的管理和教育，严禁捕杀野生保护动物、破坏植被的情况发生。组织施工人员学习有关国家法律和法规，必须遵守《中华人民共和国野生动物保护法》，严禁在施工区及其周围捕猎野生动物。</w:t>
      </w:r>
    </w:p>
    <w:p>
      <w:pPr>
        <w:widowControl w:val="0"/>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rPr>
        <w:t>生态环境影响的恢复</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施工结束后将工程临时占地进行恢复</w:t>
      </w:r>
      <w:r>
        <w:rPr>
          <w:rFonts w:hint="eastAsia" w:cs="Times New Roman"/>
          <w:color w:val="auto"/>
          <w:lang w:val="en-US" w:eastAsia="zh-CN"/>
        </w:rPr>
        <w:t>措施</w:t>
      </w:r>
      <w:r>
        <w:rPr>
          <w:rFonts w:hint="default" w:ascii="Times New Roman" w:hAnsi="Times New Roman" w:eastAsia="宋体" w:cs="Times New Roman"/>
          <w:color w:val="auto"/>
        </w:rPr>
        <w:t>以减缓工程建设对项目区植被的影响。</w:t>
      </w:r>
    </w:p>
    <w:p>
      <w:pPr>
        <w:widowControl w:val="0"/>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rPr>
        <w:t>生态环境影响的补偿措施</w:t>
      </w:r>
    </w:p>
    <w:p>
      <w:pPr>
        <w:widowControl w:val="0"/>
        <w:spacing w:line="480" w:lineRule="exact"/>
        <w:ind w:firstLine="480" w:firstLineChars="200"/>
        <w:jc w:val="both"/>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1</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工程完工后，及时清理施工现场，对施工场地进行</w:t>
      </w:r>
      <w:r>
        <w:rPr>
          <w:rFonts w:hint="eastAsia" w:cs="Times New Roman"/>
          <w:color w:val="auto"/>
          <w:lang w:val="en-US" w:eastAsia="zh-CN"/>
        </w:rPr>
        <w:t>恢复措施</w:t>
      </w:r>
      <w:r>
        <w:rPr>
          <w:rFonts w:hint="eastAsia" w:cs="Times New Roman"/>
          <w:color w:val="auto"/>
          <w:lang w:eastAsia="zh-CN"/>
        </w:rPr>
        <w:t>；</w:t>
      </w:r>
    </w:p>
    <w:p>
      <w:pPr>
        <w:widowControl w:val="0"/>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加强对太湖湖周一些幼林地、疏林地的抚育，对植被分布很少的荒地植树造林，为野生动物创造良好的栖息环境。</w:t>
      </w:r>
    </w:p>
    <w:p>
      <w:pPr>
        <w:pStyle w:val="5"/>
        <w:bidi w:val="0"/>
        <w:jc w:val="both"/>
        <w:rPr>
          <w:rFonts w:hint="default" w:ascii="Times New Roman" w:hAnsi="Times New Roman" w:eastAsia="宋体" w:cs="Times New Roman"/>
          <w:color w:val="auto"/>
        </w:rPr>
      </w:pPr>
      <w:bookmarkStart w:id="440" w:name="_Toc1090"/>
      <w:r>
        <w:rPr>
          <w:rFonts w:hint="default" w:ascii="Times New Roman" w:hAnsi="Times New Roman" w:eastAsia="宋体" w:cs="Times New Roman"/>
          <w:color w:val="auto"/>
        </w:rPr>
        <w:t>6.6.3 临时用地的保护及生态恢复措施</w:t>
      </w:r>
      <w:bookmarkEnd w:id="440"/>
    </w:p>
    <w:p>
      <w:pPr>
        <w:widowControl w:val="0"/>
        <w:spacing w:line="480" w:lineRule="exact"/>
        <w:ind w:firstLine="480" w:firstLineChars="200"/>
        <w:jc w:val="both"/>
        <w:rPr>
          <w:rFonts w:hint="default" w:ascii="Times New Roman" w:hAnsi="Times New Roman" w:eastAsia="宋体" w:cs="Times New Roman"/>
          <w:color w:val="auto"/>
        </w:rPr>
      </w:pPr>
      <w:r>
        <w:rPr>
          <w:rFonts w:hint="eastAsia" w:cs="Times New Roman"/>
          <w:color w:val="auto"/>
          <w:lang w:val="en-US" w:eastAsia="zh-CN"/>
        </w:rPr>
        <w:t>1</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rPr>
        <w:t>临时占地在施工结束后要及时</w:t>
      </w:r>
      <w:r>
        <w:rPr>
          <w:rFonts w:hint="eastAsia" w:cs="Times New Roman"/>
          <w:color w:val="auto"/>
          <w:lang w:val="en-US" w:eastAsia="zh-CN"/>
        </w:rPr>
        <w:t>采取恢复措施</w:t>
      </w:r>
      <w:r>
        <w:rPr>
          <w:rFonts w:hint="default" w:ascii="Times New Roman" w:hAnsi="Times New Roman" w:eastAsia="宋体" w:cs="Times New Roman"/>
          <w:color w:val="auto"/>
        </w:rPr>
        <w:t>。</w:t>
      </w:r>
    </w:p>
    <w:p>
      <w:pPr>
        <w:widowControl w:val="0"/>
        <w:spacing w:line="480" w:lineRule="exact"/>
        <w:ind w:firstLine="480" w:firstLineChars="200"/>
        <w:jc w:val="both"/>
        <w:rPr>
          <w:rFonts w:hint="default" w:ascii="Times New Roman" w:hAnsi="Times New Roman" w:eastAsia="宋体" w:cs="Times New Roman"/>
          <w:color w:val="auto"/>
        </w:rPr>
      </w:pPr>
      <w:r>
        <w:rPr>
          <w:rFonts w:hint="eastAsia" w:cs="Times New Roman"/>
          <w:color w:val="auto"/>
          <w:lang w:val="en-US" w:eastAsia="zh-CN"/>
        </w:rPr>
        <w:t>2</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rPr>
        <w:t>恢复水土保持设施，减少水土保持设施面积的损失。</w:t>
      </w:r>
    </w:p>
    <w:p>
      <w:pPr>
        <w:pStyle w:val="5"/>
        <w:bidi w:val="0"/>
        <w:jc w:val="both"/>
        <w:rPr>
          <w:rFonts w:hint="default" w:ascii="Times New Roman" w:hAnsi="Times New Roman" w:eastAsia="宋体" w:cs="Times New Roman"/>
          <w:color w:val="auto"/>
        </w:rPr>
      </w:pPr>
      <w:bookmarkStart w:id="441" w:name="_Toc12537"/>
      <w:r>
        <w:rPr>
          <w:rFonts w:hint="default" w:ascii="Times New Roman" w:hAnsi="Times New Roman" w:eastAsia="宋体" w:cs="Times New Roman"/>
          <w:color w:val="auto"/>
        </w:rPr>
        <w:t>6.6.4 生态景观保护方案</w:t>
      </w:r>
      <w:bookmarkEnd w:id="441"/>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本项目施工期需落实好景观破坏减缓措施：</w:t>
      </w:r>
    </w:p>
    <w:p>
      <w:pPr>
        <w:widowControl w:val="0"/>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在施工场地周围布置色彩统一的挡板和护栏。</w:t>
      </w:r>
    </w:p>
    <w:p>
      <w:pPr>
        <w:widowControl w:val="0"/>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rPr>
        <w:t>施工单位需严格按照设计图纸进行施工，采取合理施工方案，减少现有植被破坏量，最大程度的控制地表裸露面积。</w:t>
      </w:r>
    </w:p>
    <w:p>
      <w:pPr>
        <w:widowControl w:val="0"/>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rPr>
        <w:t>施工中应加强管理，确保建筑垃圾及时清运。</w:t>
      </w:r>
    </w:p>
    <w:p>
      <w:pPr>
        <w:pStyle w:val="4"/>
        <w:spacing w:before="117" w:after="117"/>
        <w:jc w:val="both"/>
        <w:rPr>
          <w:rFonts w:hint="default" w:ascii="Times New Roman" w:hAnsi="Times New Roman" w:eastAsia="宋体" w:cs="Times New Roman"/>
          <w:color w:val="auto"/>
        </w:rPr>
      </w:pPr>
      <w:bookmarkStart w:id="442" w:name="_Toc1040"/>
      <w:r>
        <w:rPr>
          <w:rFonts w:hint="default" w:ascii="Times New Roman" w:hAnsi="Times New Roman" w:eastAsia="宋体" w:cs="Times New Roman"/>
          <w:color w:val="auto"/>
        </w:rPr>
        <w:t>6.</w:t>
      </w:r>
      <w:r>
        <w:rPr>
          <w:rFonts w:hint="eastAsia" w:cs="Times New Roman"/>
          <w:color w:val="auto"/>
          <w:lang w:val="en-US" w:eastAsia="zh-CN"/>
        </w:rPr>
        <w:t>7</w:t>
      </w:r>
      <w:r>
        <w:rPr>
          <w:rFonts w:hint="default" w:ascii="Times New Roman" w:hAnsi="Times New Roman" w:eastAsia="宋体" w:cs="Times New Roman"/>
          <w:color w:val="auto"/>
        </w:rPr>
        <w:t xml:space="preserve"> 人群健康保护措施</w:t>
      </w:r>
      <w:bookmarkEnd w:id="442"/>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施工单位应为施工人员提供良好的居住和生活条件，并应与当地卫生医疗部门取得联系，尤其负责施工人员医疗保健及意外事故现场急救与治疗工作。为保证工程顺利进行，应加强卫生管理，定期体检，加强传染病预防与监测工作。施工区流行性疾病防治具体措施如下：</w:t>
      </w:r>
    </w:p>
    <w:p>
      <w:pPr>
        <w:spacing w:line="480" w:lineRule="exact"/>
        <w:ind w:firstLine="480" w:firstLineChars="200"/>
        <w:jc w:val="both"/>
        <w:rPr>
          <w:rFonts w:hint="default" w:ascii="Times New Roman" w:hAnsi="Times New Roman" w:eastAsia="宋体" w:cs="Times New Roman"/>
          <w:color w:val="auto"/>
        </w:rPr>
      </w:pPr>
      <w:r>
        <w:rPr>
          <w:rFonts w:hint="eastAsia" w:cs="Times New Roman"/>
          <w:color w:val="auto"/>
          <w:lang w:val="en-US" w:eastAsia="zh-CN"/>
        </w:rPr>
        <w:t>1、</w:t>
      </w:r>
      <w:r>
        <w:rPr>
          <w:rFonts w:hint="default" w:ascii="Times New Roman" w:hAnsi="Times New Roman" w:eastAsia="宋体" w:cs="Times New Roman"/>
          <w:color w:val="auto"/>
        </w:rPr>
        <w:t>环境卫生清理</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在生活区定期灭杀老鼠、蚊虫、苍蝇、蟑螂等有害动物。采用鼠夹法灭鼠，喷洒灭害灵等方法灭蚊蝇、蟑螂。夏、秋季施工人员应挂蚊帐、不露宿，减少蚊虫叮咬机会，服用抗疟药物，以达到控制其流行的目的。</w:t>
      </w:r>
    </w:p>
    <w:p>
      <w:pPr>
        <w:spacing w:line="480" w:lineRule="exact"/>
        <w:ind w:firstLine="480" w:firstLineChars="200"/>
        <w:jc w:val="both"/>
        <w:rPr>
          <w:rFonts w:hint="default" w:ascii="Times New Roman" w:hAnsi="Times New Roman" w:eastAsia="宋体" w:cs="Times New Roman"/>
          <w:color w:val="auto"/>
        </w:rPr>
      </w:pPr>
      <w:r>
        <w:rPr>
          <w:rFonts w:hint="eastAsia" w:cs="Times New Roman"/>
          <w:color w:val="auto"/>
          <w:lang w:val="en-US" w:eastAsia="zh-CN"/>
        </w:rPr>
        <w:t>2、</w:t>
      </w:r>
      <w:r>
        <w:rPr>
          <w:rFonts w:hint="default" w:ascii="Times New Roman" w:hAnsi="Times New Roman" w:eastAsia="宋体" w:cs="Times New Roman"/>
          <w:color w:val="auto"/>
        </w:rPr>
        <w:t>环境卫生及食品卫生管理</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施工期间加强对施工人员生活区、办公区、生活饮用水水源、公共餐饮场所、垃圾堆放点、公共厕所等地的环境卫生管理，定期进行卫生检查，除日常清理外，每月至少集中清理2次。</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从事餐饮工作的人员必须取得卫生许可证，并定期进行体检，有传染病带菌者要撤离其岗位。</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定期对各营地饮用水源监测，以保证饮水安全。</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成立专门的清洁队伍，负责施工区、办公区、生活区的清扫工作，设置垃圾桶、垃圾车。公共卫生设施应达到国家卫生标准。</w:t>
      </w:r>
    </w:p>
    <w:p>
      <w:pPr>
        <w:widowControl w:val="0"/>
        <w:spacing w:line="480" w:lineRule="exact"/>
        <w:ind w:firstLine="480" w:firstLineChars="200"/>
        <w:jc w:val="both"/>
        <w:rPr>
          <w:rFonts w:hint="default" w:ascii="Times New Roman" w:hAnsi="Times New Roman" w:eastAsia="宋体" w:cs="Times New Roman"/>
          <w:color w:val="auto"/>
          <w:lang w:bidi="ar"/>
        </w:rPr>
      </w:pPr>
      <w:r>
        <w:rPr>
          <w:rFonts w:hint="eastAsia" w:ascii="Times New Roman" w:hAnsi="Times New Roman" w:eastAsia="宋体" w:cs="Times New Roman"/>
          <w:color w:val="auto"/>
          <w:lang w:val="en-US" w:eastAsia="zh-CN" w:bidi="ar"/>
        </w:rPr>
        <w:t>3、</w:t>
      </w:r>
      <w:r>
        <w:rPr>
          <w:rFonts w:hint="default" w:ascii="Times New Roman" w:hAnsi="Times New Roman" w:eastAsia="宋体" w:cs="Times New Roman"/>
          <w:color w:val="auto"/>
          <w:lang w:bidi="ar"/>
        </w:rPr>
        <w:t>卫生防疫措施</w:t>
      </w:r>
    </w:p>
    <w:p>
      <w:pPr>
        <w:widowControl w:val="0"/>
        <w:spacing w:line="480" w:lineRule="exact"/>
        <w:ind w:firstLine="480" w:firstLineChars="200"/>
        <w:jc w:val="both"/>
        <w:rPr>
          <w:rFonts w:hint="default" w:ascii="Times New Roman" w:hAnsi="Times New Roman" w:eastAsia="宋体" w:cs="Times New Roman"/>
          <w:color w:val="auto"/>
          <w:lang w:bidi="ar"/>
        </w:rPr>
      </w:pPr>
      <w:r>
        <w:rPr>
          <w:rFonts w:hint="eastAsia" w:ascii="Times New Roman" w:hAnsi="Times New Roman" w:eastAsia="宋体" w:cs="Times New Roman"/>
          <w:color w:val="auto"/>
          <w:lang w:eastAsia="zh-CN" w:bidi="ar"/>
        </w:rPr>
        <w:t>（</w:t>
      </w:r>
      <w:r>
        <w:rPr>
          <w:rFonts w:hint="eastAsia" w:ascii="Times New Roman" w:hAnsi="Times New Roman" w:eastAsia="宋体" w:cs="Times New Roman"/>
          <w:color w:val="auto"/>
          <w:lang w:val="en-US" w:eastAsia="zh-CN" w:bidi="ar"/>
        </w:rPr>
        <w:t>1</w:t>
      </w:r>
      <w:r>
        <w:rPr>
          <w:rFonts w:hint="eastAsia" w:ascii="Times New Roman" w:hAnsi="Times New Roman" w:eastAsia="宋体" w:cs="Times New Roman"/>
          <w:color w:val="auto"/>
          <w:lang w:eastAsia="zh-CN" w:bidi="ar"/>
        </w:rPr>
        <w:t>）</w:t>
      </w:r>
      <w:r>
        <w:rPr>
          <w:rFonts w:hint="default" w:ascii="Times New Roman" w:hAnsi="Times New Roman" w:eastAsia="宋体" w:cs="Times New Roman"/>
          <w:color w:val="auto"/>
          <w:lang w:bidi="ar"/>
        </w:rPr>
        <w:t>建档及疫情普查</w:t>
      </w:r>
    </w:p>
    <w:p>
      <w:pPr>
        <w:widowControl w:val="0"/>
        <w:spacing w:line="480" w:lineRule="exact"/>
        <w:ind w:firstLine="480" w:firstLineChars="200"/>
        <w:jc w:val="both"/>
        <w:rPr>
          <w:rFonts w:hint="default" w:ascii="Times New Roman" w:hAnsi="Times New Roman" w:eastAsia="宋体" w:cs="Times New Roman"/>
          <w:color w:val="auto"/>
          <w:lang w:bidi="ar"/>
        </w:rPr>
      </w:pPr>
      <w:r>
        <w:rPr>
          <w:rFonts w:hint="default" w:ascii="Times New Roman" w:hAnsi="Times New Roman" w:eastAsia="宋体" w:cs="Times New Roman"/>
          <w:color w:val="auto"/>
          <w:lang w:bidi="ar"/>
        </w:rPr>
        <w:t>为预防施工区传染病的流行，在施工人员进驻工地前，施工单位应对施工人员进行全面的健康调查和疫情建档，健康人员才能进入施工区作业。</w:t>
      </w:r>
    </w:p>
    <w:p>
      <w:pPr>
        <w:widowControl w:val="0"/>
        <w:spacing w:line="480" w:lineRule="exact"/>
        <w:ind w:firstLine="480" w:firstLineChars="200"/>
        <w:jc w:val="both"/>
        <w:rPr>
          <w:rFonts w:hint="default" w:ascii="Times New Roman" w:hAnsi="Times New Roman" w:eastAsia="宋体" w:cs="Times New Roman"/>
          <w:color w:val="auto"/>
          <w:lang w:bidi="ar"/>
        </w:rPr>
      </w:pPr>
      <w:r>
        <w:rPr>
          <w:rFonts w:hint="default" w:ascii="Times New Roman" w:hAnsi="Times New Roman" w:eastAsia="宋体" w:cs="Times New Roman"/>
          <w:color w:val="auto"/>
          <w:lang w:bidi="ar"/>
        </w:rPr>
        <w:t>建档内容主要包括：年龄、性别、健康状况、传染病史、来自地区等。普查项目为：肺结核、传染性肝炎、痢疾等外来施工人员还应检查来源地传染病等。</w:t>
      </w:r>
    </w:p>
    <w:p>
      <w:pPr>
        <w:widowControl w:val="0"/>
        <w:spacing w:line="480" w:lineRule="exact"/>
        <w:ind w:firstLine="480" w:firstLineChars="200"/>
        <w:jc w:val="both"/>
        <w:rPr>
          <w:rFonts w:hint="default" w:ascii="Times New Roman" w:hAnsi="Times New Roman" w:eastAsia="宋体" w:cs="Times New Roman"/>
          <w:color w:val="auto"/>
          <w:lang w:bidi="ar"/>
        </w:rPr>
      </w:pPr>
      <w:r>
        <w:rPr>
          <w:rFonts w:hint="default" w:ascii="Times New Roman" w:hAnsi="Times New Roman" w:eastAsia="宋体" w:cs="Times New Roman"/>
          <w:color w:val="auto"/>
          <w:lang w:bidi="ar"/>
        </w:rPr>
        <w:t>调查和建档人数按施工高峰期人数为准。</w:t>
      </w:r>
    </w:p>
    <w:p>
      <w:pPr>
        <w:widowControl w:val="0"/>
        <w:spacing w:line="480" w:lineRule="exact"/>
        <w:ind w:firstLine="480" w:firstLineChars="200"/>
        <w:jc w:val="both"/>
        <w:rPr>
          <w:rFonts w:hint="default" w:ascii="Times New Roman" w:hAnsi="Times New Roman" w:eastAsia="宋体" w:cs="Times New Roman"/>
          <w:color w:val="auto"/>
          <w:lang w:bidi="ar"/>
        </w:rPr>
      </w:pPr>
      <w:r>
        <w:rPr>
          <w:rFonts w:hint="eastAsia" w:ascii="Times New Roman" w:hAnsi="Times New Roman" w:eastAsia="宋体" w:cs="Times New Roman"/>
          <w:color w:val="auto"/>
          <w:lang w:eastAsia="zh-CN" w:bidi="ar"/>
        </w:rPr>
        <w:t>（</w:t>
      </w:r>
      <w:r>
        <w:rPr>
          <w:rFonts w:hint="eastAsia" w:ascii="Times New Roman" w:hAnsi="Times New Roman" w:eastAsia="宋体" w:cs="Times New Roman"/>
          <w:color w:val="auto"/>
          <w:lang w:val="en-US" w:eastAsia="zh-CN" w:bidi="ar"/>
        </w:rPr>
        <w:t>2</w:t>
      </w:r>
      <w:r>
        <w:rPr>
          <w:rFonts w:hint="eastAsia" w:ascii="Times New Roman" w:hAnsi="Times New Roman" w:eastAsia="宋体" w:cs="Times New Roman"/>
          <w:color w:val="auto"/>
          <w:lang w:eastAsia="zh-CN" w:bidi="ar"/>
        </w:rPr>
        <w:t>）</w:t>
      </w:r>
      <w:r>
        <w:rPr>
          <w:rFonts w:hint="default" w:ascii="Times New Roman" w:hAnsi="Times New Roman" w:eastAsia="宋体" w:cs="Times New Roman"/>
          <w:color w:val="auto"/>
          <w:lang w:bidi="ar"/>
        </w:rPr>
        <w:t>疫情抽查及预防计划</w:t>
      </w:r>
    </w:p>
    <w:p>
      <w:pPr>
        <w:widowControl w:val="0"/>
        <w:spacing w:line="480" w:lineRule="exact"/>
        <w:ind w:firstLine="480" w:firstLineChars="200"/>
        <w:jc w:val="both"/>
        <w:rPr>
          <w:rFonts w:hint="default" w:ascii="Times New Roman" w:hAnsi="Times New Roman" w:eastAsia="宋体" w:cs="Times New Roman"/>
          <w:color w:val="auto"/>
          <w:lang w:bidi="ar"/>
        </w:rPr>
      </w:pPr>
      <w:r>
        <w:rPr>
          <w:rFonts w:hint="default" w:ascii="Times New Roman" w:hAnsi="Times New Roman" w:eastAsia="宋体" w:cs="Times New Roman"/>
          <w:color w:val="auto"/>
          <w:lang w:bidi="ar"/>
        </w:rPr>
        <w:t>施工期内，根据疫情普查定期进行疫情抽样检疫。疫情抽查内容主要为当地易发的肝炎、痢疾等消化道传染病、肺结核等呼吸道疾病以及其它疫情普查中常见的传染病，发现病情及时治疗。</w:t>
      </w:r>
    </w:p>
    <w:p>
      <w:pPr>
        <w:widowControl w:val="0"/>
        <w:spacing w:line="480" w:lineRule="exact"/>
        <w:ind w:firstLine="480" w:firstLineChars="200"/>
        <w:jc w:val="both"/>
        <w:rPr>
          <w:rFonts w:hint="default" w:ascii="Times New Roman" w:hAnsi="Times New Roman" w:eastAsia="宋体" w:cs="Times New Roman"/>
          <w:color w:val="auto"/>
          <w:lang w:bidi="ar"/>
        </w:rPr>
      </w:pPr>
      <w:r>
        <w:rPr>
          <w:rFonts w:hint="default" w:ascii="Times New Roman" w:hAnsi="Times New Roman" w:eastAsia="宋体" w:cs="Times New Roman"/>
          <w:color w:val="auto"/>
          <w:lang w:bidi="ar"/>
        </w:rPr>
        <w:t>施工期每年秋季检疫一次，检疫人数按施工高峰期人数10%计。</w:t>
      </w:r>
    </w:p>
    <w:p>
      <w:pPr>
        <w:widowControl w:val="0"/>
        <w:spacing w:line="480" w:lineRule="exact"/>
        <w:ind w:firstLine="480" w:firstLineChars="200"/>
        <w:jc w:val="both"/>
        <w:rPr>
          <w:rFonts w:hint="default" w:ascii="Times New Roman" w:hAnsi="Times New Roman" w:eastAsia="宋体" w:cs="Times New Roman"/>
          <w:color w:val="auto"/>
          <w:lang w:bidi="ar"/>
        </w:rPr>
      </w:pPr>
      <w:r>
        <w:rPr>
          <w:rFonts w:hint="default" w:ascii="Times New Roman" w:hAnsi="Times New Roman" w:eastAsia="宋体" w:cs="Times New Roman"/>
          <w:color w:val="auto"/>
          <w:lang w:bidi="ar"/>
        </w:rPr>
        <w:t>为有效预防现场流行疾病，提高施工人员的抗病能力，定期对施工人群采取预防性服药、疫苗接种等预防措施。</w:t>
      </w:r>
    </w:p>
    <w:p>
      <w:pPr>
        <w:widowControl w:val="0"/>
        <w:spacing w:line="480" w:lineRule="exact"/>
        <w:ind w:firstLine="480" w:firstLineChars="200"/>
        <w:jc w:val="both"/>
        <w:rPr>
          <w:rFonts w:hint="default" w:ascii="Times New Roman" w:hAnsi="Times New Roman" w:eastAsia="宋体" w:cs="Times New Roman"/>
          <w:color w:val="auto"/>
          <w:lang w:bidi="ar"/>
        </w:rPr>
      </w:pPr>
      <w:r>
        <w:rPr>
          <w:rFonts w:hint="eastAsia" w:ascii="Times New Roman" w:hAnsi="Times New Roman" w:eastAsia="宋体" w:cs="Times New Roman"/>
          <w:color w:val="auto"/>
          <w:lang w:eastAsia="zh-CN" w:bidi="ar"/>
        </w:rPr>
        <w:t>（</w:t>
      </w:r>
      <w:r>
        <w:rPr>
          <w:rFonts w:hint="eastAsia" w:ascii="Times New Roman" w:hAnsi="Times New Roman" w:eastAsia="宋体" w:cs="Times New Roman"/>
          <w:color w:val="auto"/>
          <w:lang w:val="en-US" w:eastAsia="zh-CN" w:bidi="ar"/>
        </w:rPr>
        <w:t>3</w:t>
      </w:r>
      <w:r>
        <w:rPr>
          <w:rFonts w:hint="eastAsia" w:ascii="Times New Roman" w:hAnsi="Times New Roman" w:eastAsia="宋体" w:cs="Times New Roman"/>
          <w:color w:val="auto"/>
          <w:lang w:eastAsia="zh-CN" w:bidi="ar"/>
        </w:rPr>
        <w:t>）</w:t>
      </w:r>
      <w:r>
        <w:rPr>
          <w:rFonts w:hint="default" w:ascii="Times New Roman" w:hAnsi="Times New Roman" w:eastAsia="宋体" w:cs="Times New Roman"/>
          <w:color w:val="auto"/>
          <w:lang w:bidi="ar"/>
        </w:rPr>
        <w:t>疫情监控和应急措施</w:t>
      </w:r>
    </w:p>
    <w:p>
      <w:pPr>
        <w:widowControl w:val="0"/>
        <w:spacing w:line="480" w:lineRule="exact"/>
        <w:ind w:firstLine="480" w:firstLineChars="200"/>
        <w:jc w:val="both"/>
        <w:rPr>
          <w:rFonts w:hint="default" w:ascii="Times New Roman" w:hAnsi="Times New Roman" w:eastAsia="宋体" w:cs="Times New Roman"/>
          <w:color w:val="auto"/>
          <w:lang w:bidi="ar"/>
        </w:rPr>
      </w:pPr>
      <w:r>
        <w:rPr>
          <w:rFonts w:hint="default" w:ascii="Times New Roman" w:hAnsi="Times New Roman" w:eastAsia="宋体" w:cs="Times New Roman"/>
          <w:color w:val="auto"/>
          <w:lang w:bidi="ar"/>
        </w:rPr>
        <w:t>施工单位应明确卫生防疫负责人，按当地卫生部门制定的疫情管理制度及报送制度进行管理，并及时上报卫生防疫主管部门。</w:t>
      </w:r>
    </w:p>
    <w:p>
      <w:pPr>
        <w:widowControl w:val="0"/>
        <w:spacing w:line="480" w:lineRule="exact"/>
        <w:ind w:firstLine="480" w:firstLineChars="200"/>
        <w:jc w:val="both"/>
        <w:rPr>
          <w:rFonts w:hint="default" w:ascii="Times New Roman" w:hAnsi="Times New Roman" w:eastAsia="宋体" w:cs="Times New Roman"/>
          <w:color w:val="auto"/>
          <w:lang w:bidi="ar"/>
        </w:rPr>
      </w:pPr>
      <w:r>
        <w:rPr>
          <w:rFonts w:hint="default" w:ascii="Times New Roman" w:hAnsi="Times New Roman" w:eastAsia="宋体" w:cs="Times New Roman"/>
          <w:color w:val="auto"/>
          <w:lang w:bidi="ar"/>
        </w:rPr>
        <w:t>施工期应设计疫情监控站，随时备用痢疾、肝炎、肺结核等常见传染病药品和器材。</w:t>
      </w:r>
    </w:p>
    <w:p>
      <w:pPr>
        <w:widowControl w:val="0"/>
        <w:spacing w:line="480" w:lineRule="exact"/>
        <w:ind w:firstLine="480" w:firstLineChars="200"/>
        <w:jc w:val="both"/>
        <w:rPr>
          <w:rFonts w:hint="default" w:ascii="Times New Roman" w:hAnsi="Times New Roman" w:eastAsia="宋体" w:cs="Times New Roman"/>
          <w:color w:val="auto"/>
          <w:lang w:bidi="ar"/>
        </w:rPr>
      </w:pPr>
      <w:r>
        <w:rPr>
          <w:rFonts w:hint="default" w:ascii="Times New Roman" w:hAnsi="Times New Roman" w:eastAsia="宋体" w:cs="Times New Roman"/>
          <w:color w:val="auto"/>
          <w:lang w:bidi="ar"/>
        </w:rPr>
        <w:t>一旦发现疫情，立即对传染源采取隔离、观察、治疗等措施，对易感人群采取预防措施，并及时上报卫生防疫主管部门。</w:t>
      </w:r>
    </w:p>
    <w:p>
      <w:pPr>
        <w:widowControl w:val="0"/>
        <w:spacing w:line="480" w:lineRule="exact"/>
        <w:ind w:firstLine="480" w:firstLineChars="200"/>
        <w:jc w:val="both"/>
        <w:rPr>
          <w:rFonts w:hint="default" w:ascii="Times New Roman" w:hAnsi="Times New Roman" w:eastAsia="宋体" w:cs="Times New Roman"/>
          <w:color w:val="auto"/>
          <w:lang w:bidi="ar"/>
        </w:rPr>
      </w:pPr>
      <w:r>
        <w:rPr>
          <w:rFonts w:hint="eastAsia" w:ascii="Times New Roman" w:hAnsi="Times New Roman" w:eastAsia="宋体" w:cs="Times New Roman"/>
          <w:color w:val="auto"/>
          <w:lang w:val="en-US" w:eastAsia="zh-CN" w:bidi="ar"/>
        </w:rPr>
        <w:t>4、</w:t>
      </w:r>
      <w:r>
        <w:rPr>
          <w:rFonts w:hint="default" w:ascii="Times New Roman" w:hAnsi="Times New Roman" w:eastAsia="宋体" w:cs="Times New Roman"/>
          <w:color w:val="auto"/>
          <w:lang w:bidi="ar"/>
        </w:rPr>
        <w:t>血吸虫病防治措施</w:t>
      </w:r>
    </w:p>
    <w:p>
      <w:pPr>
        <w:widowControl w:val="0"/>
        <w:spacing w:line="480" w:lineRule="exact"/>
        <w:ind w:firstLine="480" w:firstLineChars="200"/>
        <w:jc w:val="both"/>
        <w:rPr>
          <w:rFonts w:hint="default" w:ascii="Times New Roman" w:hAnsi="Times New Roman" w:eastAsia="宋体" w:cs="Times New Roman"/>
          <w:color w:val="auto"/>
          <w:lang w:bidi="ar"/>
        </w:rPr>
      </w:pPr>
      <w:r>
        <w:rPr>
          <w:rFonts w:hint="eastAsia" w:ascii="Times New Roman" w:hAnsi="Times New Roman" w:eastAsia="宋体" w:cs="Times New Roman"/>
          <w:color w:val="auto"/>
          <w:lang w:eastAsia="zh-CN" w:bidi="ar"/>
        </w:rPr>
        <w:t>（</w:t>
      </w:r>
      <w:r>
        <w:rPr>
          <w:rFonts w:hint="eastAsia" w:ascii="Times New Roman" w:hAnsi="Times New Roman" w:eastAsia="宋体" w:cs="Times New Roman"/>
          <w:color w:val="auto"/>
          <w:lang w:val="en-US" w:eastAsia="zh-CN" w:bidi="ar"/>
        </w:rPr>
        <w:t>1</w:t>
      </w:r>
      <w:r>
        <w:rPr>
          <w:rFonts w:hint="eastAsia" w:ascii="Times New Roman" w:hAnsi="Times New Roman" w:eastAsia="宋体" w:cs="Times New Roman"/>
          <w:color w:val="auto"/>
          <w:lang w:eastAsia="zh-CN" w:bidi="ar"/>
        </w:rPr>
        <w:t>）</w:t>
      </w:r>
      <w:r>
        <w:rPr>
          <w:rFonts w:hint="default" w:ascii="Times New Roman" w:hAnsi="Times New Roman" w:eastAsia="宋体" w:cs="Times New Roman"/>
          <w:color w:val="auto"/>
          <w:lang w:bidi="ar"/>
        </w:rPr>
        <w:t>施工承包商在施工人员进场前向当地血防机构咨询，掌握各个施工区是否存在钉螺易感地带，施工前需对施工区进行查螺，并对有螺区进行灭螺，采用氯硝柳胺药液（施用量2g/m</w:t>
      </w:r>
      <w:r>
        <w:rPr>
          <w:rFonts w:hint="default" w:ascii="Times New Roman" w:hAnsi="Times New Roman" w:eastAsia="宋体" w:cs="Times New Roman"/>
          <w:color w:val="auto"/>
          <w:vertAlign w:val="superscript"/>
          <w:lang w:bidi="ar"/>
        </w:rPr>
        <w:t>2</w:t>
      </w:r>
      <w:r>
        <w:rPr>
          <w:rFonts w:hint="default" w:ascii="Times New Roman" w:hAnsi="Times New Roman" w:eastAsia="宋体" w:cs="Times New Roman"/>
          <w:color w:val="auto"/>
          <w:lang w:bidi="ar"/>
        </w:rPr>
        <w:t>）喷洒灭螺；</w:t>
      </w:r>
    </w:p>
    <w:p>
      <w:pPr>
        <w:widowControl w:val="0"/>
        <w:spacing w:line="480" w:lineRule="exact"/>
        <w:ind w:firstLine="480" w:firstLineChars="200"/>
        <w:jc w:val="both"/>
        <w:rPr>
          <w:rFonts w:hint="default" w:ascii="Times New Roman" w:hAnsi="Times New Roman" w:eastAsia="宋体" w:cs="Times New Roman"/>
          <w:color w:val="auto"/>
          <w:lang w:bidi="ar"/>
        </w:rPr>
      </w:pPr>
      <w:r>
        <w:rPr>
          <w:rFonts w:hint="eastAsia" w:ascii="Times New Roman" w:hAnsi="Times New Roman" w:eastAsia="宋体" w:cs="Times New Roman"/>
          <w:color w:val="auto"/>
          <w:lang w:eastAsia="zh-CN" w:bidi="ar"/>
        </w:rPr>
        <w:t>（</w:t>
      </w:r>
      <w:r>
        <w:rPr>
          <w:rFonts w:hint="eastAsia" w:ascii="Times New Roman" w:hAnsi="Times New Roman" w:eastAsia="宋体" w:cs="Times New Roman"/>
          <w:color w:val="auto"/>
          <w:lang w:val="en-US" w:eastAsia="zh-CN" w:bidi="ar"/>
        </w:rPr>
        <w:t>2</w:t>
      </w:r>
      <w:r>
        <w:rPr>
          <w:rFonts w:hint="eastAsia" w:ascii="Times New Roman" w:hAnsi="Times New Roman" w:eastAsia="宋体" w:cs="Times New Roman"/>
          <w:color w:val="auto"/>
          <w:lang w:eastAsia="zh-CN" w:bidi="ar"/>
        </w:rPr>
        <w:t>）</w:t>
      </w:r>
      <w:r>
        <w:rPr>
          <w:rFonts w:hint="default" w:ascii="Times New Roman" w:hAnsi="Times New Roman" w:eastAsia="宋体" w:cs="Times New Roman"/>
          <w:color w:val="auto"/>
          <w:lang w:bidi="ar"/>
        </w:rPr>
        <w:t>对于已经查实有钉螺分布的施工区，应在严格实施灭螺措施后方能动土，对于开挖弃料应在实施严格灭螺措施后方能运输至弃渣场集中堆放；</w:t>
      </w:r>
    </w:p>
    <w:p>
      <w:pPr>
        <w:widowControl w:val="0"/>
        <w:spacing w:line="480" w:lineRule="exact"/>
        <w:ind w:firstLine="480" w:firstLineChars="200"/>
        <w:jc w:val="both"/>
        <w:rPr>
          <w:rFonts w:hint="default" w:ascii="Times New Roman" w:hAnsi="Times New Roman" w:eastAsia="宋体" w:cs="Times New Roman"/>
          <w:color w:val="auto"/>
          <w:lang w:bidi="ar"/>
        </w:rPr>
      </w:pPr>
      <w:r>
        <w:rPr>
          <w:rFonts w:hint="eastAsia" w:ascii="Times New Roman" w:hAnsi="Times New Roman" w:eastAsia="宋体" w:cs="Times New Roman"/>
          <w:color w:val="auto"/>
          <w:lang w:eastAsia="zh-CN" w:bidi="ar"/>
        </w:rPr>
        <w:t>（</w:t>
      </w:r>
      <w:r>
        <w:rPr>
          <w:rFonts w:hint="eastAsia" w:ascii="Times New Roman" w:hAnsi="Times New Roman" w:eastAsia="宋体" w:cs="Times New Roman"/>
          <w:color w:val="auto"/>
          <w:lang w:val="en-US" w:eastAsia="zh-CN" w:bidi="ar"/>
        </w:rPr>
        <w:t>3</w:t>
      </w:r>
      <w:r>
        <w:rPr>
          <w:rFonts w:hint="eastAsia" w:ascii="Times New Roman" w:hAnsi="Times New Roman" w:eastAsia="宋体" w:cs="Times New Roman"/>
          <w:color w:val="auto"/>
          <w:lang w:eastAsia="zh-CN" w:bidi="ar"/>
        </w:rPr>
        <w:t>）</w:t>
      </w:r>
      <w:r>
        <w:rPr>
          <w:rFonts w:hint="default" w:ascii="Times New Roman" w:hAnsi="Times New Roman" w:eastAsia="宋体" w:cs="Times New Roman"/>
          <w:color w:val="auto"/>
          <w:lang w:bidi="ar"/>
        </w:rPr>
        <w:t>对进入施工区的施工人员定期进行血防体检，筛检血吸虫病原携带者；</w:t>
      </w:r>
    </w:p>
    <w:p>
      <w:pPr>
        <w:widowControl w:val="0"/>
        <w:spacing w:line="480" w:lineRule="exact"/>
        <w:ind w:firstLine="480" w:firstLineChars="200"/>
        <w:jc w:val="both"/>
        <w:rPr>
          <w:rFonts w:hint="default" w:ascii="Times New Roman" w:hAnsi="Times New Roman" w:eastAsia="宋体" w:cs="Times New Roman"/>
          <w:color w:val="auto"/>
          <w:lang w:bidi="ar"/>
        </w:rPr>
      </w:pPr>
      <w:r>
        <w:rPr>
          <w:rFonts w:hint="eastAsia" w:ascii="Times New Roman" w:hAnsi="Times New Roman" w:eastAsia="宋体" w:cs="Times New Roman"/>
          <w:color w:val="auto"/>
          <w:lang w:eastAsia="zh-CN" w:bidi="ar"/>
        </w:rPr>
        <w:t>（</w:t>
      </w:r>
      <w:r>
        <w:rPr>
          <w:rFonts w:hint="eastAsia" w:ascii="Times New Roman" w:hAnsi="Times New Roman" w:eastAsia="宋体" w:cs="Times New Roman"/>
          <w:color w:val="auto"/>
          <w:lang w:val="en-US" w:eastAsia="zh-CN" w:bidi="ar"/>
        </w:rPr>
        <w:t>4</w:t>
      </w:r>
      <w:r>
        <w:rPr>
          <w:rFonts w:hint="eastAsia" w:ascii="Times New Roman" w:hAnsi="Times New Roman" w:eastAsia="宋体" w:cs="Times New Roman"/>
          <w:color w:val="auto"/>
          <w:lang w:eastAsia="zh-CN" w:bidi="ar"/>
        </w:rPr>
        <w:t>）</w:t>
      </w:r>
      <w:r>
        <w:rPr>
          <w:rFonts w:hint="default" w:ascii="Times New Roman" w:hAnsi="Times New Roman" w:eastAsia="宋体" w:cs="Times New Roman"/>
          <w:color w:val="auto"/>
          <w:lang w:bidi="ar"/>
        </w:rPr>
        <w:t>向接触疫水的工作人员发放防护靴、血防服，避免与疫水直接接触。</w:t>
      </w:r>
    </w:p>
    <w:bookmarkEnd w:id="431"/>
    <w:bookmarkEnd w:id="432"/>
    <w:bookmarkEnd w:id="433"/>
    <w:bookmarkEnd w:id="434"/>
    <w:bookmarkEnd w:id="435"/>
    <w:bookmarkEnd w:id="436"/>
    <w:bookmarkEnd w:id="437"/>
    <w:p>
      <w:pPr>
        <w:pStyle w:val="2"/>
        <w:jc w:val="both"/>
        <w:rPr>
          <w:rFonts w:hint="default" w:ascii="Times New Roman" w:hAnsi="Times New Roman" w:eastAsia="宋体" w:cs="Times New Roman"/>
          <w:color w:val="auto"/>
        </w:rPr>
        <w:sectPr>
          <w:pgSz w:w="11905" w:h="16838"/>
          <w:pgMar w:top="1797" w:right="1440" w:bottom="1797" w:left="1440" w:header="850" w:footer="992" w:gutter="0"/>
          <w:pgBorders>
            <w:top w:val="none" w:sz="0" w:space="0"/>
            <w:left w:val="none" w:sz="0" w:space="0"/>
            <w:bottom w:val="none" w:sz="0" w:space="0"/>
            <w:right w:val="none" w:sz="0" w:space="0"/>
          </w:pgBorders>
          <w:pgNumType w:fmt="decimal"/>
          <w:cols w:space="0" w:num="1"/>
          <w:docGrid w:type="lines" w:linePitch="392" w:charSpace="0"/>
        </w:sectPr>
      </w:pPr>
    </w:p>
    <w:p>
      <w:pPr>
        <w:pStyle w:val="3"/>
        <w:spacing w:before="117" w:after="117"/>
        <w:jc w:val="both"/>
        <w:rPr>
          <w:rFonts w:hint="default" w:ascii="Times New Roman" w:hAnsi="Times New Roman" w:eastAsia="宋体" w:cs="Times New Roman"/>
          <w:color w:val="auto"/>
        </w:rPr>
      </w:pPr>
      <w:bookmarkStart w:id="443" w:name="_Toc310244147"/>
      <w:bookmarkStart w:id="444" w:name="_Toc492644450"/>
      <w:bookmarkStart w:id="445" w:name="_Toc312156107"/>
      <w:bookmarkStart w:id="446" w:name="_Toc307869982"/>
      <w:bookmarkStart w:id="447" w:name="_Toc302113304"/>
      <w:bookmarkStart w:id="448" w:name="_Toc25738"/>
      <w:r>
        <w:rPr>
          <w:rFonts w:hint="default" w:ascii="Times New Roman" w:hAnsi="Times New Roman" w:eastAsia="宋体" w:cs="Times New Roman"/>
          <w:color w:val="auto"/>
        </w:rPr>
        <w:t>7环境管理与环境监测计划</w:t>
      </w:r>
      <w:bookmarkEnd w:id="443"/>
      <w:bookmarkEnd w:id="444"/>
      <w:bookmarkEnd w:id="445"/>
      <w:bookmarkEnd w:id="446"/>
      <w:bookmarkEnd w:id="447"/>
      <w:bookmarkEnd w:id="448"/>
    </w:p>
    <w:p>
      <w:pPr>
        <w:pStyle w:val="4"/>
        <w:spacing w:before="117" w:after="117" w:line="480" w:lineRule="exact"/>
        <w:jc w:val="both"/>
        <w:rPr>
          <w:rFonts w:hint="default" w:ascii="Times New Roman" w:hAnsi="Times New Roman" w:eastAsia="宋体" w:cs="Times New Roman"/>
          <w:color w:val="auto"/>
        </w:rPr>
      </w:pPr>
      <w:bookmarkStart w:id="449" w:name="_Toc17802"/>
      <w:bookmarkStart w:id="450" w:name="_Toc302113307"/>
      <w:r>
        <w:rPr>
          <w:rFonts w:hint="default" w:ascii="Times New Roman" w:hAnsi="Times New Roman" w:eastAsia="宋体" w:cs="Times New Roman"/>
          <w:color w:val="auto"/>
        </w:rPr>
        <w:t>7.1 环境管理</w:t>
      </w:r>
      <w:bookmarkEnd w:id="449"/>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环境管理是工程管理的一部分，是工程环境保护工作有效实施的重要环节。为了充分发挥太湖</w:t>
      </w:r>
      <w:r>
        <w:rPr>
          <w:rFonts w:hint="eastAsia" w:ascii="Times New Roman" w:hAnsi="Times New Roman" w:eastAsia="宋体" w:cs="Times New Roman"/>
          <w:color w:val="auto"/>
          <w:lang w:val="en-US" w:eastAsia="zh-CN"/>
        </w:rPr>
        <w:t>渔洋山水源地生态修复</w:t>
      </w:r>
      <w:r>
        <w:rPr>
          <w:rFonts w:hint="default" w:ascii="Times New Roman" w:hAnsi="Times New Roman" w:eastAsia="宋体" w:cs="Times New Roman"/>
          <w:color w:val="auto"/>
        </w:rPr>
        <w:t>工程的社会效益、经济效益和生态环境效益，保护施工区的生态环境，充分发挥工程的有利影响，最大限度减免不利影响，使工程施工区生态环境呈良性循环，保证各项环境保护措施的落实，必须加强工程施工及运行期间的环境管理工作，尽早建立完善的环境管理体系。</w:t>
      </w:r>
    </w:p>
    <w:p>
      <w:pPr>
        <w:pStyle w:val="5"/>
        <w:jc w:val="both"/>
        <w:rPr>
          <w:rFonts w:hint="default" w:ascii="Times New Roman" w:hAnsi="Times New Roman" w:eastAsia="宋体" w:cs="Times New Roman"/>
          <w:color w:val="auto"/>
        </w:rPr>
      </w:pPr>
      <w:bookmarkStart w:id="451" w:name="_Toc11308"/>
      <w:r>
        <w:rPr>
          <w:rFonts w:hint="default" w:ascii="Times New Roman" w:hAnsi="Times New Roman" w:eastAsia="宋体" w:cs="Times New Roman"/>
          <w:color w:val="auto"/>
        </w:rPr>
        <w:t>7.1.1 环境管理目的</w:t>
      </w:r>
      <w:bookmarkEnd w:id="451"/>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建设项目环境管理的目的在于按国家、省、市有关的环境保护法律法规以及环境保护行政主管部门审批的环境影响报告书落实有关环保责任，加强本工程施工期和运行期的环境管理，落实各项环境保护措施，使工程建设对环境的不利影响得以减免，达到环境保护的目的。</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在对工程建设过程中产生的负面环境影响提出防治或减缓措施的基础上，制定系统的、科学的环境管理计划，并在工程设计、施工和营运中逐步落实，从而使得环境建设和项目建设符合</w:t>
      </w:r>
      <w:r>
        <w:rPr>
          <w:rFonts w:hint="eastAsia" w:cs="Times New Roman"/>
          <w:color w:val="auto"/>
          <w:lang w:eastAsia="zh-CN"/>
        </w:rPr>
        <w:t>“</w:t>
      </w:r>
      <w:r>
        <w:rPr>
          <w:rFonts w:hint="default" w:ascii="Times New Roman" w:hAnsi="Times New Roman" w:eastAsia="宋体" w:cs="Times New Roman"/>
          <w:color w:val="auto"/>
        </w:rPr>
        <w:t>三同时</w:t>
      </w:r>
      <w:r>
        <w:rPr>
          <w:rFonts w:hint="eastAsia" w:cs="Times New Roman"/>
          <w:color w:val="auto"/>
          <w:lang w:eastAsia="zh-CN"/>
        </w:rPr>
        <w:t>”</w:t>
      </w:r>
      <w:r>
        <w:rPr>
          <w:rFonts w:hint="default" w:ascii="Times New Roman" w:hAnsi="Times New Roman" w:eastAsia="宋体" w:cs="Times New Roman"/>
          <w:color w:val="auto"/>
        </w:rPr>
        <w:t>制度要求。通过环境管理计划的实施，将改造工程对周边环境带来的不利影响减缓到相应法规和标准限值要求范围之内，使项目建设的环境与经济效益得以协调、持续和稳定发展。实现太湖渔洋山水源地生态修复工程</w:t>
      </w:r>
      <w:r>
        <w:rPr>
          <w:rFonts w:hint="eastAsia" w:ascii="Times New Roman" w:hAnsi="Times New Roman" w:eastAsia="宋体" w:cs="Times New Roman"/>
          <w:color w:val="auto"/>
          <w:lang w:val="en-US" w:eastAsia="zh-CN"/>
        </w:rPr>
        <w:t>项目</w:t>
      </w:r>
      <w:r>
        <w:rPr>
          <w:rFonts w:hint="default" w:ascii="Times New Roman" w:hAnsi="Times New Roman" w:eastAsia="宋体" w:cs="Times New Roman"/>
          <w:color w:val="auto"/>
        </w:rPr>
        <w:t>的环境效益、社会效益与经济效益的统一。</w:t>
      </w:r>
    </w:p>
    <w:p>
      <w:pPr>
        <w:pStyle w:val="5"/>
        <w:jc w:val="both"/>
        <w:rPr>
          <w:rFonts w:hint="default" w:ascii="Times New Roman" w:hAnsi="Times New Roman" w:eastAsia="宋体" w:cs="Times New Roman"/>
          <w:color w:val="auto"/>
        </w:rPr>
      </w:pPr>
      <w:bookmarkStart w:id="452" w:name="_Toc26771"/>
      <w:r>
        <w:rPr>
          <w:rFonts w:hint="default" w:ascii="Times New Roman" w:hAnsi="Times New Roman" w:eastAsia="宋体" w:cs="Times New Roman"/>
          <w:color w:val="auto"/>
        </w:rPr>
        <w:t>7.1.2 环境管理体系</w:t>
      </w:r>
      <w:bookmarkEnd w:id="452"/>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为了使工程环境保护措施得以切实有效的实施，达到工程建设与环境保护协调发展，必须建立完善的环境保护管理体系，以确保工程建设环境保护规划总体目标的实现，太湖环境保护管理体系分为外部环境管理和内部环境管理两部分。</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外部环境管理指国家及各级地方环境保护行政主管部门根据国家相关的法律、法规，不定期的对太湖渔洋山水源地生态修复工程</w:t>
      </w:r>
      <w:r>
        <w:rPr>
          <w:rFonts w:hint="eastAsia" w:ascii="Times New Roman" w:hAnsi="Times New Roman" w:eastAsia="宋体" w:cs="Times New Roman"/>
          <w:color w:val="auto"/>
          <w:lang w:val="en-US" w:eastAsia="zh-CN"/>
        </w:rPr>
        <w:t>项目</w:t>
      </w:r>
      <w:r>
        <w:rPr>
          <w:rFonts w:hint="default" w:ascii="Times New Roman" w:hAnsi="Times New Roman" w:eastAsia="宋体" w:cs="Times New Roman"/>
          <w:color w:val="auto"/>
        </w:rPr>
        <w:t>环境保护工作进行检查、监督和指导，检查是否达到相应的环境保护标准与要求。</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内部环境管理指工程建设单位和施工单位对环境保护措施进行优化、组织和实施，保证达到国家建设项目环境保护要求与地方环境保护主管部门的要求，由环境监理单位对其环保措施进行全过程监理。内部环境管理体系具体包括工程环境管理机构、工程建设部门、环境监理单位、环境监测单位及各环保措施实施单位等，对环境保护工程的实施实行分级监管。</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太湖渔洋山水源地生态修复工程环境保护管理体系见图 7.1-1。</w:t>
      </w:r>
    </w:p>
    <w:p>
      <w:pPr>
        <w:spacing w:line="480" w:lineRule="exact"/>
        <w:ind w:firstLine="480" w:firstLineChars="200"/>
        <w:rPr>
          <w:rFonts w:hint="default" w:ascii="Times New Roman" w:hAnsi="Times New Roman" w:eastAsia="宋体" w:cs="Times New Roman"/>
          <w:color w:val="auto"/>
        </w:rPr>
      </w:pPr>
      <w:r>
        <w:drawing>
          <wp:anchor distT="0" distB="0" distL="114300" distR="114300" simplePos="0" relativeHeight="251692032" behindDoc="0" locked="0" layoutInCell="1" allowOverlap="1">
            <wp:simplePos x="0" y="0"/>
            <wp:positionH relativeFrom="column">
              <wp:posOffset>533400</wp:posOffset>
            </wp:positionH>
            <wp:positionV relativeFrom="paragraph">
              <wp:posOffset>129540</wp:posOffset>
            </wp:positionV>
            <wp:extent cx="4800600" cy="2819400"/>
            <wp:effectExtent l="0" t="0" r="0" b="0"/>
            <wp:wrapNone/>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82"/>
                    <a:stretch>
                      <a:fillRect/>
                    </a:stretch>
                  </pic:blipFill>
                  <pic:spPr>
                    <a:xfrm>
                      <a:off x="0" y="0"/>
                      <a:ext cx="4800600" cy="2819400"/>
                    </a:xfrm>
                    <a:prstGeom prst="rect">
                      <a:avLst/>
                    </a:prstGeom>
                    <a:noFill/>
                    <a:ln>
                      <a:noFill/>
                    </a:ln>
                  </pic:spPr>
                </pic:pic>
              </a:graphicData>
            </a:graphic>
          </wp:anchor>
        </w:drawing>
      </w:r>
    </w:p>
    <w:p>
      <w:pPr>
        <w:spacing w:line="480" w:lineRule="exact"/>
        <w:ind w:firstLine="480" w:firstLineChars="200"/>
        <w:rPr>
          <w:rFonts w:hint="default" w:ascii="Times New Roman" w:hAnsi="Times New Roman" w:eastAsia="宋体" w:cs="Times New Roman"/>
          <w:color w:val="auto"/>
        </w:rPr>
      </w:pPr>
    </w:p>
    <w:p>
      <w:pPr>
        <w:spacing w:line="480" w:lineRule="exact"/>
        <w:ind w:firstLine="480" w:firstLineChars="200"/>
        <w:rPr>
          <w:rFonts w:hint="default" w:ascii="Times New Roman" w:hAnsi="Times New Roman" w:eastAsia="宋体" w:cs="Times New Roman"/>
          <w:color w:val="auto"/>
        </w:rPr>
      </w:pPr>
    </w:p>
    <w:p>
      <w:pPr>
        <w:spacing w:line="480" w:lineRule="exact"/>
        <w:ind w:firstLine="480" w:firstLineChars="200"/>
        <w:rPr>
          <w:rFonts w:hint="default" w:ascii="Times New Roman" w:hAnsi="Times New Roman" w:eastAsia="宋体" w:cs="Times New Roman"/>
          <w:color w:val="auto"/>
        </w:rPr>
      </w:pPr>
    </w:p>
    <w:p>
      <w:pPr>
        <w:spacing w:line="480" w:lineRule="exact"/>
        <w:ind w:firstLine="480" w:firstLineChars="200"/>
        <w:rPr>
          <w:rFonts w:hint="default" w:ascii="Times New Roman" w:hAnsi="Times New Roman" w:eastAsia="宋体" w:cs="Times New Roman"/>
          <w:color w:val="auto"/>
        </w:rPr>
      </w:pPr>
    </w:p>
    <w:p>
      <w:pPr>
        <w:spacing w:line="480" w:lineRule="exact"/>
        <w:ind w:firstLine="480" w:firstLineChars="200"/>
        <w:rPr>
          <w:rFonts w:hint="default" w:ascii="Times New Roman" w:hAnsi="Times New Roman" w:eastAsia="宋体" w:cs="Times New Roman"/>
          <w:color w:val="auto"/>
        </w:rPr>
      </w:pPr>
    </w:p>
    <w:p>
      <w:pPr>
        <w:spacing w:line="480" w:lineRule="exact"/>
        <w:ind w:firstLine="480" w:firstLineChars="200"/>
        <w:rPr>
          <w:rFonts w:hint="default" w:ascii="Times New Roman" w:hAnsi="Times New Roman" w:eastAsia="宋体" w:cs="Times New Roman"/>
          <w:color w:val="auto"/>
        </w:rPr>
      </w:pPr>
    </w:p>
    <w:p>
      <w:pPr>
        <w:spacing w:line="480" w:lineRule="exact"/>
        <w:ind w:firstLine="480" w:firstLineChars="200"/>
        <w:rPr>
          <w:rFonts w:hint="default" w:ascii="Times New Roman" w:hAnsi="Times New Roman" w:eastAsia="宋体" w:cs="Times New Roman"/>
          <w:color w:val="auto"/>
        </w:rPr>
      </w:pPr>
    </w:p>
    <w:p>
      <w:pPr>
        <w:spacing w:line="480" w:lineRule="exact"/>
        <w:ind w:firstLine="480" w:firstLineChars="200"/>
        <w:rPr>
          <w:rFonts w:hint="default" w:ascii="Times New Roman" w:hAnsi="Times New Roman" w:eastAsia="宋体" w:cs="Times New Roman"/>
          <w:color w:val="auto"/>
        </w:rPr>
      </w:pPr>
    </w:p>
    <w:p>
      <w:pPr>
        <w:spacing w:line="480" w:lineRule="exact"/>
        <w:ind w:firstLine="480" w:firstLineChars="200"/>
        <w:rPr>
          <w:rFonts w:hint="default" w:ascii="Times New Roman" w:hAnsi="Times New Roman" w:eastAsia="宋体" w:cs="Times New Roman"/>
          <w:color w:val="auto"/>
        </w:rPr>
      </w:pPr>
    </w:p>
    <w:p>
      <w:pPr>
        <w:spacing w:line="480" w:lineRule="exact"/>
        <w:ind w:firstLine="482" w:firstLineChars="20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图7.1-1 工程环境保护管理体系框架图</w:t>
      </w:r>
    </w:p>
    <w:p>
      <w:pPr>
        <w:pStyle w:val="5"/>
        <w:jc w:val="both"/>
        <w:rPr>
          <w:rFonts w:hint="default" w:ascii="Times New Roman" w:hAnsi="Times New Roman" w:eastAsia="宋体" w:cs="Times New Roman"/>
          <w:color w:val="auto"/>
        </w:rPr>
      </w:pPr>
      <w:bookmarkStart w:id="453" w:name="_Toc31468"/>
      <w:r>
        <w:rPr>
          <w:rFonts w:hint="default" w:ascii="Times New Roman" w:hAnsi="Times New Roman" w:eastAsia="宋体" w:cs="Times New Roman"/>
          <w:color w:val="auto"/>
        </w:rPr>
        <w:t>7.1.3 管理机构及机制</w:t>
      </w:r>
      <w:bookmarkEnd w:id="453"/>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（1）施工期的环境管理机构及职能</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施工期环境管理机构为：苏州市水利局、苏州</w:t>
      </w:r>
      <w:r>
        <w:rPr>
          <w:rFonts w:hint="eastAsia" w:ascii="Times New Roman" w:hAnsi="Times New Roman" w:eastAsia="宋体" w:cs="Times New Roman"/>
          <w:color w:val="auto"/>
          <w:lang w:val="en-US" w:eastAsia="zh-CN"/>
        </w:rPr>
        <w:t>吴中区</w:t>
      </w:r>
      <w:r>
        <w:rPr>
          <w:rFonts w:hint="default" w:ascii="Times New Roman" w:hAnsi="Times New Roman" w:eastAsia="宋体" w:cs="Times New Roman"/>
          <w:color w:val="auto"/>
        </w:rPr>
        <w:t>水务局、苏州</w:t>
      </w:r>
      <w:r>
        <w:rPr>
          <w:rFonts w:hint="eastAsia" w:ascii="Times New Roman" w:hAnsi="Times New Roman" w:eastAsia="宋体" w:cs="Times New Roman"/>
          <w:color w:val="auto"/>
          <w:lang w:val="en-US" w:eastAsia="zh-CN"/>
        </w:rPr>
        <w:t>吴中区</w:t>
      </w:r>
      <w:r>
        <w:rPr>
          <w:rFonts w:hint="default" w:ascii="Times New Roman" w:hAnsi="Times New Roman" w:eastAsia="宋体" w:cs="Times New Roman"/>
          <w:color w:val="auto"/>
        </w:rPr>
        <w:t>生态环境局、有资质的环境监测、监理单位与施工单位。</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苏州</w:t>
      </w:r>
      <w:r>
        <w:rPr>
          <w:rFonts w:hint="eastAsia" w:ascii="Times New Roman" w:hAnsi="Times New Roman" w:eastAsia="宋体" w:cs="Times New Roman"/>
          <w:color w:val="auto"/>
          <w:lang w:val="en-US" w:eastAsia="zh-CN"/>
        </w:rPr>
        <w:t>吴中区</w:t>
      </w:r>
      <w:r>
        <w:rPr>
          <w:rFonts w:hint="default" w:ascii="Times New Roman" w:hAnsi="Times New Roman" w:eastAsia="宋体" w:cs="Times New Roman"/>
          <w:color w:val="auto"/>
        </w:rPr>
        <w:t>水务局对工程的环境保护工作实行统一管理，具体包括以下内容：</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①贯彻执行国家和地方的有关环境保护法规，编制施工期环境保护管理制度并组织实施，制定培训计划。</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②将有关环保措施列入招标文件，并委托设计、施工单位落实各项环保措施。</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③委托有资质的监测单位按照本项目的环境管理计划进行施工期和运营期环境监测。并建立监测档案，对监测单位提供的数据要复查并送交生态环境局。</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苏州</w:t>
      </w:r>
      <w:r>
        <w:rPr>
          <w:rFonts w:hint="eastAsia" w:ascii="Times New Roman" w:hAnsi="Times New Roman" w:eastAsia="宋体" w:cs="Times New Roman"/>
          <w:color w:val="auto"/>
          <w:lang w:val="en-US" w:eastAsia="zh-CN"/>
        </w:rPr>
        <w:t>吴中区</w:t>
      </w:r>
      <w:r>
        <w:rPr>
          <w:rFonts w:hint="default" w:ascii="Times New Roman" w:hAnsi="Times New Roman" w:eastAsia="宋体" w:cs="Times New Roman"/>
          <w:color w:val="auto"/>
        </w:rPr>
        <w:t>生态环境局负责项目环境管理和监督，依据管理计划对施工河段的水质、空气、噪声等进行抽查；检查工程施工时环保措施的实施情况。</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环境监测站要按照环境管理和监测计划完成工程的环境监测、数据分析及数据管理，按时向建设单位提供监测数据和监测报告。</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施工单位具体执行工程招标文件和设计文件中规定的施工期环保对策、措施的实施，制定和实施环保工作计划，接受有关部门对环保工作的监督和管理。</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（2）运营期环境管理</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运营期环境管理机构由水利部门与生态环境局、环境监测站组成，共同做好工程在运营期的环境管理工作。</w:t>
      </w:r>
    </w:p>
    <w:p>
      <w:pPr>
        <w:pStyle w:val="5"/>
        <w:jc w:val="both"/>
        <w:rPr>
          <w:rFonts w:hint="default" w:ascii="Times New Roman" w:hAnsi="Times New Roman" w:eastAsia="宋体" w:cs="Times New Roman"/>
          <w:color w:val="auto"/>
        </w:rPr>
      </w:pPr>
      <w:bookmarkStart w:id="454" w:name="_Toc25574"/>
      <w:r>
        <w:rPr>
          <w:rFonts w:hint="default" w:ascii="Times New Roman" w:hAnsi="Times New Roman" w:eastAsia="宋体" w:cs="Times New Roman"/>
          <w:color w:val="auto"/>
        </w:rPr>
        <w:t>7.1.4 环境管理制度</w:t>
      </w:r>
      <w:bookmarkEnd w:id="454"/>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完善的环境管理制度的建立，有利于环境保护工程的监督、管理、实施和突发事件的处理。太湖环境管理制度主要包括以下几个方面：</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（1）环境质量报告制度</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环境监测是获取工程环境信息的重要手段，是实施环境管理和环境保护措施的主要依据。根据监测计划，将对</w:t>
      </w:r>
      <w:r>
        <w:rPr>
          <w:rFonts w:hint="eastAsia" w:ascii="Times New Roman" w:hAnsi="Times New Roman" w:eastAsia="宋体" w:cs="Times New Roman"/>
          <w:color w:val="auto"/>
          <w:lang w:eastAsia="zh-CN"/>
        </w:rPr>
        <w:t>太湖渔洋山水源地生态修复工程</w:t>
      </w:r>
      <w:r>
        <w:rPr>
          <w:rFonts w:hint="default" w:ascii="Times New Roman" w:hAnsi="Times New Roman" w:eastAsia="宋体" w:cs="Times New Roman"/>
          <w:color w:val="auto"/>
        </w:rPr>
        <w:t>环境进行定期监测，监测实行月报、季报、年报和定期编制环境质量报告书以及年审等制度，将监测结果上报业主单位，以便及时掌握工程质量状况，并制定相关的环境保护对策。</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（2）</w:t>
      </w:r>
      <w:r>
        <w:rPr>
          <w:rFonts w:hint="eastAsia" w:cs="Times New Roman"/>
          <w:color w:val="auto"/>
          <w:lang w:eastAsia="zh-CN"/>
        </w:rPr>
        <w:t>“</w:t>
      </w:r>
      <w:r>
        <w:rPr>
          <w:rFonts w:hint="default" w:ascii="Times New Roman" w:hAnsi="Times New Roman" w:eastAsia="宋体" w:cs="Times New Roman"/>
          <w:color w:val="auto"/>
        </w:rPr>
        <w:t>三同时</w:t>
      </w:r>
      <w:r>
        <w:rPr>
          <w:rFonts w:hint="eastAsia" w:cs="Times New Roman"/>
          <w:color w:val="auto"/>
          <w:lang w:eastAsia="zh-CN"/>
        </w:rPr>
        <w:t>”</w:t>
      </w:r>
      <w:r>
        <w:rPr>
          <w:rFonts w:hint="default" w:ascii="Times New Roman" w:hAnsi="Times New Roman" w:eastAsia="宋体" w:cs="Times New Roman"/>
          <w:color w:val="auto"/>
        </w:rPr>
        <w:t>制度</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防治污染及其它公害的设施执行</w:t>
      </w:r>
      <w:r>
        <w:rPr>
          <w:rFonts w:hint="eastAsia" w:cs="Times New Roman"/>
          <w:color w:val="auto"/>
          <w:lang w:eastAsia="zh-CN"/>
        </w:rPr>
        <w:t>“</w:t>
      </w:r>
      <w:r>
        <w:rPr>
          <w:rFonts w:hint="default" w:ascii="Times New Roman" w:hAnsi="Times New Roman" w:eastAsia="宋体" w:cs="Times New Roman"/>
          <w:color w:val="auto"/>
        </w:rPr>
        <w:t>三同时</w:t>
      </w:r>
      <w:r>
        <w:rPr>
          <w:rFonts w:hint="eastAsia" w:cs="Times New Roman"/>
          <w:color w:val="auto"/>
          <w:lang w:eastAsia="zh-CN"/>
        </w:rPr>
        <w:t>”</w:t>
      </w:r>
      <w:r>
        <w:rPr>
          <w:rFonts w:hint="default" w:ascii="Times New Roman" w:hAnsi="Times New Roman" w:eastAsia="宋体" w:cs="Times New Roman"/>
          <w:color w:val="auto"/>
        </w:rPr>
        <w:t>制度，必须与建设项目同时设计、同时施工、同时投入运行。有关</w:t>
      </w:r>
      <w:r>
        <w:rPr>
          <w:rFonts w:hint="eastAsia" w:cs="Times New Roman"/>
          <w:color w:val="auto"/>
          <w:lang w:eastAsia="zh-CN"/>
        </w:rPr>
        <w:t>“</w:t>
      </w:r>
      <w:r>
        <w:rPr>
          <w:rFonts w:hint="default" w:ascii="Times New Roman" w:hAnsi="Times New Roman" w:eastAsia="宋体" w:cs="Times New Roman"/>
          <w:color w:val="auto"/>
        </w:rPr>
        <w:t>三同时</w:t>
      </w:r>
      <w:r>
        <w:rPr>
          <w:rFonts w:hint="eastAsia" w:cs="Times New Roman"/>
          <w:color w:val="auto"/>
          <w:lang w:eastAsia="zh-CN"/>
        </w:rPr>
        <w:t>”</w:t>
      </w:r>
      <w:r>
        <w:rPr>
          <w:rFonts w:hint="default" w:ascii="Times New Roman" w:hAnsi="Times New Roman" w:eastAsia="宋体" w:cs="Times New Roman"/>
          <w:color w:val="auto"/>
        </w:rPr>
        <w:t>的项目须经有关部门验收合格后才能正式投入运行。</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（3）宣传、培训制度</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太湖环境管理机构应经常通过广播、电视、报刊、宣传栏、展览会和专题讲座等多种途径对技术人员进行宣传教育，增强环保意识，提高环保素质，使他们自觉地参与到环境保护工作中；编制《施工区环境保护管理办法》和《环境保护实施细则》等环保手册，明确施工区环境保护的具体要求；定期组织各施工单位环境保护专业人员进行业务培训，提高业务水平。</w:t>
      </w:r>
    </w:p>
    <w:p>
      <w:pPr>
        <w:pStyle w:val="5"/>
        <w:jc w:val="both"/>
        <w:rPr>
          <w:rFonts w:hint="default" w:ascii="Times New Roman" w:hAnsi="Times New Roman" w:eastAsia="宋体" w:cs="Times New Roman"/>
          <w:color w:val="auto"/>
        </w:rPr>
      </w:pPr>
      <w:bookmarkStart w:id="455" w:name="_Toc9430"/>
      <w:r>
        <w:rPr>
          <w:rFonts w:hint="default" w:ascii="Times New Roman" w:hAnsi="Times New Roman" w:eastAsia="宋体" w:cs="Times New Roman"/>
          <w:color w:val="auto"/>
        </w:rPr>
        <w:t>7.1.5 环境管理内容</w:t>
      </w:r>
      <w:bookmarkEnd w:id="455"/>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为了实现本工程经济、社会、生态效益的协调发展，落实各项目环保措施，结合工程特点及环境现状，筹建期、施工期和运行期的环境管理主要内容分别是：</w:t>
      </w:r>
    </w:p>
    <w:p>
      <w:pPr>
        <w:spacing w:line="480" w:lineRule="exact"/>
        <w:ind w:firstLine="482" w:firstLineChars="200"/>
        <w:jc w:val="both"/>
        <w:rPr>
          <w:rFonts w:hint="default" w:ascii="Times New Roman" w:hAnsi="Times New Roman" w:eastAsia="宋体" w:cs="Times New Roman"/>
          <w:b/>
          <w:bCs/>
          <w:color w:val="auto"/>
        </w:rPr>
      </w:pPr>
      <w:r>
        <w:rPr>
          <w:rFonts w:hint="eastAsia" w:ascii="Times New Roman" w:hAnsi="Times New Roman" w:eastAsia="宋体" w:cs="Times New Roman"/>
          <w:b/>
          <w:bCs/>
          <w:color w:val="auto"/>
          <w:lang w:val="en-US" w:eastAsia="zh-CN"/>
        </w:rPr>
        <w:t>1、</w:t>
      </w:r>
      <w:r>
        <w:rPr>
          <w:rFonts w:hint="default" w:ascii="Times New Roman" w:hAnsi="Times New Roman" w:eastAsia="宋体" w:cs="Times New Roman"/>
          <w:b/>
          <w:bCs/>
          <w:color w:val="auto"/>
        </w:rPr>
        <w:t xml:space="preserve"> 筹建期</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（1）审核环境影响评价成果，并确保《苏州市太湖渔洋山水源地近岸生态修复工程项目环境影响报告书》中有关环保措施纳入工程设计文件。</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（2）确保环境保护条款列入招标文件及合同文件。</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（3）筹建环境管理机构，并对环境管理人员进行培训。</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（4）根据工程特点，制定出完善的工程环境保护规章制度与管理方法，编制工程影响区环境保护实施规划。</w:t>
      </w:r>
    </w:p>
    <w:p>
      <w:pPr>
        <w:spacing w:line="480" w:lineRule="exact"/>
        <w:ind w:firstLine="482" w:firstLineChars="200"/>
        <w:jc w:val="both"/>
        <w:rPr>
          <w:rFonts w:hint="default" w:ascii="Times New Roman" w:hAnsi="Times New Roman" w:eastAsia="宋体" w:cs="Times New Roman"/>
          <w:b/>
          <w:bCs/>
          <w:color w:val="auto"/>
        </w:rPr>
      </w:pPr>
      <w:r>
        <w:rPr>
          <w:rFonts w:hint="eastAsia" w:ascii="Times New Roman" w:hAnsi="Times New Roman" w:eastAsia="宋体" w:cs="Times New Roman"/>
          <w:b/>
          <w:bCs/>
          <w:color w:val="auto"/>
          <w:lang w:val="en-US" w:eastAsia="zh-CN"/>
        </w:rPr>
        <w:t>2、</w:t>
      </w:r>
      <w:r>
        <w:rPr>
          <w:rFonts w:hint="default" w:ascii="Times New Roman" w:hAnsi="Times New Roman" w:eastAsia="宋体" w:cs="Times New Roman"/>
          <w:b/>
          <w:bCs/>
          <w:color w:val="auto"/>
        </w:rPr>
        <w:t>施工期</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（1）贯彻执行国家有关环境保护方针、政策及法规条例。</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（2）制定年度工程建设环境保护工作计划，整编相关资料，建立环境信息系统，编制年度环境质量报告，并呈报上级主管部门。</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（3）加强工程环境监测管理，审定监测计划，委托具有相应资质的环境、卫生监测等专业部门实施环境监测计划。</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（4）组织实施工程环境保护规划，并监督、检查环境保护措施的执行情况和环保经费的使用情况，保证各项环保措施能按环保</w:t>
      </w:r>
      <w:r>
        <w:rPr>
          <w:rFonts w:hint="eastAsia" w:cs="Times New Roman"/>
          <w:color w:val="auto"/>
          <w:lang w:eastAsia="zh-CN"/>
        </w:rPr>
        <w:t>“</w:t>
      </w:r>
      <w:r>
        <w:rPr>
          <w:rFonts w:hint="default" w:ascii="Times New Roman" w:hAnsi="Times New Roman" w:eastAsia="宋体" w:cs="Times New Roman"/>
          <w:color w:val="auto"/>
        </w:rPr>
        <w:t>三同时</w:t>
      </w:r>
      <w:r>
        <w:rPr>
          <w:rFonts w:hint="eastAsia" w:cs="Times New Roman"/>
          <w:color w:val="auto"/>
          <w:lang w:eastAsia="zh-CN"/>
        </w:rPr>
        <w:t>”</w:t>
      </w:r>
      <w:r>
        <w:rPr>
          <w:rFonts w:hint="default" w:ascii="Times New Roman" w:hAnsi="Times New Roman" w:eastAsia="宋体" w:cs="Times New Roman"/>
          <w:color w:val="auto"/>
        </w:rPr>
        <w:t>的原则执行。</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（5）协调处理工程引起的环境污染事故和环境纠纷。</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（6）加强环境保护的宣传教育和技术培训，提高人们的环境保护意识和参与意识，工程环境管理人员的技术水平。</w:t>
      </w:r>
    </w:p>
    <w:p>
      <w:pPr>
        <w:spacing w:line="480" w:lineRule="exact"/>
        <w:ind w:firstLine="482" w:firstLineChars="200"/>
        <w:jc w:val="both"/>
        <w:rPr>
          <w:rFonts w:hint="default" w:ascii="Times New Roman" w:hAnsi="Times New Roman" w:eastAsia="宋体" w:cs="Times New Roman"/>
          <w:b/>
          <w:bCs/>
          <w:color w:val="auto"/>
        </w:rPr>
      </w:pPr>
      <w:r>
        <w:rPr>
          <w:rFonts w:hint="eastAsia" w:ascii="Times New Roman" w:hAnsi="Times New Roman" w:eastAsia="宋体" w:cs="Times New Roman"/>
          <w:b/>
          <w:bCs/>
          <w:color w:val="auto"/>
          <w:lang w:val="en-US" w:eastAsia="zh-CN"/>
        </w:rPr>
        <w:t>3、</w:t>
      </w:r>
      <w:r>
        <w:rPr>
          <w:rFonts w:hint="default" w:ascii="Times New Roman" w:hAnsi="Times New Roman" w:eastAsia="宋体" w:cs="Times New Roman"/>
          <w:b/>
          <w:bCs/>
          <w:color w:val="auto"/>
        </w:rPr>
        <w:t>运行期</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运行期环境管理内容主要是通过对各项环境因子的监测，掌握其变化情况及影响范围，及时发现潜在的环境问题，提出治理对策措施并予以实施。</w:t>
      </w:r>
    </w:p>
    <w:p>
      <w:pPr>
        <w:pStyle w:val="4"/>
        <w:spacing w:before="117" w:after="117" w:line="480" w:lineRule="exact"/>
        <w:jc w:val="both"/>
        <w:rPr>
          <w:rFonts w:hint="default" w:ascii="Times New Roman" w:hAnsi="Times New Roman" w:eastAsia="宋体" w:cs="Times New Roman"/>
          <w:color w:val="auto"/>
        </w:rPr>
      </w:pPr>
      <w:bookmarkStart w:id="456" w:name="_Toc6815"/>
      <w:r>
        <w:rPr>
          <w:rFonts w:hint="default" w:ascii="Times New Roman" w:hAnsi="Times New Roman" w:eastAsia="宋体" w:cs="Times New Roman"/>
          <w:color w:val="auto"/>
        </w:rPr>
        <w:t>7.2 环境监测</w:t>
      </w:r>
      <w:bookmarkEnd w:id="456"/>
    </w:p>
    <w:p>
      <w:pPr>
        <w:pStyle w:val="5"/>
        <w:jc w:val="both"/>
        <w:rPr>
          <w:rFonts w:hint="default" w:ascii="Times New Roman" w:hAnsi="Times New Roman" w:eastAsia="宋体" w:cs="Times New Roman"/>
          <w:color w:val="auto"/>
        </w:rPr>
      </w:pPr>
      <w:bookmarkStart w:id="457" w:name="_Toc19179"/>
      <w:r>
        <w:rPr>
          <w:rFonts w:hint="default" w:ascii="Times New Roman" w:hAnsi="Times New Roman" w:eastAsia="宋体" w:cs="Times New Roman"/>
          <w:color w:val="auto"/>
        </w:rPr>
        <w:t>7.2.1 监测目的</w:t>
      </w:r>
      <w:bookmarkEnd w:id="457"/>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通过对</w:t>
      </w:r>
      <w:r>
        <w:rPr>
          <w:rFonts w:hint="eastAsia" w:ascii="Times New Roman" w:hAnsi="Times New Roman" w:eastAsia="宋体" w:cs="Times New Roman"/>
          <w:color w:val="auto"/>
          <w:lang w:eastAsia="zh-CN"/>
        </w:rPr>
        <w:t>太湖渔洋山水源地生态修复工程</w:t>
      </w:r>
      <w:r>
        <w:rPr>
          <w:rFonts w:hint="default" w:ascii="Times New Roman" w:hAnsi="Times New Roman" w:eastAsia="宋体" w:cs="Times New Roman"/>
          <w:color w:val="auto"/>
        </w:rPr>
        <w:t>涉及区环境因子的监测，掌握工程影响范围内各环境因子的变化情况，为及时发现环境问题，并及时采取处理措施提供依据；验证环保措施的实施效果，根据监测结果及时调整环保措施，为工程建设环境建设、监督管理及工程竣工验收提供依据，使工程影响区的生态环境呈良性循环。</w:t>
      </w:r>
    </w:p>
    <w:p>
      <w:pPr>
        <w:pStyle w:val="5"/>
        <w:jc w:val="both"/>
        <w:rPr>
          <w:rFonts w:hint="default" w:ascii="Times New Roman" w:hAnsi="Times New Roman" w:eastAsia="宋体" w:cs="Times New Roman"/>
          <w:color w:val="auto"/>
        </w:rPr>
      </w:pPr>
      <w:bookmarkStart w:id="458" w:name="_Toc4799"/>
      <w:r>
        <w:rPr>
          <w:rFonts w:hint="default" w:ascii="Times New Roman" w:hAnsi="Times New Roman" w:eastAsia="宋体" w:cs="Times New Roman"/>
          <w:color w:val="auto"/>
        </w:rPr>
        <w:t>7.2.2 监测原则</w:t>
      </w:r>
      <w:bookmarkEnd w:id="458"/>
    </w:p>
    <w:p>
      <w:pPr>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结合工程建设及运行特点，针对环境保护的具体要求，选择工程影响显著、对流域环境影响起控制作用的主要环境因子进行监测、调查与观测，经分析确认与工程影响无关的环境因子则不作专门的监测。</w:t>
      </w:r>
    </w:p>
    <w:p>
      <w:pPr>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rPr>
        <w:t>监测成果应能及时、全面和系统地反映工程影响涉及区区域环境的变化，监测断面与观测点的设置既能对环境因子起到监控作用，满足相应专业的技术要求，同时应充分利用地方现有环境监测机构、技术人员及装备和现有常规水质监测成果，以节约资金和便于管理。</w:t>
      </w:r>
    </w:p>
    <w:p>
      <w:pPr>
        <w:pStyle w:val="5"/>
        <w:jc w:val="both"/>
        <w:rPr>
          <w:rFonts w:hint="default" w:ascii="Times New Roman" w:hAnsi="Times New Roman" w:eastAsia="宋体" w:cs="Times New Roman"/>
          <w:color w:val="auto"/>
        </w:rPr>
      </w:pPr>
      <w:bookmarkStart w:id="459" w:name="_Toc18441"/>
      <w:r>
        <w:rPr>
          <w:rFonts w:hint="default" w:ascii="Times New Roman" w:hAnsi="Times New Roman" w:eastAsia="宋体" w:cs="Times New Roman"/>
          <w:color w:val="auto"/>
        </w:rPr>
        <w:t>7.2.3 施工期环境监测计划</w:t>
      </w:r>
      <w:bookmarkEnd w:id="459"/>
    </w:p>
    <w:p>
      <w:pPr>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施工期废（污）水监测</w:t>
      </w:r>
    </w:p>
    <w:p>
      <w:pPr>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1</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监测点布置</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在满足《环境监测技术规范》要求的基础上，在生活污水主要排放口设置监测点。</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结合施工组织设计资料及施工的工艺流程，</w:t>
      </w:r>
      <w:r>
        <w:rPr>
          <w:rFonts w:hint="eastAsia" w:ascii="Times New Roman" w:hAnsi="Times New Roman" w:eastAsia="宋体" w:cs="Times New Roman"/>
          <w:color w:val="auto"/>
          <w:lang w:val="en-US" w:eastAsia="zh-CN"/>
        </w:rPr>
        <w:t>工程施工位置</w:t>
      </w:r>
      <w:r>
        <w:rPr>
          <w:rFonts w:hint="default" w:ascii="Times New Roman" w:hAnsi="Times New Roman" w:eastAsia="宋体" w:cs="Times New Roman"/>
          <w:color w:val="auto"/>
        </w:rPr>
        <w:t>周围水体；生活污水监测主要布置在项目部生活污水排放口。</w:t>
      </w:r>
    </w:p>
    <w:p>
      <w:pPr>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监测技术要求</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水样采集按照《环境监测技术规范》中的方法执行，样品分析按照《地表水环境质量标准》（GB3838-2002）中规定的方法执行。根据不同施工废水污染特性确定的监测项目、监测周期、监测时段及频率见表7.2-1。</w:t>
      </w:r>
    </w:p>
    <w:p>
      <w:pPr>
        <w:spacing w:line="480" w:lineRule="exact"/>
        <w:ind w:firstLine="482" w:firstLineChars="200"/>
        <w:jc w:val="center"/>
        <w:rPr>
          <w:rFonts w:hint="default" w:ascii="Times New Roman" w:hAnsi="Times New Roman" w:eastAsia="宋体" w:cs="Times New Roman"/>
          <w:b/>
          <w:bCs/>
          <w:color w:val="auto"/>
        </w:rPr>
      </w:pPr>
    </w:p>
    <w:p>
      <w:pPr>
        <w:spacing w:line="480" w:lineRule="exact"/>
        <w:ind w:firstLine="482" w:firstLineChars="200"/>
        <w:jc w:val="center"/>
        <w:rPr>
          <w:rFonts w:hint="default" w:ascii="Times New Roman" w:hAnsi="Times New Roman" w:eastAsia="宋体" w:cs="Times New Roman"/>
          <w:b/>
          <w:bCs/>
          <w:color w:val="auto"/>
        </w:rPr>
      </w:pPr>
    </w:p>
    <w:p>
      <w:pPr>
        <w:spacing w:line="480" w:lineRule="exact"/>
        <w:ind w:firstLine="482" w:firstLineChars="200"/>
        <w:jc w:val="center"/>
        <w:rPr>
          <w:rFonts w:hint="default" w:ascii="Times New Roman" w:hAnsi="Times New Roman" w:eastAsia="宋体" w:cs="Times New Roman"/>
          <w:b/>
          <w:bCs/>
          <w:color w:val="auto"/>
        </w:rPr>
      </w:pPr>
    </w:p>
    <w:p>
      <w:pPr>
        <w:spacing w:line="480" w:lineRule="exact"/>
        <w:ind w:firstLine="482" w:firstLineChars="20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表7.2-1 施工废（污）水、饮用水监测技术要求一览表</w:t>
      </w:r>
    </w:p>
    <w:tbl>
      <w:tblPr>
        <w:tblStyle w:val="5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01"/>
        <w:gridCol w:w="1710"/>
        <w:gridCol w:w="3951"/>
        <w:gridCol w:w="20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1" w:type="dxa"/>
            <w:tcBorders>
              <w:tl2br w:val="nil"/>
              <w:tr2bl w:val="nil"/>
            </w:tcBorders>
            <w:vAlign w:val="center"/>
          </w:tcPr>
          <w:p>
            <w:pPr>
              <w:widowControl w:val="0"/>
              <w:spacing w:line="240" w:lineRule="auto"/>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对象</w:t>
            </w:r>
          </w:p>
        </w:tc>
        <w:tc>
          <w:tcPr>
            <w:tcW w:w="1710"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监测点位</w:t>
            </w:r>
          </w:p>
        </w:tc>
        <w:tc>
          <w:tcPr>
            <w:tcW w:w="3951"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监测指标</w:t>
            </w:r>
          </w:p>
        </w:tc>
        <w:tc>
          <w:tcPr>
            <w:tcW w:w="2079"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监测频率及时间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1"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水源地工程工程范围</w:t>
            </w:r>
          </w:p>
        </w:tc>
        <w:tc>
          <w:tcPr>
            <w:tcW w:w="1710"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工程范围内水体</w:t>
            </w:r>
          </w:p>
        </w:tc>
        <w:tc>
          <w:tcPr>
            <w:tcW w:w="3951"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水温、pH、DO、高锰酸盐指数、氨氮、SS、盐度、石油类</w:t>
            </w:r>
          </w:p>
        </w:tc>
        <w:tc>
          <w:tcPr>
            <w:tcW w:w="2079"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工程施工前后每天监测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1"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生活污水</w:t>
            </w:r>
          </w:p>
        </w:tc>
        <w:tc>
          <w:tcPr>
            <w:tcW w:w="1710"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项目部</w:t>
            </w:r>
          </w:p>
        </w:tc>
        <w:tc>
          <w:tcPr>
            <w:tcW w:w="3951"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SS、BOD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vertAlign w:val="baseline"/>
              </w:rPr>
              <w:t>、COD、总磷、总氮、氨氮</w:t>
            </w:r>
          </w:p>
        </w:tc>
        <w:tc>
          <w:tcPr>
            <w:tcW w:w="2079"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施工期每</w:t>
            </w:r>
            <w:r>
              <w:rPr>
                <w:rFonts w:hint="eastAsia" w:ascii="Times New Roman" w:hAnsi="Times New Roman" w:eastAsia="宋体" w:cs="Times New Roman"/>
                <w:color w:val="auto"/>
                <w:sz w:val="21"/>
                <w:szCs w:val="21"/>
                <w:vertAlign w:val="baseline"/>
                <w:lang w:val="en-US" w:eastAsia="zh-CN"/>
              </w:rPr>
              <w:t>月</w:t>
            </w:r>
            <w:r>
              <w:rPr>
                <w:rFonts w:hint="default" w:ascii="Times New Roman" w:hAnsi="Times New Roman" w:eastAsia="宋体" w:cs="Times New Roman"/>
                <w:color w:val="auto"/>
                <w:sz w:val="21"/>
                <w:szCs w:val="21"/>
                <w:vertAlign w:val="baseline"/>
              </w:rPr>
              <w:t>监测一次</w:t>
            </w:r>
          </w:p>
        </w:tc>
      </w:tr>
    </w:tbl>
    <w:p>
      <w:pPr>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rPr>
        <w:t>施工期地表水水质监测</w:t>
      </w:r>
    </w:p>
    <w:p>
      <w:pPr>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1</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监测点布置</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本工程水质监测资料可收集太湖常规监测断面资料外，另在太湖</w:t>
      </w:r>
      <w:r>
        <w:rPr>
          <w:rFonts w:hint="eastAsia" w:ascii="Times New Roman" w:hAnsi="Times New Roman" w:eastAsia="宋体" w:cs="Times New Roman"/>
          <w:color w:val="auto"/>
          <w:lang w:val="en-US" w:eastAsia="zh-CN"/>
        </w:rPr>
        <w:t>渔洋山</w:t>
      </w:r>
      <w:r>
        <w:rPr>
          <w:rFonts w:hint="default" w:ascii="Times New Roman" w:hAnsi="Times New Roman" w:eastAsia="宋体" w:cs="Times New Roman"/>
          <w:color w:val="auto"/>
        </w:rPr>
        <w:t>饮用水水源2个取水口、水源地</w:t>
      </w:r>
      <w:r>
        <w:rPr>
          <w:rFonts w:hint="eastAsia" w:ascii="Times New Roman" w:hAnsi="Times New Roman" w:eastAsia="宋体" w:cs="Times New Roman"/>
          <w:color w:val="auto"/>
          <w:lang w:val="en-US" w:eastAsia="zh-CN"/>
        </w:rPr>
        <w:t>一级和</w:t>
      </w:r>
      <w:r>
        <w:rPr>
          <w:rFonts w:hint="default" w:ascii="Times New Roman" w:hAnsi="Times New Roman" w:eastAsia="宋体" w:cs="Times New Roman"/>
          <w:color w:val="auto"/>
        </w:rPr>
        <w:t>二级保护区内各设置1个监测断面，共3个系列监测断面/点位。</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本工程施工期水质监测断面/点位、监测项目、监测周期、监测时段及监测频率详见下表。</w:t>
      </w:r>
    </w:p>
    <w:p>
      <w:pPr>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环境监测技术要求</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监测项目：pH、SS、DO、高锰酸盐指数、COD、BOD</w:t>
      </w:r>
      <w:r>
        <w:rPr>
          <w:rFonts w:hint="default" w:ascii="Times New Roman" w:hAnsi="Times New Roman" w:eastAsia="宋体" w:cs="Times New Roman"/>
          <w:color w:val="auto"/>
          <w:vertAlign w:val="subscript"/>
        </w:rPr>
        <w:t>5</w:t>
      </w:r>
      <w:r>
        <w:rPr>
          <w:rFonts w:hint="default" w:ascii="Times New Roman" w:hAnsi="Times New Roman" w:eastAsia="宋体" w:cs="Times New Roman"/>
          <w:color w:val="auto"/>
        </w:rPr>
        <w:t>、氨氮、总氮、总磷、粪大肠菌群、石油类等。</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监测布设：根据《水环境监测规范（SL219-98）》的要求，各断面设中泓线1条采样垂线，采样垂线上设1个采样点，为1/2水深处；样品分析按照《地表水环境质量标准》（GB3838-2002）中规定的方法执行。</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监测频次：在各段施工期内每个监测点监测4次，共计12次。</w:t>
      </w:r>
    </w:p>
    <w:p>
      <w:pPr>
        <w:spacing w:line="480" w:lineRule="exact"/>
        <w:ind w:firstLine="482" w:firstLineChars="20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表7.2-2 施工期水质监测要求一览表</w:t>
      </w:r>
    </w:p>
    <w:tbl>
      <w:tblPr>
        <w:tblStyle w:val="56"/>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65"/>
        <w:gridCol w:w="3250"/>
        <w:gridCol w:w="37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6" w:type="pct"/>
            <w:tcBorders>
              <w:tl2br w:val="nil"/>
              <w:tr2bl w:val="nil"/>
            </w:tcBorders>
            <w:vAlign w:val="center"/>
          </w:tcPr>
          <w:p>
            <w:pPr>
              <w:widowControl w:val="0"/>
              <w:spacing w:line="240" w:lineRule="auto"/>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监测断面/点位</w:t>
            </w:r>
          </w:p>
        </w:tc>
        <w:tc>
          <w:tcPr>
            <w:tcW w:w="1759"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监测</w:t>
            </w:r>
            <w:r>
              <w:rPr>
                <w:rFonts w:hint="eastAsia" w:cs="Times New Roman"/>
                <w:color w:val="auto"/>
                <w:sz w:val="21"/>
                <w:szCs w:val="21"/>
                <w:vertAlign w:val="baseline"/>
                <w:lang w:val="en-US" w:eastAsia="zh-CN"/>
              </w:rPr>
              <w:t>项目</w:t>
            </w:r>
          </w:p>
        </w:tc>
        <w:tc>
          <w:tcPr>
            <w:tcW w:w="2013"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点位布设、监测周期、时段及频率要求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6"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太湖</w:t>
            </w:r>
            <w:r>
              <w:rPr>
                <w:rFonts w:hint="eastAsia" w:cs="Times New Roman"/>
                <w:color w:val="auto"/>
                <w:sz w:val="21"/>
                <w:szCs w:val="21"/>
                <w:vertAlign w:val="baseline"/>
                <w:lang w:val="en-US" w:eastAsia="zh-CN"/>
              </w:rPr>
              <w:t>渔洋山</w:t>
            </w:r>
            <w:r>
              <w:rPr>
                <w:rFonts w:hint="default" w:ascii="Times New Roman" w:hAnsi="Times New Roman" w:eastAsia="宋体" w:cs="Times New Roman"/>
                <w:color w:val="auto"/>
                <w:sz w:val="21"/>
                <w:szCs w:val="21"/>
                <w:vertAlign w:val="baseline"/>
              </w:rPr>
              <w:t>饮用水水源取水口</w:t>
            </w:r>
          </w:p>
        </w:tc>
        <w:tc>
          <w:tcPr>
            <w:tcW w:w="1759" w:type="pct"/>
            <w:vMerge w:val="restar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pH、透明度、SS、DO、高锰酸盐指数、COD、BOD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vertAlign w:val="baseline"/>
              </w:rPr>
              <w:t>、氨氮、总氮、总磷、粪大肠菌群、石油类共12 项指标。</w:t>
            </w:r>
          </w:p>
        </w:tc>
        <w:tc>
          <w:tcPr>
            <w:tcW w:w="2013" w:type="pct"/>
            <w:vMerge w:val="restar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筹建期监测一次，施工期每季度监测3期，每期3天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6"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rPr>
            </w:pPr>
            <w:r>
              <w:rPr>
                <w:rFonts w:hint="default" w:ascii="Times New Roman" w:hAnsi="Times New Roman" w:eastAsia="宋体" w:cs="Times New Roman"/>
                <w:color w:val="auto"/>
                <w:sz w:val="21"/>
                <w:szCs w:val="21"/>
                <w:vertAlign w:val="baseline"/>
              </w:rPr>
              <w:t>水源地</w:t>
            </w:r>
            <w:r>
              <w:rPr>
                <w:rFonts w:hint="eastAsia" w:ascii="Times New Roman" w:hAnsi="Times New Roman" w:eastAsia="宋体" w:cs="Times New Roman"/>
                <w:color w:val="auto"/>
                <w:sz w:val="21"/>
                <w:szCs w:val="21"/>
                <w:vertAlign w:val="baseline"/>
                <w:lang w:val="en-US" w:eastAsia="zh-CN"/>
              </w:rPr>
              <w:t>一级</w:t>
            </w:r>
            <w:r>
              <w:rPr>
                <w:rFonts w:hint="eastAsia" w:cs="Times New Roman"/>
                <w:color w:val="auto"/>
                <w:sz w:val="21"/>
                <w:szCs w:val="21"/>
                <w:vertAlign w:val="baseline"/>
                <w:lang w:val="en-US" w:eastAsia="zh-CN"/>
              </w:rPr>
              <w:t>保护区内</w:t>
            </w:r>
          </w:p>
        </w:tc>
        <w:tc>
          <w:tcPr>
            <w:tcW w:w="1759" w:type="pct"/>
            <w:vMerge w:val="continue"/>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p>
        </w:tc>
        <w:tc>
          <w:tcPr>
            <w:tcW w:w="2013" w:type="pct"/>
            <w:vMerge w:val="continue"/>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6"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水源地</w:t>
            </w:r>
            <w:r>
              <w:rPr>
                <w:rFonts w:hint="eastAsia" w:cs="Times New Roman"/>
                <w:color w:val="auto"/>
                <w:sz w:val="21"/>
                <w:szCs w:val="21"/>
                <w:vertAlign w:val="baseline"/>
                <w:lang w:val="en-US" w:eastAsia="zh-CN"/>
              </w:rPr>
              <w:t>二</w:t>
            </w:r>
            <w:r>
              <w:rPr>
                <w:rFonts w:hint="eastAsia" w:ascii="Times New Roman" w:hAnsi="Times New Roman" w:eastAsia="宋体" w:cs="Times New Roman"/>
                <w:color w:val="auto"/>
                <w:sz w:val="21"/>
                <w:szCs w:val="21"/>
                <w:vertAlign w:val="baseline"/>
                <w:lang w:val="en-US" w:eastAsia="zh-CN"/>
              </w:rPr>
              <w:t>级</w:t>
            </w:r>
            <w:r>
              <w:rPr>
                <w:rFonts w:hint="eastAsia" w:cs="Times New Roman"/>
                <w:color w:val="auto"/>
                <w:sz w:val="21"/>
                <w:szCs w:val="21"/>
                <w:vertAlign w:val="baseline"/>
                <w:lang w:val="en-US" w:eastAsia="zh-CN"/>
              </w:rPr>
              <w:t>保护区内</w:t>
            </w:r>
          </w:p>
        </w:tc>
        <w:tc>
          <w:tcPr>
            <w:tcW w:w="1759" w:type="pct"/>
            <w:vMerge w:val="continue"/>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p>
        </w:tc>
        <w:tc>
          <w:tcPr>
            <w:tcW w:w="2013" w:type="pct"/>
            <w:vMerge w:val="continue"/>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p>
        </w:tc>
      </w:tr>
    </w:tbl>
    <w:p>
      <w:pPr>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rPr>
        <w:t>环境空气监测</w:t>
      </w:r>
    </w:p>
    <w:p>
      <w:pPr>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1</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监测点布置</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根据工程分布，环境空气监测共布置</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个点，监测点位、监测项目、监测周期、监测时段以及频率详见表7.2-3。</w:t>
      </w:r>
    </w:p>
    <w:p>
      <w:pPr>
        <w:spacing w:line="480" w:lineRule="exact"/>
        <w:ind w:firstLine="482" w:firstLineChars="200"/>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rPr>
        <w:t>表7.2-</w:t>
      </w:r>
      <w:r>
        <w:rPr>
          <w:rFonts w:hint="eastAsia" w:cs="Times New Roman"/>
          <w:b/>
          <w:bCs/>
          <w:color w:val="auto"/>
          <w:lang w:val="en-US" w:eastAsia="zh-CN"/>
        </w:rPr>
        <w:t>3</w:t>
      </w:r>
      <w:r>
        <w:rPr>
          <w:rFonts w:hint="default" w:ascii="Times New Roman" w:hAnsi="Times New Roman" w:eastAsia="宋体" w:cs="Times New Roman"/>
          <w:b/>
          <w:bCs/>
          <w:color w:val="auto"/>
        </w:rPr>
        <w:t xml:space="preserve"> 施工期环境空气监测点及监测技术要求一览表</w:t>
      </w:r>
    </w:p>
    <w:tbl>
      <w:tblPr>
        <w:tblStyle w:val="56"/>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27"/>
        <w:gridCol w:w="2341"/>
        <w:gridCol w:w="2313"/>
        <w:gridCol w:w="27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9" w:type="pct"/>
            <w:tcBorders>
              <w:tl2br w:val="nil"/>
              <w:tr2bl w:val="nil"/>
            </w:tcBorders>
            <w:vAlign w:val="center"/>
          </w:tcPr>
          <w:p>
            <w:pPr>
              <w:widowControl w:val="0"/>
              <w:spacing w:line="240" w:lineRule="auto"/>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监测断面/点位</w:t>
            </w:r>
          </w:p>
        </w:tc>
        <w:tc>
          <w:tcPr>
            <w:tcW w:w="1267"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监测</w:t>
            </w:r>
            <w:r>
              <w:rPr>
                <w:rFonts w:hint="eastAsia" w:cs="Times New Roman"/>
                <w:color w:val="auto"/>
                <w:sz w:val="21"/>
                <w:szCs w:val="21"/>
                <w:vertAlign w:val="baseline"/>
                <w:lang w:val="en-US" w:eastAsia="zh-CN"/>
              </w:rPr>
              <w:t>项目</w:t>
            </w:r>
          </w:p>
        </w:tc>
        <w:tc>
          <w:tcPr>
            <w:tcW w:w="1252"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监测周期</w:t>
            </w:r>
          </w:p>
        </w:tc>
        <w:tc>
          <w:tcPr>
            <w:tcW w:w="1490"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监测时段及频率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9"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渔洋山景区</w:t>
            </w:r>
          </w:p>
        </w:tc>
        <w:tc>
          <w:tcPr>
            <w:tcW w:w="1267"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TSP</w:t>
            </w:r>
          </w:p>
        </w:tc>
        <w:tc>
          <w:tcPr>
            <w:tcW w:w="1252"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施工高峰监测 1 次</w:t>
            </w:r>
          </w:p>
        </w:tc>
        <w:tc>
          <w:tcPr>
            <w:tcW w:w="1490" w:type="pc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连续监测 7 天，提供日均值</w:t>
            </w:r>
          </w:p>
        </w:tc>
      </w:tr>
    </w:tbl>
    <w:p>
      <w:pPr>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监测技术要求</w:t>
      </w:r>
    </w:p>
    <w:p>
      <w:pPr>
        <w:spacing w:line="480" w:lineRule="exact"/>
        <w:ind w:firstLine="480" w:firstLineChars="200"/>
        <w:jc w:val="both"/>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项目：根据施工期产生主要污染物和空气质量的控制指标，施工期周边敏感目标的主要监测项目为：TSP</w:t>
      </w:r>
      <w:r>
        <w:rPr>
          <w:rFonts w:hint="eastAsia" w:ascii="Times New Roman" w:hAnsi="Times New Roman" w:eastAsia="宋体" w:cs="Times New Roman"/>
          <w:color w:val="auto"/>
          <w:lang w:eastAsia="zh-CN"/>
        </w:rPr>
        <w:t>。</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监测周期：施工期周边敏感目标施工期内施工高峰监测 1 次，每次连续监测7天，每天监测不少于18个小时。</w:t>
      </w:r>
    </w:p>
    <w:p>
      <w:pPr>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3</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监测方法</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按照《环境监测技术规范》(大气部分)中规定方法执行。</w:t>
      </w:r>
    </w:p>
    <w:p>
      <w:pPr>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4</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资料整编及保存</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按《环境监测技术规范》的相关规定执行。原始监测资料及整编成果3份交工程所在行政区环保局环境监测科存档备查。</w:t>
      </w:r>
    </w:p>
    <w:p>
      <w:pPr>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4、</w:t>
      </w:r>
      <w:r>
        <w:rPr>
          <w:rFonts w:hint="default" w:ascii="Times New Roman" w:hAnsi="Times New Roman" w:eastAsia="宋体" w:cs="Times New Roman"/>
          <w:color w:val="auto"/>
        </w:rPr>
        <w:t>声环境监测</w:t>
      </w:r>
    </w:p>
    <w:p>
      <w:pPr>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1</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监测点布置：</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声环境监测共</w:t>
      </w:r>
      <w:r>
        <w:rPr>
          <w:rFonts w:hint="eastAsia" w:ascii="Times New Roman" w:hAnsi="Times New Roman" w:eastAsia="宋体" w:cs="Times New Roman"/>
          <w:color w:val="auto"/>
          <w:lang w:val="en-US" w:eastAsia="zh-CN"/>
        </w:rPr>
        <w:t>在渔洋山景区内</w:t>
      </w:r>
      <w:r>
        <w:rPr>
          <w:rFonts w:hint="default" w:ascii="Times New Roman" w:hAnsi="Times New Roman" w:eastAsia="宋体" w:cs="Times New Roman"/>
          <w:color w:val="auto"/>
        </w:rPr>
        <w:t>布置</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rPr>
        <w:t>个点。</w:t>
      </w:r>
    </w:p>
    <w:p>
      <w:pPr>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监测技术要求</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监测项目：昼间和夜间等效声级</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监测频率：施工期内分布均匀每个监测点监测4 次，每次2 天，每天24 小时昼夜等效声级。</w:t>
      </w:r>
    </w:p>
    <w:p>
      <w:pPr>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3</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监测方法</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按照《环境监测技术规范》（噪声部分）中规定方法执行。</w:t>
      </w:r>
    </w:p>
    <w:p>
      <w:pPr>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4</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资料整编及保存</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按《环境监测技术规范》的相关规定执行。原始监测资料及整编成果3份交工程所在行政区</w:t>
      </w:r>
      <w:r>
        <w:rPr>
          <w:rFonts w:hint="eastAsia" w:ascii="Times New Roman" w:hAnsi="Times New Roman" w:eastAsia="宋体" w:cs="Times New Roman"/>
          <w:color w:val="auto"/>
          <w:lang w:val="en-US" w:eastAsia="zh-CN"/>
        </w:rPr>
        <w:t>生态环境局</w:t>
      </w:r>
      <w:r>
        <w:rPr>
          <w:rFonts w:hint="default" w:ascii="Times New Roman" w:hAnsi="Times New Roman" w:eastAsia="宋体" w:cs="Times New Roman"/>
          <w:color w:val="auto"/>
        </w:rPr>
        <w:t>环境监测科存档备查。</w:t>
      </w:r>
    </w:p>
    <w:p>
      <w:pPr>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rPr>
        <w:t>施工区人群健康监测</w:t>
      </w:r>
    </w:p>
    <w:p>
      <w:pPr>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1</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常规疾病监测</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本项监测工作将委托有关区卫生防疫部门承担施工区疾病监测，主要开展甲、乙、丙类传染病监测，按规定填写传染病报表。</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针对区域流行病情况，调查施工区鼠类、蚊类种群密度；调查病毒性肝炎、细菌性痢疾、伤寒和副伤寒、麻疹和出血热的发病率。在传染病流行季节和高发区域，对易感人群进行抽检和预防接种。</w:t>
      </w:r>
    </w:p>
    <w:p>
      <w:pPr>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监测范围及频率</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监测范围：施工区内各施工时段。</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监测频率：施工前、施工高峰期、施工结束后各监测1次。</w:t>
      </w:r>
    </w:p>
    <w:p>
      <w:pPr>
        <w:pStyle w:val="5"/>
        <w:jc w:val="both"/>
        <w:rPr>
          <w:rFonts w:hint="default" w:ascii="Times New Roman" w:hAnsi="Times New Roman" w:eastAsia="宋体" w:cs="Times New Roman"/>
          <w:color w:val="auto"/>
        </w:rPr>
      </w:pPr>
      <w:bookmarkStart w:id="460" w:name="_Toc32010"/>
      <w:r>
        <w:rPr>
          <w:rFonts w:hint="default" w:ascii="Times New Roman" w:hAnsi="Times New Roman" w:eastAsia="宋体" w:cs="Times New Roman"/>
          <w:color w:val="auto"/>
        </w:rPr>
        <w:t>7.2.4 跟踪监测</w:t>
      </w:r>
      <w:bookmarkEnd w:id="460"/>
    </w:p>
    <w:p>
      <w:pPr>
        <w:spacing w:line="480" w:lineRule="exact"/>
        <w:ind w:firstLine="480" w:firstLineChars="200"/>
        <w:jc w:val="both"/>
        <w:rPr>
          <w:rFonts w:hint="default" w:ascii="Times New Roman" w:hAnsi="Times New Roman" w:eastAsia="宋体" w:cs="Times New Roman"/>
          <w:color w:val="auto"/>
        </w:rPr>
      </w:pPr>
      <w:r>
        <w:rPr>
          <w:rFonts w:hint="eastAsia" w:cs="Times New Roman"/>
          <w:color w:val="auto"/>
          <w:lang w:val="en-US" w:eastAsia="zh-CN"/>
        </w:rPr>
        <w:t>1、</w:t>
      </w:r>
      <w:r>
        <w:rPr>
          <w:rFonts w:hint="default" w:ascii="Times New Roman" w:hAnsi="Times New Roman" w:eastAsia="宋体" w:cs="Times New Roman"/>
          <w:color w:val="auto"/>
        </w:rPr>
        <w:t>监测内容</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建设期和运行期在施工范围内进行浮游生物、底栖动物、水生维管束植物、鱼类种群动态、鱼类产卵场等进行监测，通过连续监测，统计分析太湖水生生物和鱼类种类组成、资源量变化趋势，分析其变化原因，对建设本工程的影响进行后评价，并根据监测结果优化环保措施。</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（1）施工期水生态监测内容：水文、水动力学特征，SS、噪声、水体理化性质（主要为N、P 各种形式组分动态及浓度场分布）；浮游植物、浮游动物、底栖动物、水生维管束植物的种类、分布密度、生物量与水温及流态等的变化关系。</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（2）运行期水生态监测内容：水文、水动力学特征，噪声、光照、水体理化性质（主要为N、P 各种形式组分动态及浓度场分布）；浮游植物、浮游动物、底栖动物、水生维管束植物的种类、分布密度、生物量与水温及流态等的变化关系。</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（3）鱼类资源监测内容：鱼类的种类组成、种群结构、资源量的时空分布及累积变化效应。</w:t>
      </w:r>
    </w:p>
    <w:p>
      <w:pPr>
        <w:pStyle w:val="4"/>
        <w:spacing w:before="117" w:after="117" w:line="480" w:lineRule="exact"/>
        <w:jc w:val="both"/>
        <w:rPr>
          <w:rFonts w:hint="default" w:ascii="Times New Roman" w:hAnsi="Times New Roman" w:eastAsia="宋体" w:cs="Times New Roman"/>
          <w:color w:val="auto"/>
        </w:rPr>
      </w:pPr>
      <w:bookmarkStart w:id="461" w:name="_Toc11733"/>
      <w:r>
        <w:rPr>
          <w:rFonts w:hint="default" w:ascii="Times New Roman" w:hAnsi="Times New Roman" w:eastAsia="宋体" w:cs="Times New Roman"/>
          <w:color w:val="auto"/>
        </w:rPr>
        <w:t>7.3 环境保护竣工验收</w:t>
      </w:r>
      <w:bookmarkEnd w:id="461"/>
    </w:p>
    <w:p>
      <w:pPr>
        <w:pStyle w:val="5"/>
        <w:jc w:val="both"/>
        <w:rPr>
          <w:rFonts w:hint="default" w:ascii="Times New Roman" w:hAnsi="Times New Roman" w:eastAsia="宋体" w:cs="Times New Roman"/>
          <w:color w:val="auto"/>
        </w:rPr>
      </w:pPr>
      <w:bookmarkStart w:id="462" w:name="_Toc188"/>
      <w:r>
        <w:rPr>
          <w:rFonts w:hint="default" w:ascii="Times New Roman" w:hAnsi="Times New Roman" w:eastAsia="宋体" w:cs="Times New Roman"/>
          <w:color w:val="auto"/>
        </w:rPr>
        <w:t>7.3.1 目的</w:t>
      </w:r>
      <w:bookmarkEnd w:id="462"/>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根据国家相关法律法规要求，要求编制环境影响报告书的建设项目需要在调查基础上提交工程竣工环保验收调查报告。开展调查并编制调查报告的目的是为了贯彻实施国家关于工程项目竣工环保验收的法规，提出项目工程竣工环保验收前期调查结果，为工程竣工环保验收组的验收工作提供依据。</w:t>
      </w:r>
    </w:p>
    <w:p>
      <w:pPr>
        <w:pStyle w:val="5"/>
        <w:jc w:val="both"/>
        <w:rPr>
          <w:rFonts w:hint="default" w:ascii="Times New Roman" w:hAnsi="Times New Roman" w:eastAsia="宋体" w:cs="Times New Roman"/>
          <w:color w:val="auto"/>
        </w:rPr>
      </w:pPr>
      <w:bookmarkStart w:id="463" w:name="_Toc6687"/>
      <w:r>
        <w:rPr>
          <w:rFonts w:hint="default" w:ascii="Times New Roman" w:hAnsi="Times New Roman" w:eastAsia="宋体" w:cs="Times New Roman"/>
          <w:color w:val="auto"/>
        </w:rPr>
        <w:t xml:space="preserve">7.3.2 </w:t>
      </w:r>
      <w:r>
        <w:rPr>
          <w:rFonts w:hint="eastAsia" w:cs="Times New Roman"/>
          <w:color w:val="auto"/>
          <w:lang w:eastAsia="zh-CN"/>
        </w:rPr>
        <w:t>“</w:t>
      </w:r>
      <w:r>
        <w:rPr>
          <w:rFonts w:hint="default" w:ascii="Times New Roman" w:hAnsi="Times New Roman" w:eastAsia="宋体" w:cs="Times New Roman"/>
          <w:color w:val="auto"/>
        </w:rPr>
        <w:t>三同时</w:t>
      </w:r>
      <w:r>
        <w:rPr>
          <w:rFonts w:hint="eastAsia" w:cs="Times New Roman"/>
          <w:color w:val="auto"/>
          <w:lang w:eastAsia="zh-CN"/>
        </w:rPr>
        <w:t>”</w:t>
      </w:r>
      <w:r>
        <w:rPr>
          <w:rFonts w:hint="default" w:ascii="Times New Roman" w:hAnsi="Times New Roman" w:eastAsia="宋体" w:cs="Times New Roman"/>
          <w:color w:val="auto"/>
        </w:rPr>
        <w:t>验收一览表</w:t>
      </w:r>
      <w:bookmarkEnd w:id="463"/>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根据</w:t>
      </w:r>
      <w:r>
        <w:rPr>
          <w:rFonts w:hint="eastAsia" w:ascii="Times New Roman" w:hAnsi="Times New Roman" w:eastAsia="宋体" w:cs="Times New Roman"/>
          <w:color w:val="auto"/>
          <w:lang w:eastAsia="zh-CN"/>
        </w:rPr>
        <w:t>太湖渔洋山水源地生态修复工程</w:t>
      </w:r>
      <w:r>
        <w:rPr>
          <w:rFonts w:hint="default" w:ascii="Times New Roman" w:hAnsi="Times New Roman" w:eastAsia="宋体" w:cs="Times New Roman"/>
          <w:color w:val="auto"/>
        </w:rPr>
        <w:t>建设环境影响以及相应的环境保护措施，建议项目</w:t>
      </w:r>
      <w:r>
        <w:rPr>
          <w:rFonts w:hint="eastAsia" w:cs="Times New Roman"/>
          <w:color w:val="auto"/>
          <w:lang w:eastAsia="zh-CN"/>
        </w:rPr>
        <w:t>“</w:t>
      </w:r>
      <w:r>
        <w:rPr>
          <w:rFonts w:hint="default" w:ascii="Times New Roman" w:hAnsi="Times New Roman" w:eastAsia="宋体" w:cs="Times New Roman"/>
          <w:color w:val="auto"/>
        </w:rPr>
        <w:t>三同时</w:t>
      </w:r>
      <w:r>
        <w:rPr>
          <w:rFonts w:hint="eastAsia" w:cs="Times New Roman"/>
          <w:color w:val="auto"/>
          <w:lang w:eastAsia="zh-CN"/>
        </w:rPr>
        <w:t>”</w:t>
      </w:r>
      <w:r>
        <w:rPr>
          <w:rFonts w:hint="default" w:ascii="Times New Roman" w:hAnsi="Times New Roman" w:eastAsia="宋体" w:cs="Times New Roman"/>
          <w:color w:val="auto"/>
        </w:rPr>
        <w:t>验收一览表见表7.3-1。</w:t>
      </w:r>
    </w:p>
    <w:p>
      <w:pPr>
        <w:spacing w:line="480" w:lineRule="exact"/>
        <w:ind w:firstLine="482" w:firstLineChars="20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表7.3-1 项目</w:t>
      </w:r>
      <w:r>
        <w:rPr>
          <w:rFonts w:hint="eastAsia" w:cs="Times New Roman"/>
          <w:b/>
          <w:bCs/>
          <w:color w:val="auto"/>
          <w:lang w:eastAsia="zh-CN"/>
        </w:rPr>
        <w:t>“</w:t>
      </w:r>
      <w:r>
        <w:rPr>
          <w:rFonts w:hint="default" w:ascii="Times New Roman" w:hAnsi="Times New Roman" w:eastAsia="宋体" w:cs="Times New Roman"/>
          <w:b/>
          <w:bCs/>
          <w:color w:val="auto"/>
        </w:rPr>
        <w:t>三同时</w:t>
      </w:r>
      <w:r>
        <w:rPr>
          <w:rFonts w:hint="eastAsia" w:cs="Times New Roman"/>
          <w:b/>
          <w:bCs/>
          <w:color w:val="auto"/>
          <w:lang w:eastAsia="zh-CN"/>
        </w:rPr>
        <w:t>”</w:t>
      </w:r>
      <w:r>
        <w:rPr>
          <w:rFonts w:hint="default" w:ascii="Times New Roman" w:hAnsi="Times New Roman" w:eastAsia="宋体" w:cs="Times New Roman"/>
          <w:b/>
          <w:bCs/>
          <w:color w:val="auto"/>
        </w:rPr>
        <w:t>验收一览表</w:t>
      </w:r>
    </w:p>
    <w:tbl>
      <w:tblPr>
        <w:tblStyle w:val="5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1200"/>
        <w:gridCol w:w="2715"/>
        <w:gridCol w:w="2235"/>
        <w:gridCol w:w="24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tcBorders>
              <w:tl2br w:val="nil"/>
              <w:tr2bl w:val="nil"/>
            </w:tcBorders>
            <w:vAlign w:val="center"/>
          </w:tcPr>
          <w:p>
            <w:pPr>
              <w:widowControl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序号</w:t>
            </w:r>
          </w:p>
        </w:tc>
        <w:tc>
          <w:tcPr>
            <w:tcW w:w="1200" w:type="dxa"/>
            <w:tcBorders>
              <w:tl2br w:val="nil"/>
              <w:tr2bl w:val="nil"/>
            </w:tcBorders>
            <w:vAlign w:val="center"/>
          </w:tcPr>
          <w:p>
            <w:pPr>
              <w:widowControl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类别</w:t>
            </w:r>
          </w:p>
        </w:tc>
        <w:tc>
          <w:tcPr>
            <w:tcW w:w="4950" w:type="dxa"/>
            <w:gridSpan w:val="2"/>
            <w:tcBorders>
              <w:tl2br w:val="nil"/>
              <w:tr2bl w:val="nil"/>
            </w:tcBorders>
            <w:vAlign w:val="center"/>
          </w:tcPr>
          <w:p>
            <w:pPr>
              <w:widowControl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验收内容</w:t>
            </w:r>
          </w:p>
        </w:tc>
        <w:tc>
          <w:tcPr>
            <w:tcW w:w="2415" w:type="dxa"/>
            <w:tcBorders>
              <w:tl2br w:val="nil"/>
              <w:tr2bl w:val="nil"/>
            </w:tcBorders>
            <w:vAlign w:val="center"/>
          </w:tcPr>
          <w:p>
            <w:pPr>
              <w:widowControl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876" w:type="dxa"/>
            <w:gridSpan w:val="2"/>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项目名称</w:t>
            </w:r>
          </w:p>
        </w:tc>
        <w:tc>
          <w:tcPr>
            <w:tcW w:w="7365" w:type="dxa"/>
            <w:gridSpan w:val="3"/>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苏州市太湖渔洋山水源地近岸生态修复工程项目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tcBorders>
              <w:tl2br w:val="nil"/>
              <w:tr2bl w:val="nil"/>
            </w:tcBorders>
            <w:vAlign w:val="center"/>
          </w:tcPr>
          <w:p>
            <w:pPr>
              <w:widowControl w:val="0"/>
              <w:spacing w:line="240" w:lineRule="auto"/>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一</w:t>
            </w:r>
          </w:p>
        </w:tc>
        <w:tc>
          <w:tcPr>
            <w:tcW w:w="1200"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组织机构</w:t>
            </w:r>
          </w:p>
        </w:tc>
        <w:tc>
          <w:tcPr>
            <w:tcW w:w="4950" w:type="dxa"/>
            <w:gridSpan w:val="2"/>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成立本工程环保管理机构</w:t>
            </w:r>
          </w:p>
        </w:tc>
        <w:tc>
          <w:tcPr>
            <w:tcW w:w="241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有关环保资料由建设单位在提交验收申请报告时提供给环保部门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676" w:type="dxa"/>
            <w:vMerge w:val="restart"/>
            <w:tcBorders>
              <w:tl2br w:val="nil"/>
              <w:tr2bl w:val="nil"/>
            </w:tcBorders>
            <w:vAlign w:val="center"/>
          </w:tcPr>
          <w:p>
            <w:pPr>
              <w:widowControl w:val="0"/>
              <w:spacing w:line="240" w:lineRule="auto"/>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二</w:t>
            </w:r>
          </w:p>
        </w:tc>
        <w:tc>
          <w:tcPr>
            <w:tcW w:w="1200" w:type="dxa"/>
            <w:tcBorders>
              <w:tl2br w:val="nil"/>
              <w:tr2bl w:val="nil"/>
            </w:tcBorders>
            <w:vAlign w:val="center"/>
          </w:tcPr>
          <w:p>
            <w:pPr>
              <w:widowControl w:val="0"/>
              <w:spacing w:line="240" w:lineRule="auto"/>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施工期</w:t>
            </w:r>
          </w:p>
        </w:tc>
        <w:tc>
          <w:tcPr>
            <w:tcW w:w="7365" w:type="dxa"/>
            <w:gridSpan w:val="3"/>
            <w:vMerge w:val="restar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按照</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环评报告书</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要求，开展施工期环境监测和监理，并将每次或每年的监测报告和监理报告进行存档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676" w:type="dxa"/>
            <w:vMerge w:val="continue"/>
            <w:tcBorders>
              <w:tl2br w:val="nil"/>
              <w:tr2bl w:val="nil"/>
            </w:tcBorders>
            <w:vAlign w:val="center"/>
          </w:tcPr>
          <w:p>
            <w:pPr>
              <w:widowControl w:val="0"/>
              <w:spacing w:line="240" w:lineRule="auto"/>
              <w:jc w:val="center"/>
            </w:pPr>
          </w:p>
        </w:tc>
        <w:tc>
          <w:tcPr>
            <w:tcW w:w="1200"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监测</w:t>
            </w:r>
          </w:p>
        </w:tc>
        <w:tc>
          <w:tcPr>
            <w:tcW w:w="7365" w:type="dxa"/>
            <w:gridSpan w:val="3"/>
            <w:vMerge w:val="continue"/>
            <w:tcBorders>
              <w:tl2br w:val="nil"/>
              <w:tr2bl w:val="nil"/>
            </w:tcBorders>
            <w:vAlign w:val="center"/>
          </w:tcPr>
          <w:p>
            <w:pPr>
              <w:widowControl w:val="0"/>
              <w:spacing w:line="240" w:lineRule="auto"/>
              <w:jc w:val="center"/>
              <w:rPr>
                <w:rFonts w:hint="eastAsia"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676" w:type="dxa"/>
            <w:vMerge w:val="restar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三</w:t>
            </w:r>
          </w:p>
        </w:tc>
        <w:tc>
          <w:tcPr>
            <w:tcW w:w="1200" w:type="dxa"/>
            <w:tcBorders>
              <w:tl2br w:val="nil"/>
              <w:tr2bl w:val="nil"/>
            </w:tcBorders>
            <w:vAlign w:val="center"/>
          </w:tcPr>
          <w:p>
            <w:pPr>
              <w:widowControl w:val="0"/>
              <w:spacing w:line="240" w:lineRule="auto"/>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运营期</w:t>
            </w:r>
          </w:p>
        </w:tc>
        <w:tc>
          <w:tcPr>
            <w:tcW w:w="7365" w:type="dxa"/>
            <w:gridSpan w:val="3"/>
            <w:vMerge w:val="restart"/>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按照</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环评报告书</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要求，进行运营期间环境监测，并将监测报告存档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676" w:type="dxa"/>
            <w:vMerge w:val="continue"/>
            <w:tcBorders>
              <w:tl2br w:val="nil"/>
              <w:tr2bl w:val="nil"/>
            </w:tcBorders>
            <w:vAlign w:val="center"/>
          </w:tcPr>
          <w:p>
            <w:pPr>
              <w:widowControl w:val="0"/>
              <w:spacing w:line="240" w:lineRule="auto"/>
              <w:jc w:val="center"/>
            </w:pPr>
          </w:p>
        </w:tc>
        <w:tc>
          <w:tcPr>
            <w:tcW w:w="1200" w:type="dxa"/>
            <w:tcBorders>
              <w:tl2br w:val="nil"/>
              <w:tr2bl w:val="nil"/>
            </w:tcBorders>
            <w:vAlign w:val="center"/>
          </w:tcPr>
          <w:p>
            <w:pPr>
              <w:widowControl w:val="0"/>
              <w:spacing w:line="240" w:lineRule="auto"/>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监测</w:t>
            </w:r>
          </w:p>
        </w:tc>
        <w:tc>
          <w:tcPr>
            <w:tcW w:w="7365" w:type="dxa"/>
            <w:gridSpan w:val="3"/>
            <w:vMerge w:val="continue"/>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gridSpan w:val="2"/>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四</w:t>
            </w:r>
          </w:p>
        </w:tc>
        <w:tc>
          <w:tcPr>
            <w:tcW w:w="7365" w:type="dxa"/>
            <w:gridSpan w:val="3"/>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污染防治主要内容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gridSpan w:val="2"/>
            <w:tcBorders>
              <w:tl2br w:val="nil"/>
              <w:tr2bl w:val="nil"/>
            </w:tcBorders>
            <w:vAlign w:val="center"/>
          </w:tcPr>
          <w:p>
            <w:pPr>
              <w:widowControl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污染源</w:t>
            </w:r>
          </w:p>
        </w:tc>
        <w:tc>
          <w:tcPr>
            <w:tcW w:w="2715" w:type="dxa"/>
            <w:vMerge w:val="restart"/>
            <w:tcBorders>
              <w:tl2br w:val="nil"/>
              <w:tr2bl w:val="nil"/>
            </w:tcBorders>
            <w:vAlign w:val="center"/>
          </w:tcPr>
          <w:p>
            <w:pPr>
              <w:widowControl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环保措施</w:t>
            </w:r>
          </w:p>
        </w:tc>
        <w:tc>
          <w:tcPr>
            <w:tcW w:w="2235" w:type="dxa"/>
            <w:vMerge w:val="restart"/>
            <w:tcBorders>
              <w:tl2br w:val="nil"/>
              <w:tr2bl w:val="nil"/>
            </w:tcBorders>
            <w:vAlign w:val="center"/>
          </w:tcPr>
          <w:p>
            <w:pPr>
              <w:widowControl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验收内容</w:t>
            </w:r>
          </w:p>
        </w:tc>
        <w:tc>
          <w:tcPr>
            <w:tcW w:w="2415" w:type="dxa"/>
            <w:vMerge w:val="restart"/>
            <w:tcBorders>
              <w:tl2br w:val="nil"/>
              <w:tr2bl w:val="nil"/>
            </w:tcBorders>
            <w:vAlign w:val="center"/>
          </w:tcPr>
          <w:p>
            <w:pPr>
              <w:widowControl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验收要求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876" w:type="dxa"/>
            <w:gridSpan w:val="2"/>
            <w:tcBorders>
              <w:tl2br w:val="nil"/>
              <w:tr2bl w:val="nil"/>
            </w:tcBorders>
            <w:vAlign w:val="center"/>
          </w:tcPr>
          <w:p>
            <w:pPr>
              <w:widowControl w:val="0"/>
              <w:spacing w:line="240" w:lineRule="auto"/>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分类</w:t>
            </w:r>
          </w:p>
        </w:tc>
        <w:tc>
          <w:tcPr>
            <w:tcW w:w="2715" w:type="dxa"/>
            <w:vMerge w:val="continue"/>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p>
        </w:tc>
        <w:tc>
          <w:tcPr>
            <w:tcW w:w="2235" w:type="dxa"/>
            <w:vMerge w:val="continue"/>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p>
        </w:tc>
        <w:tc>
          <w:tcPr>
            <w:tcW w:w="2415" w:type="dxa"/>
            <w:vMerge w:val="continue"/>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8565" w:type="dxa"/>
            <w:gridSpan w:val="4"/>
            <w:tcBorders>
              <w:tl2br w:val="nil"/>
              <w:tr2bl w:val="nil"/>
            </w:tcBorders>
            <w:vAlign w:val="center"/>
          </w:tcPr>
          <w:p>
            <w:pPr>
              <w:widowControl w:val="0"/>
              <w:spacing w:line="240" w:lineRule="auto"/>
              <w:jc w:val="left"/>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水污染源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1.1</w:t>
            </w:r>
          </w:p>
        </w:tc>
        <w:tc>
          <w:tcPr>
            <w:tcW w:w="1200"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生活污水</w:t>
            </w:r>
          </w:p>
        </w:tc>
        <w:tc>
          <w:tcPr>
            <w:tcW w:w="271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经市政管网接入金庭污水处理厂处理</w:t>
            </w:r>
          </w:p>
        </w:tc>
        <w:tc>
          <w:tcPr>
            <w:tcW w:w="223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2415" w:type="dxa"/>
            <w:tcBorders>
              <w:tl2br w:val="nil"/>
              <w:tr2bl w:val="nil"/>
            </w:tcBorders>
            <w:vAlign w:val="center"/>
          </w:tcPr>
          <w:p>
            <w:pPr>
              <w:widowControl w:val="0"/>
              <w:spacing w:line="240" w:lineRule="auto"/>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c>
          <w:tcPr>
            <w:tcW w:w="8565" w:type="dxa"/>
            <w:gridSpan w:val="4"/>
            <w:tcBorders>
              <w:tl2br w:val="nil"/>
              <w:tr2bl w:val="nil"/>
            </w:tcBorders>
            <w:vAlign w:val="center"/>
          </w:tcPr>
          <w:p>
            <w:pPr>
              <w:widowControl w:val="0"/>
              <w:spacing w:line="240" w:lineRule="auto"/>
              <w:jc w:val="left"/>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2.1</w:t>
            </w:r>
          </w:p>
        </w:tc>
        <w:tc>
          <w:tcPr>
            <w:tcW w:w="1200"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施工区噪声防治</w:t>
            </w:r>
          </w:p>
        </w:tc>
        <w:tc>
          <w:tcPr>
            <w:tcW w:w="271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设备噪声排放指标参数符合相关环保标准；选用低噪声设备；设备保养；敏感点附近禁止夜间施工，昼间合理安排施工时间，严格控制施工设备的噪声分贝</w:t>
            </w:r>
          </w:p>
        </w:tc>
        <w:tc>
          <w:tcPr>
            <w:tcW w:w="223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禁止在敏感目标附近夜间施工；在靠近噪声超标的的敏感目标一侧边上有设置临时移动隔声屏</w:t>
            </w:r>
          </w:p>
        </w:tc>
        <w:tc>
          <w:tcPr>
            <w:tcW w:w="2415" w:type="dxa"/>
            <w:tcBorders>
              <w:tl2br w:val="nil"/>
              <w:tr2bl w:val="nil"/>
            </w:tcBorders>
            <w:vAlign w:val="center"/>
          </w:tcPr>
          <w:p>
            <w:pPr>
              <w:widowControl w:val="0"/>
              <w:spacing w:line="240" w:lineRule="auto"/>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施工期噪声</w:t>
            </w:r>
            <w:r>
              <w:rPr>
                <w:rFonts w:hint="default" w:ascii="Times New Roman" w:hAnsi="Times New Roman" w:eastAsia="宋体" w:cs="Times New Roman"/>
                <w:color w:val="auto"/>
                <w:sz w:val="21"/>
                <w:szCs w:val="21"/>
                <w:vertAlign w:val="baseline"/>
              </w:rPr>
              <w:t>影响</w:t>
            </w:r>
            <w:r>
              <w:rPr>
                <w:rFonts w:hint="eastAsia" w:ascii="Times New Roman" w:hAnsi="Times New Roman" w:eastAsia="宋体" w:cs="Times New Roman"/>
                <w:color w:val="auto"/>
                <w:sz w:val="21"/>
                <w:szCs w:val="21"/>
                <w:vertAlign w:val="baseline"/>
                <w:lang w:val="en-US" w:eastAsia="zh-CN"/>
              </w:rPr>
              <w:t>较小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w:t>
            </w:r>
          </w:p>
        </w:tc>
        <w:tc>
          <w:tcPr>
            <w:tcW w:w="8565" w:type="dxa"/>
            <w:gridSpan w:val="4"/>
            <w:tcBorders>
              <w:tl2br w:val="nil"/>
              <w:tr2bl w:val="nil"/>
            </w:tcBorders>
            <w:vAlign w:val="center"/>
          </w:tcPr>
          <w:p>
            <w:pPr>
              <w:widowControl w:val="0"/>
              <w:spacing w:line="240" w:lineRule="auto"/>
              <w:jc w:val="left"/>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3.1</w:t>
            </w:r>
          </w:p>
        </w:tc>
        <w:tc>
          <w:tcPr>
            <w:tcW w:w="1200"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r>
              <w:rPr>
                <w:rFonts w:hint="eastAsia" w:cs="Times New Roman"/>
                <w:color w:val="auto"/>
                <w:sz w:val="21"/>
                <w:szCs w:val="21"/>
                <w:vertAlign w:val="baseline"/>
                <w:lang w:val="en-US" w:eastAsia="zh-CN"/>
              </w:rPr>
              <w:t>道路</w:t>
            </w:r>
            <w:r>
              <w:rPr>
                <w:rFonts w:hint="default" w:ascii="Times New Roman" w:hAnsi="Times New Roman" w:eastAsia="宋体" w:cs="Times New Roman"/>
                <w:color w:val="auto"/>
                <w:sz w:val="21"/>
                <w:szCs w:val="21"/>
                <w:vertAlign w:val="baseline"/>
              </w:rPr>
              <w:t>扬尘</w:t>
            </w:r>
          </w:p>
        </w:tc>
        <w:tc>
          <w:tcPr>
            <w:tcW w:w="271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洒水降尘</w:t>
            </w:r>
          </w:p>
        </w:tc>
        <w:tc>
          <w:tcPr>
            <w:tcW w:w="223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配有洒水设备</w:t>
            </w:r>
          </w:p>
        </w:tc>
        <w:tc>
          <w:tcPr>
            <w:tcW w:w="241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施工扬尘影响较小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w:t>
            </w:r>
          </w:p>
        </w:tc>
        <w:tc>
          <w:tcPr>
            <w:tcW w:w="8565" w:type="dxa"/>
            <w:gridSpan w:val="4"/>
            <w:tcBorders>
              <w:tl2br w:val="nil"/>
              <w:tr2bl w:val="nil"/>
            </w:tcBorders>
            <w:vAlign w:val="center"/>
          </w:tcPr>
          <w:p>
            <w:pPr>
              <w:widowControl w:val="0"/>
              <w:spacing w:line="240" w:lineRule="auto"/>
              <w:jc w:val="left"/>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固体废物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4.1</w:t>
            </w:r>
          </w:p>
        </w:tc>
        <w:tc>
          <w:tcPr>
            <w:tcW w:w="1200"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生活垃圾</w:t>
            </w:r>
          </w:p>
        </w:tc>
        <w:tc>
          <w:tcPr>
            <w:tcW w:w="271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设置垃圾桶，安排专人定时清理，委托当地环保部门定期清运，就近运往各工程区附近的垃圾填埋场进行填埋处理；经常喷洒消毒药水</w:t>
            </w:r>
          </w:p>
        </w:tc>
        <w:tc>
          <w:tcPr>
            <w:tcW w:w="223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设置垃圾收集桶，对垃圾进行临时存放； 安排专人喷洒消毒药水</w:t>
            </w:r>
          </w:p>
        </w:tc>
        <w:tc>
          <w:tcPr>
            <w:tcW w:w="241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垃圾妥善处置， 未产生垃圾污染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4.2</w:t>
            </w:r>
          </w:p>
        </w:tc>
        <w:tc>
          <w:tcPr>
            <w:tcW w:w="1200"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建筑垃圾</w:t>
            </w:r>
          </w:p>
        </w:tc>
        <w:tc>
          <w:tcPr>
            <w:tcW w:w="2715" w:type="dxa"/>
            <w:tcBorders>
              <w:tl2br w:val="nil"/>
              <w:tr2bl w:val="nil"/>
            </w:tcBorders>
            <w:vAlign w:val="center"/>
          </w:tcPr>
          <w:p>
            <w:pPr>
              <w:widowControl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设置收集桶，安排人定时</w:t>
            </w:r>
          </w:p>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处置</w:t>
            </w:r>
          </w:p>
        </w:tc>
        <w:tc>
          <w:tcPr>
            <w:tcW w:w="223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r>
              <w:rPr>
                <w:rFonts w:hint="eastAsia" w:cs="Times New Roman"/>
                <w:color w:val="auto"/>
                <w:sz w:val="21"/>
                <w:szCs w:val="21"/>
                <w:vertAlign w:val="baseline"/>
                <w:lang w:val="en-US" w:eastAsia="zh-CN"/>
              </w:rPr>
              <w:t>设置收集桶</w:t>
            </w:r>
          </w:p>
        </w:tc>
        <w:tc>
          <w:tcPr>
            <w:tcW w:w="241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妥善处置，未产生污染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w:t>
            </w:r>
          </w:p>
        </w:tc>
        <w:tc>
          <w:tcPr>
            <w:tcW w:w="8565" w:type="dxa"/>
            <w:gridSpan w:val="4"/>
            <w:tcBorders>
              <w:tl2br w:val="nil"/>
              <w:tr2bl w:val="nil"/>
            </w:tcBorders>
            <w:vAlign w:val="center"/>
          </w:tcPr>
          <w:p>
            <w:pPr>
              <w:widowControl w:val="0"/>
              <w:spacing w:line="240" w:lineRule="auto"/>
              <w:jc w:val="left"/>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人群健康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5.1</w:t>
            </w:r>
          </w:p>
        </w:tc>
        <w:tc>
          <w:tcPr>
            <w:tcW w:w="1200"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人群健康</w:t>
            </w:r>
          </w:p>
        </w:tc>
        <w:tc>
          <w:tcPr>
            <w:tcW w:w="271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场地消毒、卫生防疫、生活区杀虫灭鼠</w:t>
            </w:r>
          </w:p>
        </w:tc>
        <w:tc>
          <w:tcPr>
            <w:tcW w:w="223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建立事故应急机制、安排专人定期灭杀老鼠、成立专门的清洁队伍；制定有疫情抽查及预防计划</w:t>
            </w:r>
          </w:p>
        </w:tc>
        <w:tc>
          <w:tcPr>
            <w:tcW w:w="241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施工人员健康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6</w:t>
            </w:r>
          </w:p>
        </w:tc>
        <w:tc>
          <w:tcPr>
            <w:tcW w:w="8565" w:type="dxa"/>
            <w:gridSpan w:val="4"/>
            <w:tcBorders>
              <w:tl2br w:val="nil"/>
              <w:tr2bl w:val="nil"/>
            </w:tcBorders>
            <w:vAlign w:val="center"/>
          </w:tcPr>
          <w:p>
            <w:pPr>
              <w:widowControl w:val="0"/>
              <w:spacing w:line="240" w:lineRule="auto"/>
              <w:jc w:val="left"/>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生态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6.</w:t>
            </w:r>
            <w:r>
              <w:rPr>
                <w:rFonts w:hint="eastAsia" w:cs="Times New Roman"/>
                <w:color w:val="auto"/>
                <w:sz w:val="21"/>
                <w:szCs w:val="21"/>
                <w:vertAlign w:val="baseline"/>
                <w:lang w:val="en-US" w:eastAsia="zh-CN"/>
              </w:rPr>
              <w:t>1</w:t>
            </w:r>
          </w:p>
        </w:tc>
        <w:tc>
          <w:tcPr>
            <w:tcW w:w="1200"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水生生态</w:t>
            </w:r>
          </w:p>
        </w:tc>
        <w:tc>
          <w:tcPr>
            <w:tcW w:w="271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水生态监测</w:t>
            </w:r>
          </w:p>
        </w:tc>
        <w:tc>
          <w:tcPr>
            <w:tcW w:w="223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水生态监测</w:t>
            </w:r>
          </w:p>
        </w:tc>
        <w:tc>
          <w:tcPr>
            <w:tcW w:w="2415" w:type="dxa"/>
            <w:tcBorders>
              <w:tl2br w:val="nil"/>
              <w:tr2bl w:val="nil"/>
            </w:tcBorders>
            <w:vAlign w:val="center"/>
          </w:tcPr>
          <w:p>
            <w:pPr>
              <w:widowControl w:val="0"/>
              <w:spacing w:line="240" w:lineRule="auto"/>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w:t>
            </w:r>
          </w:p>
        </w:tc>
        <w:tc>
          <w:tcPr>
            <w:tcW w:w="8565" w:type="dxa"/>
            <w:gridSpan w:val="4"/>
            <w:tcBorders>
              <w:tl2br w:val="nil"/>
              <w:tr2bl w:val="nil"/>
            </w:tcBorders>
            <w:vAlign w:val="center"/>
          </w:tcPr>
          <w:p>
            <w:pPr>
              <w:widowControl w:val="0"/>
              <w:spacing w:line="240" w:lineRule="auto"/>
              <w:jc w:val="left"/>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环境监测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7.1</w:t>
            </w:r>
          </w:p>
        </w:tc>
        <w:tc>
          <w:tcPr>
            <w:tcW w:w="1200"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环境监测</w:t>
            </w:r>
          </w:p>
        </w:tc>
        <w:tc>
          <w:tcPr>
            <w:tcW w:w="2715" w:type="dxa"/>
            <w:tcBorders>
              <w:tl2br w:val="nil"/>
              <w:tr2bl w:val="nil"/>
            </w:tcBorders>
            <w:vAlign w:val="center"/>
          </w:tcPr>
          <w:p>
            <w:pPr>
              <w:widowControl w:val="0"/>
              <w:spacing w:line="240" w:lineRule="auto"/>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23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环境质量、污染物排放达标情况</w:t>
            </w:r>
          </w:p>
        </w:tc>
        <w:tc>
          <w:tcPr>
            <w:tcW w:w="2415"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8</w:t>
            </w:r>
          </w:p>
        </w:tc>
        <w:tc>
          <w:tcPr>
            <w:tcW w:w="8565" w:type="dxa"/>
            <w:gridSpan w:val="4"/>
            <w:tcBorders>
              <w:tl2br w:val="nil"/>
              <w:tr2bl w:val="nil"/>
            </w:tcBorders>
            <w:vAlign w:val="center"/>
          </w:tcPr>
          <w:p>
            <w:pPr>
              <w:widowControl w:val="0"/>
              <w:spacing w:line="240" w:lineRule="auto"/>
              <w:jc w:val="left"/>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环保投资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8.1</w:t>
            </w:r>
          </w:p>
        </w:tc>
        <w:tc>
          <w:tcPr>
            <w:tcW w:w="1200" w:type="dxa"/>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环保投资</w:t>
            </w:r>
          </w:p>
        </w:tc>
        <w:tc>
          <w:tcPr>
            <w:tcW w:w="7365" w:type="dxa"/>
            <w:gridSpan w:val="3"/>
            <w:tcBorders>
              <w:tl2br w:val="nil"/>
              <w:tr2bl w:val="nil"/>
            </w:tcBorders>
            <w:vAlign w:val="center"/>
          </w:tcPr>
          <w:p>
            <w:pPr>
              <w:widowControl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2020.76万元</w:t>
            </w:r>
          </w:p>
        </w:tc>
      </w:tr>
    </w:tbl>
    <w:p>
      <w:pPr>
        <w:spacing w:line="480" w:lineRule="exact"/>
        <w:ind w:firstLine="480" w:firstLineChars="200"/>
        <w:rPr>
          <w:rFonts w:hint="default" w:ascii="Times New Roman" w:hAnsi="Times New Roman" w:eastAsia="宋体" w:cs="Times New Roman"/>
          <w:color w:val="auto"/>
        </w:rPr>
      </w:pPr>
    </w:p>
    <w:p>
      <w:pPr>
        <w:spacing w:line="480" w:lineRule="exact"/>
        <w:ind w:firstLine="480" w:firstLineChars="200"/>
        <w:rPr>
          <w:rFonts w:hint="default" w:ascii="Times New Roman" w:hAnsi="Times New Roman" w:eastAsia="宋体" w:cs="Times New Roman"/>
          <w:color w:val="auto"/>
        </w:rPr>
        <w:sectPr>
          <w:pgSz w:w="11905" w:h="16838"/>
          <w:pgMar w:top="1797" w:right="1440" w:bottom="1797" w:left="1440" w:header="850" w:footer="992" w:gutter="0"/>
          <w:pgBorders>
            <w:top w:val="none" w:sz="0" w:space="0"/>
            <w:left w:val="none" w:sz="0" w:space="0"/>
            <w:bottom w:val="none" w:sz="0" w:space="0"/>
            <w:right w:val="none" w:sz="0" w:space="0"/>
          </w:pgBorders>
          <w:pgNumType w:fmt="decimal"/>
          <w:cols w:space="0" w:num="1"/>
          <w:docGrid w:type="lines" w:linePitch="392" w:charSpace="0"/>
        </w:sectPr>
      </w:pPr>
    </w:p>
    <w:bookmarkEnd w:id="450"/>
    <w:p>
      <w:pPr>
        <w:pStyle w:val="3"/>
        <w:spacing w:before="117" w:after="117"/>
        <w:jc w:val="both"/>
        <w:rPr>
          <w:rFonts w:hint="default" w:ascii="Times New Roman" w:hAnsi="Times New Roman" w:eastAsia="宋体" w:cs="Times New Roman"/>
          <w:color w:val="auto"/>
        </w:rPr>
      </w:pPr>
      <w:bookmarkStart w:id="464" w:name="_Toc302113314"/>
      <w:bookmarkStart w:id="465" w:name="_Toc307869993"/>
      <w:bookmarkStart w:id="466" w:name="_Toc312156117"/>
      <w:bookmarkStart w:id="467" w:name="_Toc310244157"/>
      <w:bookmarkStart w:id="468" w:name="_Toc492644455"/>
      <w:bookmarkStart w:id="469" w:name="_Toc4572"/>
      <w:r>
        <w:rPr>
          <w:rFonts w:hint="default" w:ascii="Times New Roman" w:hAnsi="Times New Roman" w:eastAsia="宋体" w:cs="Times New Roman"/>
          <w:color w:val="auto"/>
        </w:rPr>
        <w:t>8</w:t>
      </w:r>
      <w:bookmarkEnd w:id="464"/>
      <w:bookmarkEnd w:id="465"/>
      <w:bookmarkEnd w:id="466"/>
      <w:bookmarkEnd w:id="467"/>
      <w:r>
        <w:rPr>
          <w:rFonts w:hint="default" w:ascii="Times New Roman" w:hAnsi="Times New Roman" w:eastAsia="宋体" w:cs="Times New Roman"/>
          <w:color w:val="auto"/>
        </w:rPr>
        <w:t>环境影响经济损益分析</w:t>
      </w:r>
      <w:bookmarkEnd w:id="468"/>
      <w:bookmarkEnd w:id="469"/>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环境影响经济损益分析的目的是运用环境经济学原理，在考虑工程建设与生态环境、社会环境以及区域社会经济的持续、稳定、协调发展前提下，运用费用—效益分析方法对工程的环境效益和损失进行分析，按效益/费用比值大小，从环保角度评判工程建设的合理性。</w:t>
      </w:r>
    </w:p>
    <w:p>
      <w:pPr>
        <w:pStyle w:val="4"/>
        <w:spacing w:before="117" w:after="117"/>
        <w:jc w:val="both"/>
        <w:rPr>
          <w:rFonts w:hint="default" w:ascii="Times New Roman" w:hAnsi="Times New Roman" w:eastAsia="宋体" w:cs="Times New Roman"/>
          <w:color w:val="auto"/>
        </w:rPr>
      </w:pPr>
      <w:bookmarkStart w:id="470" w:name="_Toc12390"/>
      <w:r>
        <w:rPr>
          <w:rFonts w:hint="default" w:ascii="Times New Roman" w:hAnsi="Times New Roman" w:eastAsia="宋体" w:cs="Times New Roman"/>
          <w:color w:val="auto"/>
        </w:rPr>
        <w:t>8.</w:t>
      </w:r>
      <w:r>
        <w:rPr>
          <w:rFonts w:hint="eastAsia" w:cs="Times New Roman"/>
          <w:color w:val="auto"/>
          <w:lang w:val="en-US" w:eastAsia="zh-CN"/>
        </w:rPr>
        <w:t>1</w:t>
      </w:r>
      <w:r>
        <w:rPr>
          <w:rFonts w:hint="default" w:ascii="Times New Roman" w:hAnsi="Times New Roman" w:eastAsia="宋体" w:cs="Times New Roman"/>
          <w:color w:val="auto"/>
        </w:rPr>
        <w:t xml:space="preserve"> 环境影响经济损失</w:t>
      </w:r>
      <w:bookmarkEnd w:id="470"/>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环境影响经济损失包括为减免不利环境影响而采取的环境保护投资、周围环境以及人群健康损失。</w:t>
      </w:r>
    </w:p>
    <w:p>
      <w:pPr>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环境保护投资</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次为减免、恢复或补偿不利环境影响所采取的环境保护措施主要包括以下内容：施工生产废水及生活污水处理、大气污染控制措施、固体废物处置、噪声及粉尘控制；施工期环境监测、环境管理及环境监理；人群健康保护等。</w:t>
      </w:r>
    </w:p>
    <w:p>
      <w:pPr>
        <w:spacing w:line="480" w:lineRule="exact"/>
        <w:ind w:firstLine="480" w:firstLineChars="200"/>
        <w:jc w:val="both"/>
        <w:rPr>
          <w:rFonts w:hint="default" w:ascii="Times New Roman" w:hAnsi="Times New Roman" w:eastAsia="宋体" w:cs="Times New Roman"/>
          <w:color w:val="auto"/>
        </w:rPr>
      </w:pPr>
      <w:r>
        <w:rPr>
          <w:rFonts w:hint="eastAsia" w:cs="Times New Roman"/>
          <w:color w:val="auto"/>
          <w:lang w:val="en-US" w:eastAsia="zh-CN"/>
        </w:rPr>
        <w:t>2</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rPr>
        <w:t>周边环境及人群健康损失</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在工程建设过程中所产生的废水、废气、废渣将对局部环境产生不利影响。生活垃圾堆放破坏环境卫生，影响施工人员身体健康。人口密度的增加可能使传染病的发病率上升，应做好充分的防护工作。</w:t>
      </w:r>
    </w:p>
    <w:p>
      <w:pPr>
        <w:pStyle w:val="4"/>
        <w:spacing w:before="117" w:after="117"/>
        <w:jc w:val="both"/>
        <w:rPr>
          <w:rFonts w:hint="default" w:ascii="Times New Roman" w:hAnsi="Times New Roman" w:eastAsia="宋体" w:cs="Times New Roman"/>
          <w:color w:val="auto"/>
        </w:rPr>
      </w:pPr>
      <w:bookmarkStart w:id="471" w:name="_Toc3897"/>
      <w:r>
        <w:rPr>
          <w:rFonts w:hint="default" w:ascii="Times New Roman" w:hAnsi="Times New Roman" w:eastAsia="宋体" w:cs="Times New Roman"/>
          <w:color w:val="auto"/>
        </w:rPr>
        <w:t>8.2 环境效益分析</w:t>
      </w:r>
      <w:bookmarkEnd w:id="471"/>
    </w:p>
    <w:p>
      <w:pPr>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防洪效益</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洪灾损失主要可分为下列五类:人员伤亡损失；减免的国家、集体和个人的房尽、设施、物质等破坏造成的损失；减免的企业停产、停业、交通中断和公共设施等破坏</w:t>
      </w:r>
    </w:p>
    <w:p>
      <w:pPr>
        <w:spacing w:line="480" w:lineRule="exact"/>
        <w:jc w:val="both"/>
        <w:rPr>
          <w:rFonts w:hint="default" w:ascii="Times New Roman" w:hAnsi="Times New Roman" w:eastAsia="宋体" w:cs="Times New Roman"/>
          <w:color w:val="auto"/>
        </w:rPr>
      </w:pPr>
      <w:r>
        <w:rPr>
          <w:rFonts w:hint="default" w:ascii="Times New Roman" w:hAnsi="Times New Roman" w:eastAsia="宋体" w:cs="Times New Roman"/>
          <w:color w:val="auto"/>
        </w:rPr>
        <w:t>造成的损失；减免的防汛、抢险、抢排涝水及其他救灾的费用；农、林、牧、副、渔各业减产造成的损失；本项目完善了堤防防洪体系，保证堤防达到设计防洪标准，给沿岸工农业生产及人民生活带来巨大的安全感。</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2、景观效益</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生态修复工程与城市绿化美化相结合，效益显著。可增加近岸的城市景观。</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工程建成后，近岸景观的形成，将整治好的近岸景观引入城市景观之中，形成水城特色的城市风貌，可以为城市居民提供一个环境优美的娱乐、晨练和小憩休闲场所。</w:t>
      </w:r>
    </w:p>
    <w:p>
      <w:pPr>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rPr>
        <w:t>生态环境效益</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本次生态修复工程，其生态环境效益主要包括：局部空气的净化、环境的美化，涵养水源，保护生物多样性。</w:t>
      </w:r>
    </w:p>
    <w:p>
      <w:pPr>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4、</w:t>
      </w:r>
      <w:r>
        <w:rPr>
          <w:rFonts w:hint="default" w:ascii="Times New Roman" w:hAnsi="Times New Roman" w:eastAsia="宋体" w:cs="Times New Roman"/>
          <w:color w:val="auto"/>
        </w:rPr>
        <w:t>土地增值效益</w:t>
      </w:r>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本次生态修复工程实施后，环境明显改善，将带来沿岸土地价值的增值，土地增值效益巨大。</w:t>
      </w:r>
    </w:p>
    <w:p>
      <w:pPr>
        <w:pStyle w:val="4"/>
        <w:spacing w:before="117" w:after="117"/>
        <w:jc w:val="both"/>
        <w:rPr>
          <w:rFonts w:hint="default" w:ascii="Times New Roman" w:hAnsi="Times New Roman" w:eastAsia="宋体" w:cs="Times New Roman"/>
          <w:color w:val="auto"/>
        </w:rPr>
      </w:pPr>
      <w:bookmarkStart w:id="472" w:name="_Toc8282"/>
      <w:r>
        <w:rPr>
          <w:rFonts w:hint="default" w:ascii="Times New Roman" w:hAnsi="Times New Roman" w:eastAsia="宋体" w:cs="Times New Roman"/>
          <w:color w:val="auto"/>
        </w:rPr>
        <w:t>8.3 环境影响损益分析结论</w:t>
      </w:r>
      <w:bookmarkEnd w:id="472"/>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根据对工程各环境因子的影响范围分析，防洪效益、景观效益、生态环境效益、土地增值效益显著；从经济评价指标值看，本项目的环境效益明显大于环境损失，净现值大于零，效益损失比大于1，说明本项目建设环境经济上是可行的。</w:t>
      </w:r>
    </w:p>
    <w:p>
      <w:pPr>
        <w:pStyle w:val="2"/>
        <w:jc w:val="both"/>
        <w:rPr>
          <w:rFonts w:hint="default" w:ascii="Times New Roman" w:hAnsi="Times New Roman" w:eastAsia="宋体" w:cs="Times New Roman"/>
          <w:color w:val="auto"/>
        </w:rPr>
        <w:sectPr>
          <w:pgSz w:w="11905" w:h="16838"/>
          <w:pgMar w:top="1797" w:right="1440" w:bottom="1797" w:left="1440" w:header="850" w:footer="992" w:gutter="0"/>
          <w:pgBorders>
            <w:top w:val="none" w:sz="0" w:space="0"/>
            <w:left w:val="none" w:sz="0" w:space="0"/>
            <w:bottom w:val="none" w:sz="0" w:space="0"/>
            <w:right w:val="none" w:sz="0" w:space="0"/>
          </w:pgBorders>
          <w:pgNumType w:fmt="decimal"/>
          <w:cols w:space="0" w:num="1"/>
          <w:docGrid w:type="lines" w:linePitch="392" w:charSpace="0"/>
        </w:sectPr>
      </w:pPr>
    </w:p>
    <w:p>
      <w:pPr>
        <w:pStyle w:val="3"/>
        <w:spacing w:before="196" w:beforeLines="50" w:after="196" w:afterLines="50" w:line="480" w:lineRule="exact"/>
        <w:jc w:val="both"/>
        <w:rPr>
          <w:rFonts w:hint="default" w:ascii="Times New Roman" w:hAnsi="Times New Roman" w:eastAsia="宋体" w:cs="Times New Roman"/>
          <w:color w:val="auto"/>
        </w:rPr>
      </w:pPr>
      <w:bookmarkStart w:id="473" w:name="_Toc492644458"/>
      <w:bookmarkStart w:id="474" w:name="_Toc3422"/>
      <w:r>
        <w:rPr>
          <w:rFonts w:hint="default" w:ascii="Times New Roman" w:hAnsi="Times New Roman" w:eastAsia="宋体" w:cs="Times New Roman"/>
          <w:color w:val="auto"/>
        </w:rPr>
        <w:t>9环境影响评价结论</w:t>
      </w:r>
      <w:bookmarkEnd w:id="473"/>
      <w:bookmarkEnd w:id="474"/>
      <w:bookmarkStart w:id="475" w:name="_Toc302113322"/>
      <w:bookmarkStart w:id="476" w:name="_Toc312156125"/>
      <w:bookmarkStart w:id="477" w:name="_Toc310244165"/>
      <w:bookmarkStart w:id="478" w:name="_Toc307870001"/>
      <w:bookmarkStart w:id="479" w:name="_Toc123011698"/>
    </w:p>
    <w:p>
      <w:pPr>
        <w:pStyle w:val="4"/>
        <w:spacing w:before="0" w:beforeLines="0" w:after="0" w:afterLines="0" w:line="480" w:lineRule="exact"/>
        <w:jc w:val="both"/>
        <w:rPr>
          <w:rFonts w:hint="default" w:ascii="Times New Roman" w:hAnsi="Times New Roman" w:eastAsia="宋体" w:cs="Times New Roman"/>
          <w:color w:val="auto"/>
        </w:rPr>
      </w:pPr>
      <w:bookmarkStart w:id="480" w:name="_Toc492644459"/>
      <w:bookmarkStart w:id="481" w:name="_Toc10639"/>
      <w:r>
        <w:rPr>
          <w:rFonts w:hint="default" w:ascii="Times New Roman" w:hAnsi="Times New Roman" w:eastAsia="宋体" w:cs="Times New Roman"/>
          <w:color w:val="auto"/>
        </w:rPr>
        <w:t>9.1项目概况</w:t>
      </w:r>
      <w:bookmarkEnd w:id="475"/>
      <w:bookmarkEnd w:id="476"/>
      <w:bookmarkEnd w:id="477"/>
      <w:bookmarkEnd w:id="478"/>
      <w:bookmarkEnd w:id="480"/>
      <w:bookmarkEnd w:id="481"/>
    </w:p>
    <w:p>
      <w:pPr>
        <w:pStyle w:val="5"/>
        <w:jc w:val="both"/>
        <w:rPr>
          <w:rFonts w:hint="default" w:ascii="Times New Roman" w:hAnsi="Times New Roman" w:eastAsia="宋体" w:cs="Times New Roman"/>
          <w:color w:val="auto"/>
        </w:rPr>
      </w:pPr>
      <w:bookmarkStart w:id="482" w:name="_Toc7669"/>
      <w:bookmarkStart w:id="483" w:name="_Toc492644460"/>
      <w:bookmarkStart w:id="484" w:name="_Toc302113323"/>
      <w:bookmarkStart w:id="485" w:name="_Toc310244166"/>
      <w:bookmarkStart w:id="486" w:name="_Toc307870002"/>
      <w:bookmarkStart w:id="487" w:name="_Toc312156126"/>
      <w:r>
        <w:rPr>
          <w:rFonts w:hint="default" w:ascii="Times New Roman" w:hAnsi="Times New Roman" w:eastAsia="宋体" w:cs="Times New Roman"/>
          <w:color w:val="auto"/>
        </w:rPr>
        <w:t>9.1.1 流域概况</w:t>
      </w:r>
      <w:bookmarkEnd w:id="482"/>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太湖流域地处长江三角洲南翼，行政区划分属江苏、浙江、上海、安徽三省一市，面积36895km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。根据水系、地形地貌特征，太湖流域分成湖西区、武澄锡虞区、阳澄淀泖区、太湖湖区、杭嘉湖区、浙西区、浦东区、浦西区等8个水利分区。</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苏州市位于江苏省东南部太湖之滨，是中国最富饶的地区之一。地理位置为北纬31°19′，东经120°37′，距上海70km，距南京230km，东临上海，南接浙江，西抱太湖，北依长江与南通相望。</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苏州市吴中区地处江苏省南部、长江三角洲中部、太湖之滨。地理位置处于东经119°55'～120°54'，北纬30°56'～31°21'之间。四周分别与苏州城区、苏州工业园区、苏州高新技术产业区（苏州市虎丘区）、苏州市相城区、昆山市、吴江区接壤，西衔太湖，与无锡市、宜兴市、浙江省湖州市遥遥相望。全区面积742k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（不包含太湖水面）。</w:t>
      </w:r>
    </w:p>
    <w:p>
      <w:pPr>
        <w:pStyle w:val="5"/>
        <w:jc w:val="both"/>
        <w:rPr>
          <w:rFonts w:hint="default" w:ascii="Times New Roman" w:hAnsi="Times New Roman" w:eastAsia="宋体" w:cs="Times New Roman"/>
          <w:color w:val="auto"/>
        </w:rPr>
      </w:pPr>
      <w:bookmarkStart w:id="488" w:name="_Toc19911"/>
      <w:r>
        <w:rPr>
          <w:rFonts w:hint="default" w:ascii="Times New Roman" w:hAnsi="Times New Roman" w:eastAsia="宋体" w:cs="Times New Roman"/>
          <w:color w:val="auto"/>
        </w:rPr>
        <w:t>9.1.2 工程概况</w:t>
      </w:r>
      <w:bookmarkEnd w:id="488"/>
    </w:p>
    <w:p>
      <w:pPr>
        <w:spacing w:line="480" w:lineRule="exact"/>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本次生态修复工程包括：鱼贝螺控藻引导水下生态修复工程，水下森林生态修复工程、水生态系统修复工程等，工程范围总面积约12万m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1、</w:t>
      </w:r>
      <w:r>
        <w:rPr>
          <w:rFonts w:hint="default" w:ascii="Times New Roman" w:hAnsi="Times New Roman" w:eastAsia="宋体" w:cs="Times New Roman"/>
          <w:color w:val="auto"/>
          <w:lang w:val="en-US" w:eastAsia="zh-CN"/>
        </w:rPr>
        <w:t>鱼贝螺控藻引导水下生态修复工程具体包括：放养白鲢、环棱螺投，三角蚌等水生动物6.57万公斤；设置橡胶围隔、生态围隔、生态拦网、拦渔网等拦截设施7公里。</w:t>
      </w:r>
    </w:p>
    <w:p>
      <w:pPr>
        <w:spacing w:line="480" w:lineRule="exact"/>
        <w:ind w:firstLine="480" w:firstLineChars="200"/>
        <w:jc w:val="both"/>
        <w:rPr>
          <w:rFonts w:hint="default" w:ascii="Times New Roman" w:hAnsi="Times New Roman" w:eastAsia="宋体" w:cs="Times New Roman"/>
          <w:color w:val="auto"/>
          <w:lang w:val="en-US" w:eastAsia="zh-CN"/>
        </w:rPr>
      </w:pPr>
      <w:r>
        <w:rPr>
          <w:rFonts w:hint="eastAsia" w:cs="Times New Roman"/>
          <w:color w:val="auto"/>
          <w:lang w:val="en-US" w:eastAsia="zh-CN"/>
        </w:rPr>
        <w:t>2、</w:t>
      </w:r>
      <w:r>
        <w:rPr>
          <w:rFonts w:hint="default" w:ascii="Times New Roman" w:hAnsi="Times New Roman" w:eastAsia="宋体" w:cs="Times New Roman"/>
          <w:color w:val="auto"/>
          <w:lang w:val="en-US" w:eastAsia="zh-CN"/>
        </w:rPr>
        <w:t>水下森林生态修复工程、水生态系统修复工程具体包括：种植沉水植物11.79万平方米、挺水植物1114平方米、浮叶植物25平方米。</w:t>
      </w:r>
    </w:p>
    <w:p>
      <w:pPr>
        <w:pStyle w:val="4"/>
        <w:spacing w:before="0" w:beforeLines="0" w:after="0" w:afterLines="0" w:line="480" w:lineRule="exact"/>
        <w:jc w:val="both"/>
        <w:rPr>
          <w:rFonts w:hint="default" w:ascii="Times New Roman" w:hAnsi="Times New Roman" w:eastAsia="宋体" w:cs="Times New Roman"/>
          <w:color w:val="auto"/>
        </w:rPr>
      </w:pPr>
      <w:bookmarkStart w:id="489" w:name="_Toc8051"/>
      <w:r>
        <w:rPr>
          <w:rFonts w:hint="default" w:ascii="Times New Roman" w:hAnsi="Times New Roman" w:eastAsia="宋体" w:cs="Times New Roman"/>
          <w:color w:val="auto"/>
        </w:rPr>
        <w:t>9.2工程分析结论</w:t>
      </w:r>
      <w:bookmarkEnd w:id="483"/>
      <w:bookmarkEnd w:id="489"/>
    </w:p>
    <w:p>
      <w:pPr>
        <w:pStyle w:val="5"/>
        <w:jc w:val="both"/>
        <w:rPr>
          <w:rFonts w:hint="default" w:ascii="Times New Roman" w:hAnsi="Times New Roman" w:eastAsia="宋体" w:cs="Times New Roman"/>
          <w:color w:val="auto"/>
        </w:rPr>
      </w:pPr>
      <w:bookmarkStart w:id="490" w:name="_Toc11893"/>
      <w:bookmarkStart w:id="491" w:name="_Toc503461749"/>
      <w:r>
        <w:rPr>
          <w:rFonts w:hint="default" w:ascii="Times New Roman" w:hAnsi="Times New Roman" w:eastAsia="宋体" w:cs="Times New Roman"/>
          <w:color w:val="auto"/>
        </w:rPr>
        <w:t>9.2.1 工程建设与相关规划协调性分析</w:t>
      </w:r>
      <w:bookmarkEnd w:id="490"/>
    </w:p>
    <w:p>
      <w:pPr>
        <w:widowControl w:val="0"/>
        <w:tabs>
          <w:tab w:val="left" w:pos="1666"/>
        </w:tabs>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本项目为</w:t>
      </w:r>
      <w:r>
        <w:rPr>
          <w:rFonts w:hint="default" w:ascii="Times New Roman" w:hAnsi="Times New Roman" w:eastAsia="宋体" w:cs="Times New Roman"/>
          <w:color w:val="auto"/>
          <w:lang w:val="en-US" w:eastAsia="zh-CN"/>
        </w:rPr>
        <w:t>生态修复工程</w:t>
      </w:r>
      <w:r>
        <w:rPr>
          <w:rFonts w:hint="default" w:ascii="Times New Roman" w:hAnsi="Times New Roman" w:eastAsia="宋体" w:cs="Times New Roman"/>
          <w:color w:val="auto"/>
        </w:rPr>
        <w:t>项目，</w:t>
      </w:r>
      <w:r>
        <w:rPr>
          <w:rFonts w:hint="default" w:ascii="Times New Roman" w:hAnsi="Times New Roman" w:eastAsia="宋体" w:cs="Times New Roman"/>
          <w:color w:val="auto"/>
          <w:lang w:val="en-US" w:eastAsia="zh-CN"/>
        </w:rPr>
        <w:t>工程范围总面积约12万m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rPr>
        <w:t>，项目建设可逐步提高太湖Ⅱ类水达标率，保证水源地水量、水质安全，加强太湖水域岸线保护，与《苏南现代化建设示范区规划》、《水污染防治法》、《水污染防治行动计划》、《江苏省</w:t>
      </w:r>
      <w:r>
        <w:rPr>
          <w:rFonts w:hint="eastAsia" w:cs="Times New Roman"/>
          <w:color w:val="auto"/>
          <w:lang w:eastAsia="zh-CN"/>
        </w:rPr>
        <w:t>“</w:t>
      </w:r>
      <w:r>
        <w:rPr>
          <w:rFonts w:hint="default" w:ascii="Times New Roman" w:hAnsi="Times New Roman" w:eastAsia="宋体" w:cs="Times New Roman"/>
          <w:color w:val="auto"/>
        </w:rPr>
        <w:t>十三五</w:t>
      </w:r>
      <w:r>
        <w:rPr>
          <w:rFonts w:hint="eastAsia" w:cs="Times New Roman"/>
          <w:color w:val="auto"/>
          <w:lang w:eastAsia="zh-CN"/>
        </w:rPr>
        <w:t>”</w:t>
      </w:r>
      <w:r>
        <w:rPr>
          <w:rFonts w:hint="default" w:ascii="Times New Roman" w:hAnsi="Times New Roman" w:eastAsia="宋体" w:cs="Times New Roman"/>
          <w:color w:val="auto"/>
        </w:rPr>
        <w:t>水利发展规划》（苏政办发〔2016〕139号）、《水利改革发展</w:t>
      </w:r>
      <w:r>
        <w:rPr>
          <w:rFonts w:hint="eastAsia" w:cs="Times New Roman"/>
          <w:color w:val="auto"/>
          <w:lang w:eastAsia="zh-CN"/>
        </w:rPr>
        <w:t>“</w:t>
      </w:r>
      <w:r>
        <w:rPr>
          <w:rFonts w:hint="default" w:ascii="Times New Roman" w:hAnsi="Times New Roman" w:eastAsia="宋体" w:cs="Times New Roman"/>
          <w:color w:val="auto"/>
        </w:rPr>
        <w:t>十三五</w:t>
      </w:r>
      <w:r>
        <w:rPr>
          <w:rFonts w:hint="eastAsia" w:cs="Times New Roman"/>
          <w:color w:val="auto"/>
          <w:lang w:eastAsia="zh-CN"/>
        </w:rPr>
        <w:t>”</w:t>
      </w:r>
      <w:r>
        <w:rPr>
          <w:rFonts w:hint="default" w:ascii="Times New Roman" w:hAnsi="Times New Roman" w:eastAsia="宋体" w:cs="Times New Roman"/>
          <w:color w:val="auto"/>
        </w:rPr>
        <w:t>规划》（公开稿）、《江苏省水污染防治工作方案》、《饮用水水源保护区污染防治管理规定》、《市政府印发关于加强全市饮用水水源地保护和管理工作的实施意见的通知》、《加强全省饮用水水源地管理与保护工作的意见苏政办发[2017]85号》、《太湖流域管理条例》、《江苏省太湖水污染防治条例》</w:t>
      </w:r>
      <w:r>
        <w:rPr>
          <w:rFonts w:hint="eastAsia" w:ascii="Times New Roman" w:hAnsi="Times New Roman" w:eastAsia="宋体" w:cs="Times New Roman"/>
          <w:color w:val="auto"/>
        </w:rPr>
        <w:t>等规划内容相符合</w:t>
      </w:r>
      <w:r>
        <w:rPr>
          <w:rFonts w:hint="default" w:ascii="Times New Roman" w:hAnsi="Times New Roman" w:eastAsia="宋体" w:cs="Times New Roman"/>
          <w:color w:val="auto"/>
        </w:rPr>
        <w:t>。</w:t>
      </w:r>
    </w:p>
    <w:bookmarkEnd w:id="491"/>
    <w:p>
      <w:pPr>
        <w:pStyle w:val="5"/>
        <w:jc w:val="both"/>
        <w:rPr>
          <w:rFonts w:hint="default" w:ascii="Times New Roman" w:hAnsi="Times New Roman" w:eastAsia="宋体" w:cs="Times New Roman"/>
          <w:color w:val="auto"/>
        </w:rPr>
      </w:pPr>
      <w:bookmarkStart w:id="492" w:name="_Toc16138"/>
      <w:bookmarkStart w:id="493" w:name="_Toc503461750"/>
      <w:r>
        <w:rPr>
          <w:rFonts w:hint="default" w:ascii="Times New Roman" w:hAnsi="Times New Roman" w:eastAsia="宋体" w:cs="Times New Roman"/>
          <w:color w:val="auto"/>
        </w:rPr>
        <w:t>9.2.2 工程方案及施工布置环境合理性分析</w:t>
      </w:r>
      <w:bookmarkEnd w:id="492"/>
    </w:p>
    <w:p>
      <w:pPr>
        <w:tabs>
          <w:tab w:val="left" w:pos="1666"/>
        </w:tabs>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本工程建设主要为生态治理工程，属于非污染生态类项目，不属于建设开发活动，工程实施后，可以促进水体的流动与交换，改善区域水环境、满足区域供水的需要因此，工方案从环境保护上看是合理的。</w:t>
      </w:r>
    </w:p>
    <w:p>
      <w:pPr>
        <w:tabs>
          <w:tab w:val="left" w:pos="1666"/>
        </w:tabs>
        <w:spacing w:line="480" w:lineRule="exact"/>
        <w:ind w:firstLine="480" w:firstLineChars="200"/>
        <w:jc w:val="both"/>
        <w:rPr>
          <w:rFonts w:hint="default" w:ascii="Times New Roman" w:hAnsi="Times New Roman" w:eastAsia="宋体" w:cs="Times New Roman"/>
          <w:color w:val="FF0000"/>
        </w:rPr>
      </w:pPr>
      <w:r>
        <w:rPr>
          <w:rFonts w:hint="default" w:ascii="Times New Roman" w:hAnsi="Times New Roman" w:eastAsia="宋体" w:cs="Times New Roman"/>
          <w:color w:val="auto"/>
        </w:rPr>
        <w:t>工程施工布置已经考虑环境保护要求，包括尽量与地方的生产、生活相结合，减少施工干扰</w:t>
      </w:r>
      <w:r>
        <w:rPr>
          <w:rFonts w:hint="eastAsia" w:cs="Times New Roman"/>
          <w:color w:val="auto"/>
          <w:lang w:eastAsia="zh-CN"/>
        </w:rPr>
        <w:t>，</w:t>
      </w:r>
      <w:r>
        <w:rPr>
          <w:rFonts w:hint="default" w:ascii="Times New Roman" w:hAnsi="Times New Roman" w:eastAsia="宋体" w:cs="Times New Roman"/>
          <w:color w:val="auto"/>
        </w:rPr>
        <w:t>减少当地社会环境影响，施工布置原则基本符合环境保护要求。</w:t>
      </w:r>
    </w:p>
    <w:p>
      <w:pPr>
        <w:pStyle w:val="5"/>
        <w:jc w:val="both"/>
        <w:rPr>
          <w:rFonts w:hint="default" w:ascii="Times New Roman" w:hAnsi="Times New Roman" w:eastAsia="宋体" w:cs="Times New Roman"/>
          <w:color w:val="auto"/>
        </w:rPr>
      </w:pPr>
      <w:bookmarkStart w:id="494" w:name="_Toc14184"/>
      <w:r>
        <w:rPr>
          <w:rFonts w:hint="default" w:ascii="Times New Roman" w:hAnsi="Times New Roman" w:eastAsia="宋体" w:cs="Times New Roman"/>
          <w:color w:val="auto"/>
        </w:rPr>
        <w:t>9.2.3 环境影响因素分析</w:t>
      </w:r>
      <w:bookmarkEnd w:id="494"/>
    </w:p>
    <w:p>
      <w:pPr>
        <w:tabs>
          <w:tab w:val="left" w:pos="1666"/>
        </w:tabs>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（1）施工期</w:t>
      </w:r>
    </w:p>
    <w:p>
      <w:pPr>
        <w:tabs>
          <w:tab w:val="left" w:pos="1666"/>
        </w:tabs>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施工期的环境影响主要体现在各项施工活动对环境的影响作用。按影响活动分，可分为主体工程、临时工程的施工等；按污染源分，分为生活污水，运输道路扬尘，施工机械噪声，固体废弃物及生活建筑垃圾，工程占地造成的水土流失，人群健康等。</w:t>
      </w:r>
    </w:p>
    <w:p>
      <w:pPr>
        <w:tabs>
          <w:tab w:val="left" w:pos="1666"/>
        </w:tabs>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（2）运行期</w:t>
      </w:r>
    </w:p>
    <w:p>
      <w:pPr>
        <w:tabs>
          <w:tab w:val="left" w:pos="1666"/>
        </w:tabs>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运行期的影响因素包括部分泵站的运行噪声对附近居民生活的影响，工程管理人员生活污水及生活垃圾等。</w:t>
      </w:r>
    </w:p>
    <w:p>
      <w:pPr>
        <w:pStyle w:val="4"/>
        <w:spacing w:before="0" w:beforeLines="0" w:after="0" w:afterLines="0" w:line="480" w:lineRule="exact"/>
        <w:jc w:val="both"/>
        <w:rPr>
          <w:rFonts w:hint="default" w:ascii="Times New Roman" w:hAnsi="Times New Roman" w:eastAsia="宋体" w:cs="Times New Roman"/>
          <w:color w:val="auto"/>
        </w:rPr>
      </w:pPr>
      <w:bookmarkStart w:id="495" w:name="_Toc26411"/>
      <w:r>
        <w:rPr>
          <w:rFonts w:hint="default" w:ascii="Times New Roman" w:hAnsi="Times New Roman" w:eastAsia="宋体" w:cs="Times New Roman"/>
          <w:color w:val="auto"/>
        </w:rPr>
        <w:t>9.3 环境现状调查与评价结论</w:t>
      </w:r>
      <w:bookmarkEnd w:id="495"/>
    </w:p>
    <w:p>
      <w:pPr>
        <w:pStyle w:val="5"/>
        <w:jc w:val="both"/>
        <w:rPr>
          <w:rFonts w:hint="default" w:ascii="Times New Roman" w:hAnsi="Times New Roman" w:eastAsia="宋体" w:cs="Times New Roman"/>
          <w:color w:val="auto"/>
        </w:rPr>
      </w:pPr>
      <w:bookmarkStart w:id="496" w:name="_Toc1981"/>
      <w:r>
        <w:rPr>
          <w:rFonts w:hint="default" w:ascii="Times New Roman" w:hAnsi="Times New Roman" w:eastAsia="宋体" w:cs="Times New Roman"/>
          <w:color w:val="auto"/>
        </w:rPr>
        <w:t>9.3.1 地表水环境</w:t>
      </w:r>
      <w:bookmarkEnd w:id="496"/>
    </w:p>
    <w:p>
      <w:pPr>
        <w:tabs>
          <w:tab w:val="left" w:pos="1666"/>
        </w:tabs>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根据现状监测数据可知，太湖湖区</w:t>
      </w:r>
      <w:r>
        <w:rPr>
          <w:rFonts w:hint="eastAsia" w:cs="Times New Roman"/>
          <w:color w:val="auto"/>
          <w:lang w:val="en-US" w:eastAsia="zh-CN"/>
        </w:rPr>
        <w:t>总氮、</w:t>
      </w:r>
      <w:r>
        <w:rPr>
          <w:rFonts w:hint="default" w:ascii="Times New Roman" w:hAnsi="Times New Roman" w:eastAsia="宋体" w:cs="Times New Roman"/>
          <w:color w:val="auto"/>
        </w:rPr>
        <w:t>总磷</w:t>
      </w:r>
      <w:r>
        <w:rPr>
          <w:rFonts w:hint="eastAsia" w:cs="Times New Roman"/>
          <w:color w:val="auto"/>
          <w:lang w:eastAsia="zh-CN"/>
        </w:rPr>
        <w:t>、</w:t>
      </w:r>
      <w:r>
        <w:rPr>
          <w:rFonts w:hint="eastAsia" w:cs="Times New Roman"/>
          <w:color w:val="auto"/>
          <w:lang w:val="en-US" w:eastAsia="zh-CN"/>
        </w:rPr>
        <w:t>高锰酸盐指数</w:t>
      </w:r>
      <w:r>
        <w:rPr>
          <w:rFonts w:hint="default" w:ascii="Times New Roman" w:hAnsi="Times New Roman" w:eastAsia="宋体" w:cs="Times New Roman"/>
          <w:color w:val="auto"/>
        </w:rPr>
        <w:t>有超标现象，</w:t>
      </w:r>
      <w:r>
        <w:rPr>
          <w:rFonts w:hint="eastAsia" w:cs="Times New Roman"/>
          <w:color w:val="auto"/>
          <w:lang w:val="en-US" w:eastAsia="zh-CN"/>
        </w:rPr>
        <w:t>总氮、</w:t>
      </w:r>
      <w:r>
        <w:rPr>
          <w:rFonts w:hint="default" w:ascii="Times New Roman" w:hAnsi="Times New Roman" w:eastAsia="宋体" w:cs="Times New Roman"/>
          <w:color w:val="auto"/>
        </w:rPr>
        <w:t>总磷</w:t>
      </w:r>
      <w:r>
        <w:rPr>
          <w:rFonts w:hint="eastAsia" w:cs="Times New Roman"/>
          <w:color w:val="auto"/>
          <w:lang w:eastAsia="zh-CN"/>
        </w:rPr>
        <w:t>、</w:t>
      </w:r>
      <w:r>
        <w:rPr>
          <w:rFonts w:hint="eastAsia" w:cs="Times New Roman"/>
          <w:color w:val="auto"/>
          <w:lang w:val="en-US" w:eastAsia="zh-CN"/>
        </w:rPr>
        <w:t>高锰酸盐指数</w:t>
      </w:r>
      <w:r>
        <w:rPr>
          <w:rFonts w:hint="default" w:ascii="Times New Roman" w:hAnsi="Times New Roman" w:eastAsia="宋体" w:cs="Times New Roman"/>
          <w:color w:val="auto"/>
        </w:rPr>
        <w:t>超标主要是历史遗留问题，造成超标的原因是：太湖周边的存在大量养殖户，养殖户施肥养鱼养蟹，肥料中含有大量的含</w:t>
      </w:r>
      <w:r>
        <w:rPr>
          <w:rFonts w:hint="eastAsia" w:cs="Times New Roman"/>
          <w:color w:val="auto"/>
          <w:lang w:val="en-US" w:eastAsia="zh-CN"/>
        </w:rPr>
        <w:t>氮</w:t>
      </w:r>
      <w:r>
        <w:rPr>
          <w:rFonts w:hint="default" w:ascii="Times New Roman" w:hAnsi="Times New Roman" w:eastAsia="宋体" w:cs="Times New Roman"/>
          <w:color w:val="auto"/>
        </w:rPr>
        <w:t>磷物质，这些物质通过水体交换进入周边沟渠，最终进入太湖；乡镇企业的快速发展和布局的分散性、经营方式的多变性及其初级粗加工，造成的污染极为严重；生活污水排放和农业面源污染等等。</w:t>
      </w:r>
    </w:p>
    <w:p>
      <w:pPr>
        <w:pStyle w:val="5"/>
        <w:jc w:val="both"/>
        <w:rPr>
          <w:rFonts w:hint="default" w:ascii="Times New Roman" w:hAnsi="Times New Roman" w:eastAsia="宋体" w:cs="Times New Roman"/>
          <w:color w:val="auto"/>
        </w:rPr>
      </w:pPr>
      <w:bookmarkStart w:id="497" w:name="_Toc26403"/>
      <w:r>
        <w:rPr>
          <w:rFonts w:hint="default" w:ascii="Times New Roman" w:hAnsi="Times New Roman" w:eastAsia="宋体" w:cs="Times New Roman"/>
          <w:color w:val="auto"/>
        </w:rPr>
        <w:t>9.3.2 大气环境</w:t>
      </w:r>
      <w:bookmarkEnd w:id="497"/>
    </w:p>
    <w:p>
      <w:pPr>
        <w:tabs>
          <w:tab w:val="left" w:pos="1666"/>
        </w:tabs>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根据《2020年度苏州市生态环境状况公报》</w:t>
      </w:r>
      <w:r>
        <w:rPr>
          <w:rFonts w:hint="default" w:ascii="Times New Roman" w:hAnsi="Times New Roman" w:eastAsia="宋体" w:cs="Times New Roman"/>
          <w:color w:val="auto"/>
          <w:lang w:eastAsia="zh-CN"/>
        </w:rPr>
        <w:t>，2020年苏州市区环境空气质量优良天数比率为84.4%。</w:t>
      </w:r>
      <w:r>
        <w:rPr>
          <w:rFonts w:hint="default" w:ascii="Times New Roman" w:hAnsi="Times New Roman" w:eastAsia="宋体" w:cs="Times New Roman"/>
          <w:color w:val="auto"/>
          <w:lang w:val="en-US" w:eastAsia="zh-CN"/>
        </w:rPr>
        <w:t>苏州市区</w:t>
      </w:r>
      <w:r>
        <w:rPr>
          <w:rFonts w:hint="default" w:ascii="Times New Roman" w:hAnsi="Times New Roman" w:eastAsia="宋体" w:cs="Times New Roman"/>
          <w:color w:val="auto"/>
          <w:lang w:eastAsia="zh-CN"/>
        </w:rPr>
        <w:t>细颗粒物（PM</w:t>
      </w:r>
      <w:r>
        <w:rPr>
          <w:rFonts w:hint="default" w:ascii="Times New Roman" w:hAnsi="Times New Roman" w:eastAsia="宋体" w:cs="Times New Roman"/>
          <w:color w:val="auto"/>
          <w:vertAlign w:val="subscript"/>
          <w:lang w:eastAsia="zh-CN"/>
        </w:rPr>
        <w:t>2.5</w:t>
      </w:r>
      <w:r>
        <w:rPr>
          <w:rFonts w:hint="default" w:ascii="Times New Roman" w:hAnsi="Times New Roman" w:eastAsia="宋体" w:cs="Times New Roman"/>
          <w:color w:val="auto"/>
          <w:lang w:eastAsia="zh-CN"/>
        </w:rPr>
        <w:t>）、可吸入颗粒物（PM</w:t>
      </w:r>
      <w:r>
        <w:rPr>
          <w:rFonts w:hint="default" w:ascii="Times New Roman" w:hAnsi="Times New Roman" w:eastAsia="宋体" w:cs="Times New Roman"/>
          <w:color w:val="auto"/>
          <w:vertAlign w:val="subscript"/>
          <w:lang w:eastAsia="zh-CN"/>
        </w:rPr>
        <w:t>10</w:t>
      </w:r>
      <w:r>
        <w:rPr>
          <w:rFonts w:hint="default" w:ascii="Times New Roman" w:hAnsi="Times New Roman" w:eastAsia="宋体" w:cs="Times New Roman"/>
          <w:color w:val="auto"/>
          <w:lang w:eastAsia="zh-CN"/>
        </w:rPr>
        <w:t>）、二氧化硫（SO</w:t>
      </w:r>
      <w:r>
        <w:rPr>
          <w:rFonts w:hint="default" w:ascii="Times New Roman" w:hAnsi="Times New Roman" w:eastAsia="宋体" w:cs="Times New Roman"/>
          <w:color w:val="auto"/>
          <w:vertAlign w:val="subscript"/>
          <w:lang w:eastAsia="zh-CN"/>
        </w:rPr>
        <w:t>2</w:t>
      </w:r>
      <w:r>
        <w:rPr>
          <w:rFonts w:hint="default" w:ascii="Times New Roman" w:hAnsi="Times New Roman" w:eastAsia="宋体" w:cs="Times New Roman"/>
          <w:color w:val="auto"/>
          <w:lang w:eastAsia="zh-CN"/>
        </w:rPr>
        <w:t>）、二氧化氮（NO</w:t>
      </w:r>
      <w:r>
        <w:rPr>
          <w:rFonts w:hint="default" w:ascii="Times New Roman" w:hAnsi="Times New Roman" w:eastAsia="宋体" w:cs="Times New Roman"/>
          <w:color w:val="auto"/>
          <w:vertAlign w:val="subscript"/>
          <w:lang w:eastAsia="zh-CN"/>
        </w:rPr>
        <w:t>2</w:t>
      </w:r>
      <w:r>
        <w:rPr>
          <w:rFonts w:hint="default" w:ascii="Times New Roman" w:hAnsi="Times New Roman" w:eastAsia="宋体" w:cs="Times New Roman"/>
          <w:color w:val="auto"/>
          <w:lang w:eastAsia="zh-CN"/>
        </w:rPr>
        <w:t>）年均浓度分别为</w:t>
      </w:r>
      <w:r>
        <w:rPr>
          <w:rFonts w:hint="default" w:ascii="Times New Roman" w:hAnsi="Times New Roman" w:eastAsia="宋体" w:cs="Times New Roman"/>
          <w:color w:val="auto"/>
          <w:lang w:val="en-US" w:eastAsia="zh-CN"/>
        </w:rPr>
        <w:t>33</w:t>
      </w:r>
      <w:r>
        <w:rPr>
          <w:rFonts w:hint="default" w:ascii="Times New Roman" w:hAnsi="Times New Roman" w:eastAsia="宋体" w:cs="Times New Roman"/>
          <w:color w:val="auto"/>
          <w:lang w:eastAsia="zh-CN"/>
        </w:rPr>
        <w:t>微克/立方米、</w:t>
      </w:r>
      <w:r>
        <w:rPr>
          <w:rFonts w:hint="default" w:ascii="Times New Roman" w:hAnsi="Times New Roman" w:eastAsia="宋体" w:cs="Times New Roman"/>
          <w:color w:val="auto"/>
          <w:lang w:val="en-US" w:eastAsia="zh-CN"/>
        </w:rPr>
        <w:t>47</w:t>
      </w:r>
      <w:r>
        <w:rPr>
          <w:rFonts w:hint="default" w:ascii="Times New Roman" w:hAnsi="Times New Roman" w:eastAsia="宋体" w:cs="Times New Roman"/>
          <w:color w:val="auto"/>
          <w:lang w:eastAsia="zh-CN"/>
        </w:rPr>
        <w:t>微克/立方米、6微克/立方米和3</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lang w:eastAsia="zh-CN"/>
        </w:rPr>
        <w:t>微克/立方米；一氧化碳（CO）和臭氧（O</w:t>
      </w:r>
      <w:r>
        <w:rPr>
          <w:rFonts w:hint="default" w:ascii="Times New Roman" w:hAnsi="Times New Roman" w:eastAsia="宋体" w:cs="Times New Roman"/>
          <w:color w:val="auto"/>
          <w:vertAlign w:val="subscript"/>
          <w:lang w:eastAsia="zh-CN"/>
        </w:rPr>
        <w:t>3</w:t>
      </w:r>
      <w:r>
        <w:rPr>
          <w:rFonts w:hint="default" w:ascii="Times New Roman" w:hAnsi="Times New Roman" w:eastAsia="宋体" w:cs="Times New Roman"/>
          <w:color w:val="auto"/>
          <w:lang w:eastAsia="zh-CN"/>
        </w:rPr>
        <w:t>）浓度分别为1.</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eastAsia="zh-CN"/>
        </w:rPr>
        <w:t>毫克/立方米和16</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eastAsia="zh-CN"/>
        </w:rPr>
        <w:t>微克/立方米。细颗粒物、可吸入颗粒物、二氧化硫、二氧化氮、一氧化碳指标年均值达到国家《环境空气质量标准》（GB3095-2012）及其修改单中年均值的二级标准，臭氧的年均值未达到国家《环境空气质量标准》（GB3095-2012）其修改单中年均值的二级标准。</w:t>
      </w:r>
    </w:p>
    <w:p>
      <w:pPr>
        <w:pStyle w:val="5"/>
        <w:jc w:val="both"/>
        <w:rPr>
          <w:rFonts w:hint="default" w:ascii="Times New Roman" w:hAnsi="Times New Roman" w:eastAsia="宋体" w:cs="Times New Roman"/>
          <w:color w:val="auto"/>
        </w:rPr>
      </w:pPr>
      <w:bookmarkStart w:id="498" w:name="_Toc21393"/>
      <w:r>
        <w:rPr>
          <w:rFonts w:hint="default" w:ascii="Times New Roman" w:hAnsi="Times New Roman" w:eastAsia="宋体" w:cs="Times New Roman"/>
          <w:color w:val="auto"/>
        </w:rPr>
        <w:t>9.3.3 声环境</w:t>
      </w:r>
      <w:bookmarkEnd w:id="498"/>
    </w:p>
    <w:p>
      <w:pPr>
        <w:tabs>
          <w:tab w:val="left" w:pos="1666"/>
        </w:tabs>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根据现状监测数据，昼</w:t>
      </w:r>
      <w:r>
        <w:rPr>
          <w:rFonts w:hint="eastAsia" w:cs="Times New Roman"/>
          <w:color w:val="auto"/>
          <w:lang w:val="en-US" w:eastAsia="zh-CN"/>
        </w:rPr>
        <w:t>夜</w:t>
      </w:r>
      <w:r>
        <w:rPr>
          <w:rFonts w:hint="default" w:ascii="Times New Roman" w:hAnsi="Times New Roman" w:eastAsia="宋体" w:cs="Times New Roman"/>
          <w:color w:val="auto"/>
        </w:rPr>
        <w:t>噪声均满足《声环境质量标准》(GB3096-2008)2类标准，工程区声环境现状质量良好。</w:t>
      </w:r>
    </w:p>
    <w:p>
      <w:pPr>
        <w:pStyle w:val="5"/>
        <w:jc w:val="both"/>
        <w:rPr>
          <w:rFonts w:hint="default" w:ascii="Times New Roman" w:hAnsi="Times New Roman" w:eastAsia="宋体" w:cs="Times New Roman"/>
          <w:color w:val="auto"/>
        </w:rPr>
      </w:pPr>
      <w:bookmarkStart w:id="499" w:name="_Toc17558"/>
      <w:r>
        <w:rPr>
          <w:rFonts w:hint="default" w:ascii="Times New Roman" w:hAnsi="Times New Roman" w:eastAsia="宋体" w:cs="Times New Roman"/>
          <w:color w:val="auto"/>
        </w:rPr>
        <w:t>9.3.</w:t>
      </w:r>
      <w:r>
        <w:rPr>
          <w:rFonts w:hint="eastAsia" w:cs="Times New Roman"/>
          <w:color w:val="auto"/>
          <w:lang w:val="en-US" w:eastAsia="zh-CN"/>
        </w:rPr>
        <w:t>4</w:t>
      </w:r>
      <w:r>
        <w:rPr>
          <w:rFonts w:hint="default" w:ascii="Times New Roman" w:hAnsi="Times New Roman" w:eastAsia="宋体" w:cs="Times New Roman"/>
          <w:color w:val="auto"/>
        </w:rPr>
        <w:t xml:space="preserve"> 底泥环境</w:t>
      </w:r>
      <w:bookmarkEnd w:id="499"/>
    </w:p>
    <w:p>
      <w:pPr>
        <w:tabs>
          <w:tab w:val="left" w:pos="1666"/>
        </w:tabs>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根据底泥监测数据，所测各项</w:t>
      </w:r>
      <w:r>
        <w:rPr>
          <w:rFonts w:hint="eastAsia" w:ascii="Times New Roman" w:hAnsi="Times New Roman" w:eastAsia="宋体" w:cs="Times New Roman"/>
          <w:color w:val="auto"/>
          <w:lang w:val="en-US" w:eastAsia="zh-CN"/>
        </w:rPr>
        <w:t>底泥</w:t>
      </w:r>
      <w:r>
        <w:rPr>
          <w:rFonts w:hint="default" w:ascii="Times New Roman" w:hAnsi="Times New Roman" w:eastAsia="宋体" w:cs="Times New Roman"/>
          <w:color w:val="auto"/>
        </w:rPr>
        <w:t>指标均低于《土壤环境质量标准农用地土壤风险管控标准》（GB15618-2018）农用地土壤污染风险筛选值，由此可见，</w:t>
      </w:r>
      <w:r>
        <w:rPr>
          <w:rFonts w:hint="eastAsia" w:cs="Times New Roman"/>
          <w:color w:val="auto"/>
          <w:lang w:val="en-US" w:eastAsia="zh-CN"/>
        </w:rPr>
        <w:t>本项目</w:t>
      </w:r>
      <w:r>
        <w:rPr>
          <w:rFonts w:hint="default" w:ascii="Times New Roman" w:hAnsi="Times New Roman" w:eastAsia="宋体" w:cs="Times New Roman"/>
          <w:color w:val="auto"/>
        </w:rPr>
        <w:t>湖区底泥质量良好。</w:t>
      </w:r>
    </w:p>
    <w:p>
      <w:pPr>
        <w:pStyle w:val="5"/>
        <w:jc w:val="both"/>
        <w:rPr>
          <w:rFonts w:hint="default" w:ascii="Times New Roman" w:hAnsi="Times New Roman" w:eastAsia="宋体" w:cs="Times New Roman"/>
          <w:color w:val="auto"/>
        </w:rPr>
      </w:pPr>
      <w:bookmarkStart w:id="500" w:name="_Toc3079"/>
      <w:r>
        <w:rPr>
          <w:rFonts w:hint="default" w:ascii="Times New Roman" w:hAnsi="Times New Roman" w:eastAsia="宋体" w:cs="Times New Roman"/>
          <w:color w:val="auto"/>
        </w:rPr>
        <w:t>9.3.</w:t>
      </w:r>
      <w:r>
        <w:rPr>
          <w:rFonts w:hint="eastAsia" w:cs="Times New Roman"/>
          <w:color w:val="auto"/>
          <w:lang w:val="en-US" w:eastAsia="zh-CN"/>
        </w:rPr>
        <w:t>5</w:t>
      </w:r>
      <w:r>
        <w:rPr>
          <w:rFonts w:hint="default" w:ascii="Times New Roman" w:hAnsi="Times New Roman" w:eastAsia="宋体" w:cs="Times New Roman"/>
          <w:color w:val="auto"/>
        </w:rPr>
        <w:t xml:space="preserve"> 生态环境</w:t>
      </w:r>
      <w:bookmarkEnd w:id="500"/>
    </w:p>
    <w:p>
      <w:pPr>
        <w:tabs>
          <w:tab w:val="left" w:pos="1666"/>
        </w:tabs>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陆域生态现状</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吴中区是典型的东部水网地区，有22条骨干河道纵横交错，其中京杭大运河贯穿全区；东部以平原为主，由水网平原、低洼圩田平原等构成，西部有低山丘陵，成</w:t>
      </w:r>
      <w:r>
        <w:rPr>
          <w:rFonts w:hint="eastAsia" w:cs="Times New Roman"/>
          <w:color w:val="auto"/>
          <w:lang w:eastAsia="zh-CN"/>
        </w:rPr>
        <w:t>“</w:t>
      </w:r>
      <w:r>
        <w:rPr>
          <w:rFonts w:hint="default" w:ascii="Times New Roman" w:hAnsi="Times New Roman" w:eastAsia="宋体" w:cs="Times New Roman"/>
          <w:color w:val="auto"/>
        </w:rPr>
        <w:t>岛</w:t>
      </w:r>
      <w:r>
        <w:rPr>
          <w:rFonts w:hint="eastAsia" w:cs="Times New Roman"/>
          <w:color w:val="auto"/>
          <w:lang w:eastAsia="zh-CN"/>
        </w:rPr>
        <w:t>”</w:t>
      </w:r>
      <w:r>
        <w:rPr>
          <w:rFonts w:hint="default" w:ascii="Times New Roman" w:hAnsi="Times New Roman" w:eastAsia="宋体" w:cs="Times New Roman"/>
          <w:color w:val="auto"/>
        </w:rPr>
        <w:t>状分布在太湖之中及沿岸镇内，丘陵山体总面积有154km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，占苏州丘陵山体的4/5，森林覆盖率超过30%。</w:t>
      </w:r>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东太湖的两栖类、爬行类及小型哺乳类动物和鸟类资源相当丰富；植被主要由人工栽培的果树及绿化树木构成。</w:t>
      </w:r>
    </w:p>
    <w:p>
      <w:pPr>
        <w:tabs>
          <w:tab w:val="left" w:pos="1666"/>
        </w:tabs>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rPr>
        <w:t>水域生态现状</w:t>
      </w:r>
    </w:p>
    <w:p>
      <w:pPr>
        <w:tabs>
          <w:tab w:val="left" w:pos="1666"/>
        </w:tabs>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1</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浮游植物</w:t>
      </w:r>
    </w:p>
    <w:p>
      <w:pPr>
        <w:tabs>
          <w:tab w:val="left" w:pos="1666"/>
        </w:tabs>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太湖区域共鉴定出浮游植物60属126种，分别隶属于蓝藻门11属22种、绿藻门26属52种、硅藻门16属40种、隐藻门1属3种、裸藻门3属6种、甲藻门3属3种。蓝藻门站绝对优势，优势种主要为铜绿微囊藻，占83%。</w:t>
      </w:r>
    </w:p>
    <w:p>
      <w:pPr>
        <w:tabs>
          <w:tab w:val="left" w:pos="1666"/>
        </w:tabs>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浮游动物：太湖区域共鉴定出浮游动物49种；其中轮虫纲3目25种、枝角类3目14种、桡足类3目10种。轮虫纲站绝对优势。</w:t>
      </w:r>
    </w:p>
    <w:p>
      <w:pPr>
        <w:tabs>
          <w:tab w:val="left" w:pos="1666"/>
        </w:tabs>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3</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底栖动物：太湖区域共鉴定出底栖生物5门9纲24目93种；吴中区的腹足纲占优势。</w:t>
      </w:r>
    </w:p>
    <w:p>
      <w:pPr>
        <w:tabs>
          <w:tab w:val="left" w:pos="1666"/>
        </w:tabs>
        <w:spacing w:line="480" w:lineRule="exact"/>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4</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水生植物</w:t>
      </w:r>
    </w:p>
    <w:p>
      <w:pPr>
        <w:tabs>
          <w:tab w:val="left" w:pos="1666"/>
        </w:tabs>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太湖区域共采集到水生植物高等23种，隶属13科14属，总体来说，太湖水生植物分布范围少，种类较为单一，主要分布在东太湖及湾区水质较好的岸带，一般透明度小于50cm的点位基本不存在水生植物。</w:t>
      </w:r>
    </w:p>
    <w:p>
      <w:pPr>
        <w:tabs>
          <w:tab w:val="left" w:pos="1666"/>
        </w:tabs>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3、渔业资源</w:t>
      </w:r>
    </w:p>
    <w:p>
      <w:pPr>
        <w:tabs>
          <w:tab w:val="left" w:pos="1666"/>
        </w:tabs>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太湖湖体鱼类群落结构未发生明显变化，但太湖不同生境间的鱼类群落结构差异较大；湖鲚、鲫、鲤为太湖水域湖区的优势鱼类物种；鱼类组成中幼鱼占据较大比例，小型化特征明显。</w:t>
      </w:r>
    </w:p>
    <w:bookmarkEnd w:id="493"/>
    <w:p>
      <w:pPr>
        <w:pStyle w:val="4"/>
        <w:spacing w:before="0" w:beforeLines="0" w:after="0" w:afterLines="0" w:line="480" w:lineRule="exact"/>
        <w:jc w:val="both"/>
        <w:rPr>
          <w:rFonts w:hint="default" w:ascii="Times New Roman" w:hAnsi="Times New Roman" w:eastAsia="宋体" w:cs="Times New Roman"/>
          <w:color w:val="auto"/>
        </w:rPr>
      </w:pPr>
      <w:bookmarkStart w:id="501" w:name="_Toc492644461"/>
      <w:bookmarkStart w:id="502" w:name="_Toc28137"/>
      <w:r>
        <w:rPr>
          <w:rFonts w:hint="default" w:ascii="Times New Roman" w:hAnsi="Times New Roman" w:eastAsia="宋体" w:cs="Times New Roman"/>
          <w:color w:val="auto"/>
        </w:rPr>
        <w:t>9.4</w:t>
      </w:r>
      <w:bookmarkEnd w:id="501"/>
      <w:bookmarkStart w:id="503" w:name="_Toc492644462"/>
      <w:r>
        <w:rPr>
          <w:rFonts w:hint="default" w:ascii="Times New Roman" w:hAnsi="Times New Roman" w:eastAsia="宋体" w:cs="Times New Roman"/>
          <w:color w:val="auto"/>
        </w:rPr>
        <w:t>环境影响预测与评价结论</w:t>
      </w:r>
      <w:bookmarkEnd w:id="502"/>
      <w:bookmarkEnd w:id="503"/>
    </w:p>
    <w:p>
      <w:pPr>
        <w:pStyle w:val="5"/>
        <w:jc w:val="both"/>
        <w:rPr>
          <w:rFonts w:hint="default" w:ascii="Times New Roman" w:hAnsi="Times New Roman" w:eastAsia="宋体" w:cs="Times New Roman"/>
          <w:color w:val="auto"/>
        </w:rPr>
      </w:pPr>
      <w:bookmarkStart w:id="504" w:name="_Toc18579"/>
      <w:bookmarkStart w:id="505" w:name="_Toc503461756"/>
      <w:r>
        <w:rPr>
          <w:rFonts w:hint="default" w:ascii="Times New Roman" w:hAnsi="Times New Roman" w:eastAsia="宋体" w:cs="Times New Roman"/>
          <w:color w:val="auto"/>
        </w:rPr>
        <w:t>9.4.1 水环境影响结论</w:t>
      </w:r>
      <w:bookmarkEnd w:id="504"/>
    </w:p>
    <w:p>
      <w:pPr>
        <w:tabs>
          <w:tab w:val="left" w:pos="1666"/>
        </w:tabs>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（1）施工期水环境影响结论</w:t>
      </w:r>
    </w:p>
    <w:p>
      <w:pPr>
        <w:tabs>
          <w:tab w:val="left" w:pos="1666"/>
        </w:tabs>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工程施工期污废水</w:t>
      </w:r>
      <w:r>
        <w:rPr>
          <w:rFonts w:hint="eastAsia" w:cs="Times New Roman"/>
          <w:color w:val="auto"/>
          <w:lang w:val="en-US" w:eastAsia="zh-CN"/>
        </w:rPr>
        <w:t>主要为</w:t>
      </w:r>
      <w:r>
        <w:rPr>
          <w:rFonts w:hint="default" w:ascii="Times New Roman" w:hAnsi="Times New Roman" w:eastAsia="宋体" w:cs="Times New Roman"/>
          <w:color w:val="auto"/>
        </w:rPr>
        <w:t>生活污水</w:t>
      </w:r>
      <w:r>
        <w:rPr>
          <w:rFonts w:hint="eastAsia" w:cs="Times New Roman"/>
          <w:color w:val="auto"/>
          <w:lang w:eastAsia="zh-CN"/>
        </w:rPr>
        <w:t>，</w:t>
      </w:r>
      <w:r>
        <w:rPr>
          <w:rFonts w:hint="eastAsia" w:cs="Times New Roman"/>
          <w:color w:val="auto"/>
          <w:lang w:val="en-US" w:eastAsia="zh-CN"/>
        </w:rPr>
        <w:t>生活污水经市政管网接入城市污水处理厂，对水环境影响较小</w:t>
      </w:r>
      <w:r>
        <w:rPr>
          <w:rFonts w:hint="default" w:ascii="Times New Roman" w:hAnsi="Times New Roman" w:eastAsia="宋体" w:cs="Times New Roman"/>
          <w:color w:val="auto"/>
        </w:rPr>
        <w:t>。本工程</w:t>
      </w:r>
      <w:r>
        <w:rPr>
          <w:rFonts w:hint="eastAsia" w:ascii="Times New Roman" w:hAnsi="Times New Roman" w:eastAsia="宋体" w:cs="Times New Roman"/>
          <w:color w:val="auto"/>
          <w:lang w:val="en-US" w:eastAsia="zh-CN"/>
        </w:rPr>
        <w:t>施工</w:t>
      </w:r>
      <w:r>
        <w:rPr>
          <w:rFonts w:hint="default" w:ascii="Times New Roman" w:hAnsi="Times New Roman" w:eastAsia="宋体" w:cs="Times New Roman"/>
          <w:color w:val="auto"/>
        </w:rPr>
        <w:t>会对局部水域水质造成一定影响，主要是悬浮物浓度提高，不会影响</w:t>
      </w:r>
      <w:r>
        <w:rPr>
          <w:rFonts w:hint="eastAsia" w:cs="Times New Roman"/>
          <w:color w:val="auto"/>
          <w:lang w:val="en-US" w:eastAsia="zh-CN"/>
        </w:rPr>
        <w:t>太湖</w:t>
      </w:r>
      <w:r>
        <w:rPr>
          <w:rFonts w:hint="default" w:ascii="Times New Roman" w:hAnsi="Times New Roman" w:eastAsia="宋体" w:cs="Times New Roman"/>
          <w:color w:val="auto"/>
        </w:rPr>
        <w:t>的水质现状类别和功能。</w:t>
      </w:r>
    </w:p>
    <w:p>
      <w:pPr>
        <w:tabs>
          <w:tab w:val="left" w:pos="1666"/>
        </w:tabs>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本次工程区为太湖</w:t>
      </w:r>
      <w:r>
        <w:rPr>
          <w:rFonts w:hint="eastAsia" w:ascii="Times New Roman" w:hAnsi="Times New Roman" w:eastAsia="宋体" w:cs="Times New Roman"/>
          <w:color w:val="auto"/>
          <w:lang w:val="en-US" w:eastAsia="zh-CN"/>
        </w:rPr>
        <w:t>渔洋山</w:t>
      </w:r>
      <w:r>
        <w:rPr>
          <w:rFonts w:hint="default" w:ascii="Times New Roman" w:hAnsi="Times New Roman" w:eastAsia="宋体" w:cs="Times New Roman"/>
          <w:color w:val="auto"/>
        </w:rPr>
        <w:t>饮用水水源保护区，工程施工工区、建筑材料堆放等各施工临时设施不得设置在饮用水水源保护区内，以免影响饮用水水源保护区的水质。</w:t>
      </w:r>
    </w:p>
    <w:bookmarkEnd w:id="505"/>
    <w:p>
      <w:pPr>
        <w:pStyle w:val="5"/>
        <w:jc w:val="both"/>
        <w:rPr>
          <w:rFonts w:hint="default" w:ascii="Times New Roman" w:hAnsi="Times New Roman" w:eastAsia="宋体" w:cs="Times New Roman"/>
          <w:color w:val="auto"/>
        </w:rPr>
      </w:pPr>
      <w:bookmarkStart w:id="506" w:name="_Toc31958"/>
      <w:bookmarkStart w:id="507" w:name="_Toc503461757"/>
      <w:r>
        <w:rPr>
          <w:rFonts w:hint="default" w:ascii="Times New Roman" w:hAnsi="Times New Roman" w:eastAsia="宋体" w:cs="Times New Roman"/>
          <w:color w:val="auto"/>
        </w:rPr>
        <w:t>9.4.2 大气环境影响结论</w:t>
      </w:r>
      <w:bookmarkEnd w:id="506"/>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对空气的影响主要包括机械设备和汽车运行带来的尾气，交通运输等施工作业造成的扬尘，施工过程中可能对周边居民区环境空气造成轻微影响。因此，应采取相应的环保措施降低粉尘和扬尘的影响。</w:t>
      </w:r>
    </w:p>
    <w:p>
      <w:pPr>
        <w:pStyle w:val="5"/>
        <w:jc w:val="both"/>
        <w:rPr>
          <w:rFonts w:hint="default" w:ascii="Times New Roman" w:hAnsi="Times New Roman" w:eastAsia="宋体" w:cs="Times New Roman"/>
          <w:color w:val="auto"/>
        </w:rPr>
      </w:pPr>
      <w:bookmarkStart w:id="508" w:name="_Toc952"/>
      <w:r>
        <w:rPr>
          <w:rFonts w:hint="default" w:ascii="Times New Roman" w:hAnsi="Times New Roman" w:eastAsia="宋体" w:cs="Times New Roman"/>
          <w:color w:val="auto"/>
        </w:rPr>
        <w:t>9.4.3 声环境影响结论</w:t>
      </w:r>
      <w:bookmarkEnd w:id="508"/>
    </w:p>
    <w:p>
      <w:pPr>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工程建成后基本不产生噪声，对周围声环境无影响。本工程施工期噪声源主要包括机械设备运行噪声、交通运输车辆噪声等，污染源强较高，对周边一定范围内的居民区声环境可能造成影响。由于工程规模不大，施工机械噪</w:t>
      </w:r>
      <w:bookmarkEnd w:id="507"/>
      <w:r>
        <w:rPr>
          <w:rFonts w:hint="default" w:ascii="Times New Roman" w:hAnsi="Times New Roman" w:eastAsia="宋体" w:cs="Times New Roman"/>
          <w:color w:val="auto"/>
        </w:rPr>
        <w:t>声源强较小，施工时间较短且主要为昼间施工。因此，施工过程中噪声对</w:t>
      </w:r>
      <w:r>
        <w:rPr>
          <w:rFonts w:hint="eastAsia" w:ascii="Times New Roman" w:hAnsi="Times New Roman" w:eastAsia="宋体" w:cs="Times New Roman"/>
          <w:color w:val="auto"/>
          <w:lang w:val="en-US" w:eastAsia="zh-CN"/>
        </w:rPr>
        <w:t>敏感点</w:t>
      </w:r>
      <w:r>
        <w:rPr>
          <w:rFonts w:hint="default" w:ascii="Times New Roman" w:hAnsi="Times New Roman" w:eastAsia="宋体" w:cs="Times New Roman"/>
          <w:color w:val="auto"/>
        </w:rPr>
        <w:t>的影响相对较小。本项目营运期无噪声产生。</w:t>
      </w:r>
    </w:p>
    <w:p>
      <w:pPr>
        <w:pStyle w:val="5"/>
        <w:jc w:val="both"/>
        <w:rPr>
          <w:rFonts w:hint="eastAsia" w:ascii="Times New Roman" w:hAnsi="Times New Roman" w:eastAsia="宋体" w:cs="Times New Roman"/>
          <w:color w:val="auto"/>
          <w:lang w:eastAsia="zh-CN"/>
        </w:rPr>
      </w:pPr>
      <w:bookmarkStart w:id="509" w:name="_Toc29374"/>
      <w:r>
        <w:rPr>
          <w:rFonts w:hint="default" w:ascii="Times New Roman" w:hAnsi="Times New Roman" w:eastAsia="宋体" w:cs="Times New Roman"/>
          <w:color w:val="auto"/>
        </w:rPr>
        <w:t>9.4.4 固废环境影响</w:t>
      </w:r>
      <w:r>
        <w:rPr>
          <w:rFonts w:hint="eastAsia" w:cs="Times New Roman"/>
          <w:color w:val="auto"/>
          <w:lang w:val="en-US" w:eastAsia="zh-CN"/>
        </w:rPr>
        <w:t>结论</w:t>
      </w:r>
      <w:bookmarkEnd w:id="509"/>
    </w:p>
    <w:p>
      <w:pPr>
        <w:spacing w:line="480" w:lineRule="exact"/>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施工期固体废弃物主要为施工人员的生活垃圾</w:t>
      </w:r>
      <w:r>
        <w:rPr>
          <w:rFonts w:hint="eastAsia" w:cs="Times New Roman"/>
          <w:color w:val="auto"/>
          <w:lang w:val="en-US" w:eastAsia="zh-CN"/>
        </w:rPr>
        <w:t>和建筑垃圾</w:t>
      </w:r>
      <w:r>
        <w:rPr>
          <w:rFonts w:hint="default" w:ascii="Times New Roman" w:hAnsi="Times New Roman" w:eastAsia="宋体" w:cs="Times New Roman"/>
          <w:color w:val="auto"/>
        </w:rPr>
        <w:t>。工程施工期间产生的</w:t>
      </w:r>
      <w:r>
        <w:rPr>
          <w:rFonts w:hint="eastAsia" w:cs="Times New Roman"/>
          <w:color w:val="auto"/>
          <w:lang w:val="en-US" w:eastAsia="zh-CN"/>
        </w:rPr>
        <w:t>建筑垃圾和</w:t>
      </w:r>
      <w:r>
        <w:rPr>
          <w:rFonts w:hint="default" w:ascii="Times New Roman" w:hAnsi="Times New Roman" w:eastAsia="宋体" w:cs="Times New Roman"/>
          <w:color w:val="auto"/>
        </w:rPr>
        <w:t>生活垃圾严禁乱抛乱丢，随地倾倒，</w:t>
      </w:r>
      <w:r>
        <w:rPr>
          <w:rFonts w:hint="eastAsia" w:cs="Times New Roman"/>
          <w:color w:val="auto"/>
          <w:lang w:val="en-US" w:eastAsia="zh-CN"/>
        </w:rPr>
        <w:t>建筑垃圾收集后统一处置，</w:t>
      </w:r>
      <w:r>
        <w:rPr>
          <w:rFonts w:hint="default" w:ascii="Times New Roman" w:hAnsi="Times New Roman" w:eastAsia="宋体" w:cs="Times New Roman"/>
          <w:color w:val="auto"/>
        </w:rPr>
        <w:t>生活垃圾统一收集后可由地方环卫部门定期清运进行无害化处理，对环境的影响较小。</w:t>
      </w:r>
    </w:p>
    <w:p>
      <w:pPr>
        <w:pStyle w:val="5"/>
        <w:jc w:val="both"/>
        <w:rPr>
          <w:rFonts w:hint="default" w:ascii="Times New Roman" w:hAnsi="Times New Roman" w:eastAsia="宋体" w:cs="Times New Roman"/>
          <w:color w:val="auto"/>
        </w:rPr>
      </w:pPr>
      <w:bookmarkStart w:id="510" w:name="_Toc3736"/>
      <w:r>
        <w:rPr>
          <w:rFonts w:hint="default" w:ascii="Times New Roman" w:hAnsi="Times New Roman" w:eastAsia="宋体" w:cs="Times New Roman"/>
          <w:color w:val="auto"/>
        </w:rPr>
        <w:t>9.4.5 生态环境影响结论</w:t>
      </w:r>
      <w:bookmarkEnd w:id="510"/>
    </w:p>
    <w:p>
      <w:pPr>
        <w:spacing w:line="480" w:lineRule="exact"/>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工程建设为非污染生态工程，工程实施后，水流条件的改善、湖泊污染源的减少，将在一定程度上改善太湖水体水质。同时生态修复工程的实施，可使湖岸带滩地的生物多样性及生态多样性有明显的提高，促进整个湖泊生态系统的稳定，改善水体生态环境质量，更有利于保护区内生物生长繁殖。</w:t>
      </w:r>
    </w:p>
    <w:p>
      <w:pPr>
        <w:pStyle w:val="5"/>
        <w:jc w:val="both"/>
        <w:rPr>
          <w:rFonts w:hint="default" w:ascii="Times New Roman" w:hAnsi="Times New Roman" w:eastAsia="宋体" w:cs="Times New Roman"/>
          <w:color w:val="auto"/>
        </w:rPr>
      </w:pPr>
      <w:bookmarkStart w:id="511" w:name="_Toc25720"/>
      <w:r>
        <w:rPr>
          <w:rFonts w:hint="default" w:ascii="Times New Roman" w:hAnsi="Times New Roman" w:eastAsia="宋体" w:cs="Times New Roman"/>
          <w:color w:val="auto"/>
        </w:rPr>
        <w:t>9.4.6 重要生态敏感区影响结论</w:t>
      </w:r>
      <w:bookmarkEnd w:id="511"/>
    </w:p>
    <w:p>
      <w:pPr>
        <w:widowControl w:val="0"/>
        <w:spacing w:line="480" w:lineRule="exact"/>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工程为非污染生态类工程，运行期对水源地保护区无影响，仅施工期可能会产生影响。水源地施工工程在一定程度上会使得工程附近水域悬浮物含量增加，水体透明度下降，对水环境产生不利影响，但一段时间后，悬浮物会迅速沉落水底，影响是短期的。施工过程中，建设单位应加强施工管理，并委托有资质的监测单位在水工作业期间进行跟踪监测，对其浊度及悬浮颗粒变化等进行监测，以便及时监测水质变化情况，如若发现超标，及时调整工艺、工期采取有效措施进行水质达标控制。</w:t>
      </w:r>
    </w:p>
    <w:p>
      <w:pPr>
        <w:pStyle w:val="5"/>
        <w:jc w:val="both"/>
        <w:rPr>
          <w:rFonts w:hint="default" w:ascii="Times New Roman" w:hAnsi="Times New Roman" w:eastAsia="宋体" w:cs="Times New Roman"/>
          <w:color w:val="auto"/>
        </w:rPr>
      </w:pPr>
      <w:bookmarkStart w:id="512" w:name="_Toc31229"/>
      <w:r>
        <w:rPr>
          <w:rFonts w:hint="default" w:ascii="Times New Roman" w:hAnsi="Times New Roman" w:eastAsia="宋体" w:cs="Times New Roman"/>
          <w:color w:val="auto"/>
        </w:rPr>
        <w:t>9.4.7 人群健康影响预测</w:t>
      </w:r>
      <w:bookmarkEnd w:id="512"/>
    </w:p>
    <w:p>
      <w:pPr>
        <w:widowControl w:val="0"/>
        <w:spacing w:line="480" w:lineRule="exact"/>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工程施工人员临时居住点卫生条件一般较差，易孳生蚊、蝇、鼠等病媒生物。施工人员劳动强度较大，免疫力相对较弱，易感染肝炎、痢疾等肠道传染病。</w:t>
      </w:r>
    </w:p>
    <w:p>
      <w:pPr>
        <w:pStyle w:val="4"/>
        <w:spacing w:before="0" w:beforeLines="0" w:after="0" w:afterLines="0" w:line="480" w:lineRule="exact"/>
        <w:jc w:val="both"/>
        <w:rPr>
          <w:rFonts w:hint="default" w:ascii="Times New Roman" w:hAnsi="Times New Roman" w:eastAsia="宋体" w:cs="Times New Roman"/>
          <w:color w:val="auto"/>
        </w:rPr>
      </w:pPr>
      <w:bookmarkStart w:id="513" w:name="_Toc31150"/>
      <w:r>
        <w:rPr>
          <w:rFonts w:hint="default" w:ascii="Times New Roman" w:hAnsi="Times New Roman" w:eastAsia="宋体" w:cs="Times New Roman"/>
          <w:color w:val="auto"/>
        </w:rPr>
        <w:t>9.5 环境保护措施结论</w:t>
      </w:r>
      <w:bookmarkEnd w:id="513"/>
    </w:p>
    <w:p>
      <w:pPr>
        <w:pStyle w:val="5"/>
        <w:jc w:val="both"/>
        <w:rPr>
          <w:rFonts w:hint="default" w:ascii="Times New Roman" w:hAnsi="Times New Roman" w:eastAsia="宋体" w:cs="Times New Roman"/>
          <w:color w:val="auto"/>
        </w:rPr>
      </w:pPr>
      <w:bookmarkStart w:id="514" w:name="_Toc26830"/>
      <w:r>
        <w:rPr>
          <w:rFonts w:hint="default" w:ascii="Times New Roman" w:hAnsi="Times New Roman" w:eastAsia="宋体" w:cs="Times New Roman"/>
          <w:color w:val="auto"/>
        </w:rPr>
        <w:t>9.5.1 太湖饮用水源地保护对策</w:t>
      </w:r>
      <w:bookmarkEnd w:id="514"/>
    </w:p>
    <w:p>
      <w:pPr>
        <w:pStyle w:val="8"/>
        <w:spacing w:line="48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施工期：</w:t>
      </w:r>
      <w:r>
        <w:rPr>
          <w:rFonts w:hint="eastAsia" w:ascii="Times New Roman" w:hAnsi="Times New Roman" w:eastAsia="宋体" w:cs="Times New Roman"/>
          <w:color w:val="auto"/>
          <w:sz w:val="24"/>
          <w:szCs w:val="24"/>
          <w:lang w:val="en-US" w:eastAsia="zh-CN"/>
        </w:rPr>
        <w:t>工程施工时</w:t>
      </w:r>
      <w:r>
        <w:rPr>
          <w:rFonts w:hint="default" w:ascii="Times New Roman" w:hAnsi="Times New Roman" w:eastAsia="宋体" w:cs="Times New Roman"/>
          <w:color w:val="auto"/>
          <w:sz w:val="24"/>
          <w:szCs w:val="24"/>
        </w:rPr>
        <w:t>注意在靠近取水口的位置设置防护帘，防止挖掘引起的悬浮物影响原有取水口的正常工作，施工时同时进行水质监测，严格管控取水水质，保障取水水质的安全，一旦监测超标，停止取水，并启用备用取水设施；工程施工工区、建筑材料堆放等各施工临时设施不得设置在饮用水水源保护区内，以免影响饮用水水源保护区的水质；教育引导施工人员，不在该河段内游泳，乱扔垃圾等；建立完善的水质监测及预警系统，加强地表水体的监测工作。</w:t>
      </w:r>
    </w:p>
    <w:p>
      <w:pPr>
        <w:pStyle w:val="8"/>
        <w:spacing w:line="48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取水口风险防范措施：</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加强施工环境管理，重视水源保护的宣传教育；</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建立水污染突发性事件应急机制，配备可立即使用的临时备用取水设施。</w:t>
      </w:r>
    </w:p>
    <w:p>
      <w:pPr>
        <w:pStyle w:val="5"/>
        <w:jc w:val="both"/>
        <w:rPr>
          <w:rFonts w:hint="default" w:ascii="Times New Roman" w:hAnsi="Times New Roman" w:eastAsia="宋体" w:cs="Times New Roman"/>
          <w:color w:val="auto"/>
        </w:rPr>
      </w:pPr>
      <w:bookmarkStart w:id="515" w:name="_Toc1029"/>
      <w:r>
        <w:rPr>
          <w:rFonts w:hint="default" w:ascii="Times New Roman" w:hAnsi="Times New Roman" w:eastAsia="宋体" w:cs="Times New Roman"/>
          <w:color w:val="auto"/>
        </w:rPr>
        <w:t>9.5.2 大气环境防治措施</w:t>
      </w:r>
      <w:bookmarkEnd w:id="515"/>
    </w:p>
    <w:p>
      <w:pPr>
        <w:pStyle w:val="8"/>
        <w:spacing w:line="48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采取技术措施和管理措施相结合。管理措施，主要体现在施工计划管理以及后期运行的设备管理，如合理安排施工时间、对施工机械进行定期维护、选用低噪声机械作业等，减少噪声对周围环境的影响。针对废气和粉尘等大气污染物对施工人员及其周围人群的影响，尤其是粉尘的影响，采取湿式作业以及对施工区进行洒水等除尘、降尘措施以减少废气和粉尘的排放量，施工人员配带口罩、头盔等防护措施，减少大气污染物对自身的影响和危害。</w:t>
      </w:r>
    </w:p>
    <w:p>
      <w:pPr>
        <w:pStyle w:val="5"/>
        <w:jc w:val="both"/>
        <w:rPr>
          <w:rFonts w:hint="default" w:ascii="Times New Roman" w:hAnsi="Times New Roman" w:eastAsia="宋体" w:cs="Times New Roman"/>
          <w:color w:val="auto"/>
        </w:rPr>
      </w:pPr>
      <w:bookmarkStart w:id="516" w:name="_Toc7949"/>
      <w:r>
        <w:rPr>
          <w:rFonts w:hint="default" w:ascii="Times New Roman" w:hAnsi="Times New Roman" w:eastAsia="宋体" w:cs="Times New Roman"/>
          <w:color w:val="auto"/>
        </w:rPr>
        <w:t>9.5.3 噪声环境防治措施</w:t>
      </w:r>
      <w:bookmarkEnd w:id="516"/>
    </w:p>
    <w:p>
      <w:pPr>
        <w:pStyle w:val="8"/>
        <w:spacing w:line="48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针对施工设备噪声，采取优化施工布置、尽量选用低噪声设备和工艺、将高频振动器改成低频率振动器或使用隔振机座施工等措施；对于交通噪声，在敏感点附近施工时，夜间应禁止高噪声设备施工，应限速行驶，禁鸣高音喇叭，并合理安排运输时间，尽量避开居民的休息时间；施工人员应配备必要的噪声防护物品，常用防声用具有棉花涂腊、伞形耳塞、耳罩、防声头盔等，减少噪声对施工人员的影响和危害。</w:t>
      </w:r>
    </w:p>
    <w:p>
      <w:pPr>
        <w:pStyle w:val="5"/>
        <w:jc w:val="both"/>
        <w:rPr>
          <w:rFonts w:hint="default" w:ascii="Times New Roman" w:hAnsi="Times New Roman" w:eastAsia="宋体" w:cs="Times New Roman"/>
          <w:color w:val="auto"/>
        </w:rPr>
      </w:pPr>
      <w:bookmarkStart w:id="517" w:name="_Toc21666"/>
      <w:r>
        <w:rPr>
          <w:rFonts w:hint="default" w:ascii="Times New Roman" w:hAnsi="Times New Roman" w:eastAsia="宋体" w:cs="Times New Roman"/>
          <w:color w:val="auto"/>
        </w:rPr>
        <w:t>9.5.4 水污染防治措施</w:t>
      </w:r>
      <w:bookmarkEnd w:id="517"/>
    </w:p>
    <w:p>
      <w:pPr>
        <w:pStyle w:val="8"/>
        <w:spacing w:line="480" w:lineRule="exact"/>
        <w:ind w:firstLine="480" w:firstLineChars="200"/>
        <w:jc w:val="both"/>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1、施工生活污水</w:t>
      </w:r>
    </w:p>
    <w:p>
      <w:pPr>
        <w:pStyle w:val="8"/>
        <w:spacing w:line="48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施工工区禁止布置在饮用水水源保护区内。施工生活区可场地条件及工程区实际情况租用工程区附近的民房，租用民房处生活污水</w:t>
      </w:r>
      <w:r>
        <w:rPr>
          <w:rFonts w:hint="eastAsia" w:cs="Times New Roman"/>
          <w:color w:val="auto"/>
          <w:sz w:val="24"/>
          <w:szCs w:val="24"/>
          <w:lang w:val="en-US" w:eastAsia="zh-CN"/>
        </w:rPr>
        <w:t>接入市政管网进入金庭污水处理厂处理</w:t>
      </w:r>
      <w:r>
        <w:rPr>
          <w:rFonts w:hint="default" w:ascii="Times New Roman" w:hAnsi="Times New Roman" w:eastAsia="宋体" w:cs="Times New Roman"/>
          <w:color w:val="auto"/>
          <w:sz w:val="24"/>
          <w:szCs w:val="24"/>
        </w:rPr>
        <w:t>，不单独排放。</w:t>
      </w:r>
    </w:p>
    <w:p>
      <w:pPr>
        <w:pStyle w:val="8"/>
        <w:spacing w:line="480" w:lineRule="exact"/>
        <w:ind w:firstLine="480" w:firstLineChars="200"/>
        <w:jc w:val="both"/>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、工程</w:t>
      </w:r>
      <w:r>
        <w:rPr>
          <w:rFonts w:hint="default" w:ascii="Times New Roman" w:hAnsi="Times New Roman" w:eastAsia="宋体" w:cs="Times New Roman"/>
          <w:color w:val="auto"/>
          <w:sz w:val="24"/>
          <w:szCs w:val="24"/>
        </w:rPr>
        <w:t>施工水污染防治措施</w:t>
      </w:r>
    </w:p>
    <w:p>
      <w:pPr>
        <w:pStyle w:val="8"/>
        <w:spacing w:line="480" w:lineRule="exact"/>
        <w:ind w:firstLine="480" w:firstLineChars="200"/>
        <w:jc w:val="both"/>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工程</w:t>
      </w:r>
      <w:r>
        <w:rPr>
          <w:rFonts w:hint="default" w:ascii="Times New Roman" w:hAnsi="Times New Roman" w:eastAsia="宋体" w:cs="Times New Roman"/>
          <w:color w:val="auto"/>
          <w:sz w:val="24"/>
          <w:szCs w:val="24"/>
        </w:rPr>
        <w:t>施工时应该在取水口位置设置防护帘，并做好取水口的水质监测，严格管控取水水质，保障取水水质的安全，一旦监测超标，停止取水，并启用备用取水设施。</w:t>
      </w:r>
    </w:p>
    <w:p>
      <w:pPr>
        <w:pStyle w:val="5"/>
        <w:jc w:val="both"/>
        <w:rPr>
          <w:rFonts w:hint="default" w:ascii="Times New Roman" w:hAnsi="Times New Roman" w:eastAsia="宋体" w:cs="Times New Roman"/>
          <w:color w:val="auto"/>
        </w:rPr>
      </w:pPr>
      <w:bookmarkStart w:id="518" w:name="_Toc31176"/>
      <w:r>
        <w:rPr>
          <w:rFonts w:hint="default" w:ascii="Times New Roman" w:hAnsi="Times New Roman" w:eastAsia="宋体" w:cs="Times New Roman"/>
          <w:color w:val="auto"/>
        </w:rPr>
        <w:t>9.5.5 生态环境防治措施</w:t>
      </w:r>
      <w:bookmarkEnd w:id="518"/>
    </w:p>
    <w:p>
      <w:pPr>
        <w:pStyle w:val="8"/>
        <w:spacing w:line="480" w:lineRule="exact"/>
        <w:ind w:firstLine="480" w:firstLineChars="200"/>
        <w:jc w:val="both"/>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陆生生态预防保护措施</w:t>
      </w:r>
    </w:p>
    <w:p>
      <w:pPr>
        <w:pStyle w:val="8"/>
        <w:spacing w:line="480" w:lineRule="exact"/>
        <w:ind w:firstLine="480" w:firstLineChars="200"/>
        <w:jc w:val="both"/>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施工前进行陆生植物的全面调查，合理优化施工场地的布置，尽量减少施工活动范围，采取科学施工方式，尽量减少工程实施对植被的破坏程度；</w:t>
      </w:r>
    </w:p>
    <w:p>
      <w:pPr>
        <w:pStyle w:val="8"/>
        <w:spacing w:line="480" w:lineRule="exact"/>
        <w:ind w:firstLine="480" w:firstLineChars="200"/>
        <w:jc w:val="both"/>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施工所需外购建筑材料，随用随运，尽量少占地、少破坏植被；</w:t>
      </w:r>
    </w:p>
    <w:p>
      <w:pPr>
        <w:pStyle w:val="8"/>
        <w:spacing w:line="480" w:lineRule="exact"/>
        <w:ind w:firstLine="480" w:firstLineChars="200"/>
        <w:jc w:val="both"/>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cs="Times New Roman"/>
          <w:color w:val="auto"/>
          <w:sz w:val="24"/>
          <w:szCs w:val="24"/>
          <w:lang w:val="en-US" w:eastAsia="zh-CN"/>
        </w:rPr>
        <w:t>3</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施工过程中，严格控制施工场地范围</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施工人员和施工机械禁止到非施工区活动，避免扰动施工管理区范围外的植被和动物，施工结束后及时恢复植被。</w:t>
      </w:r>
    </w:p>
    <w:p>
      <w:pPr>
        <w:pStyle w:val="8"/>
        <w:spacing w:line="480" w:lineRule="exact"/>
        <w:ind w:firstLine="480" w:firstLineChars="200"/>
        <w:jc w:val="both"/>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在施工过程中如发现施工场地周边有保护植物和古树名木，应及时向建设单位和当地林业部门、环保部门汇报，并做好植物的保护工作，如采取就地保护、植物移植或工程调整等措施，以尽可能减小对保护植物的影响。</w:t>
      </w:r>
    </w:p>
    <w:p>
      <w:pPr>
        <w:pStyle w:val="8"/>
        <w:spacing w:line="480" w:lineRule="exact"/>
        <w:ind w:firstLine="480" w:firstLineChars="200"/>
        <w:jc w:val="both"/>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6</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工程结束后，应对堆场进行处理，恢复生态，避免裸露的泥面被雨水冲刷造成二次污染。</w:t>
      </w:r>
    </w:p>
    <w:p>
      <w:pPr>
        <w:pStyle w:val="8"/>
        <w:spacing w:line="480" w:lineRule="exact"/>
        <w:ind w:firstLine="480" w:firstLineChars="200"/>
        <w:jc w:val="both"/>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7</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现场需加强施工人员的管理和教育，严禁捕杀野生保护动物、破坏植被的情况发生。组织施工人员学习有关国家法律和法规，必须遵守《中华人民共和国野生动物保护法》，严禁在施工区及其周围捕猎野生动物。</w:t>
      </w:r>
    </w:p>
    <w:p>
      <w:pPr>
        <w:pStyle w:val="8"/>
        <w:spacing w:line="480" w:lineRule="exact"/>
        <w:ind w:firstLine="480" w:firstLineChars="200"/>
        <w:jc w:val="both"/>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水生生态环境保护措施</w:t>
      </w:r>
    </w:p>
    <w:p>
      <w:pPr>
        <w:pStyle w:val="8"/>
        <w:spacing w:line="480" w:lineRule="exact"/>
        <w:ind w:firstLine="480" w:firstLineChars="200"/>
        <w:jc w:val="both"/>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建议在枯水期施工，减缓对水生生态的影响。</w:t>
      </w:r>
    </w:p>
    <w:p>
      <w:pPr>
        <w:pStyle w:val="8"/>
        <w:spacing w:line="480" w:lineRule="exact"/>
        <w:ind w:firstLine="480" w:firstLineChars="200"/>
        <w:jc w:val="both"/>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施工期间，应严禁施工人员随意将各类废弃物，如生活垃圾等，直接抛入水体之中，尤其禁止抛弃有毒有害物质。</w:t>
      </w:r>
    </w:p>
    <w:p>
      <w:pPr>
        <w:pStyle w:val="4"/>
        <w:spacing w:before="0" w:beforeLines="0" w:after="0" w:afterLines="0" w:line="480" w:lineRule="exact"/>
        <w:jc w:val="both"/>
        <w:rPr>
          <w:rFonts w:hint="default" w:ascii="Times New Roman" w:hAnsi="Times New Roman" w:eastAsia="宋体" w:cs="Times New Roman"/>
          <w:color w:val="auto"/>
        </w:rPr>
      </w:pPr>
      <w:bookmarkStart w:id="519" w:name="_Toc492644465"/>
      <w:bookmarkStart w:id="520" w:name="_Toc27347"/>
      <w:r>
        <w:rPr>
          <w:rFonts w:hint="default" w:ascii="Times New Roman" w:hAnsi="Times New Roman" w:eastAsia="宋体" w:cs="Times New Roman"/>
          <w:color w:val="auto"/>
        </w:rPr>
        <w:t>9.6环保投资与效益分析结论</w:t>
      </w:r>
      <w:bookmarkEnd w:id="519"/>
      <w:bookmarkEnd w:id="520"/>
    </w:p>
    <w:p>
      <w:pPr>
        <w:widowControl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本工程工程总投资</w:t>
      </w:r>
      <w:r>
        <w:rPr>
          <w:rFonts w:hint="eastAsia" w:ascii="Times New Roman" w:hAnsi="Times New Roman" w:eastAsia="宋体" w:cs="Times New Roman"/>
          <w:color w:val="auto"/>
          <w:lang w:val="en-US" w:eastAsia="zh-CN"/>
        </w:rPr>
        <w:t>2120.76</w:t>
      </w:r>
      <w:r>
        <w:rPr>
          <w:rFonts w:hint="default" w:ascii="Times New Roman" w:hAnsi="Times New Roman" w:eastAsia="宋体" w:cs="Times New Roman"/>
          <w:color w:val="auto"/>
        </w:rPr>
        <w:t xml:space="preserve"> 万元，其中环保</w:t>
      </w:r>
      <w:r>
        <w:rPr>
          <w:rFonts w:hint="eastAsia" w:ascii="Times New Roman" w:hAnsi="Times New Roman" w:eastAsia="宋体" w:cs="Times New Roman"/>
          <w:color w:val="auto"/>
          <w:lang w:val="en-US" w:eastAsia="zh-CN"/>
        </w:rPr>
        <w:t>投资2120.76</w:t>
      </w:r>
      <w:r>
        <w:rPr>
          <w:rFonts w:hint="default" w:ascii="Times New Roman" w:hAnsi="Times New Roman" w:eastAsia="宋体" w:cs="Times New Roman"/>
          <w:color w:val="auto"/>
        </w:rPr>
        <w:t>万元。总建设期</w:t>
      </w:r>
      <w:r>
        <w:rPr>
          <w:rFonts w:hint="eastAsia" w:cs="Times New Roman"/>
          <w:color w:val="auto"/>
          <w:lang w:val="en-US" w:eastAsia="zh-CN"/>
        </w:rPr>
        <w:t>460天</w:t>
      </w:r>
      <w:r>
        <w:rPr>
          <w:rFonts w:hint="default" w:ascii="Times New Roman" w:hAnsi="Times New Roman" w:eastAsia="宋体" w:cs="Times New Roman"/>
          <w:color w:val="auto"/>
        </w:rPr>
        <w:t>。本工程实施后，具有较好的经济效益，从国民经济角度分析，该工程是可行的，再加上不能以货币计算的社会效益和生态环境效益，本工程的综合效益是显著的。本工程实施后，还具有巨大的社会和环境效益。</w:t>
      </w:r>
    </w:p>
    <w:p>
      <w:pPr>
        <w:pStyle w:val="4"/>
        <w:spacing w:before="0" w:beforeLines="0" w:after="0" w:afterLines="0" w:line="480" w:lineRule="exact"/>
        <w:jc w:val="both"/>
        <w:rPr>
          <w:rFonts w:hint="default" w:ascii="Times New Roman" w:hAnsi="Times New Roman" w:eastAsia="宋体" w:cs="Times New Roman"/>
          <w:color w:val="auto"/>
        </w:rPr>
      </w:pPr>
      <w:bookmarkStart w:id="521" w:name="_Toc492644466"/>
      <w:bookmarkStart w:id="522" w:name="_Toc8110"/>
      <w:r>
        <w:rPr>
          <w:rFonts w:hint="default" w:ascii="Times New Roman" w:hAnsi="Times New Roman" w:eastAsia="宋体" w:cs="Times New Roman"/>
          <w:color w:val="auto"/>
        </w:rPr>
        <w:t>9.7公众参与</w:t>
      </w:r>
      <w:bookmarkEnd w:id="521"/>
      <w:bookmarkEnd w:id="522"/>
    </w:p>
    <w:p>
      <w:pPr>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建设单位根据《环境影响评价公众参与办法》（生态环境部令第 4 号）相关要求，2021年</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rPr>
        <w:t>月</w:t>
      </w:r>
      <w:r>
        <w:rPr>
          <w:rFonts w:hint="eastAsia" w:ascii="Times New Roman" w:hAnsi="Times New Roman" w:eastAsia="宋体" w:cs="Times New Roman"/>
          <w:color w:val="auto"/>
          <w:lang w:val="en-US" w:eastAsia="zh-CN"/>
        </w:rPr>
        <w:t>10</w:t>
      </w:r>
      <w:r>
        <w:rPr>
          <w:rFonts w:hint="default" w:ascii="Times New Roman" w:hAnsi="Times New Roman" w:eastAsia="宋体" w:cs="Times New Roman"/>
          <w:color w:val="auto"/>
        </w:rPr>
        <w:t>日在</w:t>
      </w:r>
      <w:r>
        <w:rPr>
          <w:rFonts w:hint="eastAsia" w:ascii="Times New Roman" w:hAnsi="Times New Roman" w:eastAsia="宋体" w:cs="Times New Roman"/>
          <w:color w:val="auto"/>
          <w:lang w:val="en-US" w:eastAsia="zh-CN"/>
        </w:rPr>
        <w:t>环境影响评价信息公示平台的</w:t>
      </w:r>
      <w:r>
        <w:rPr>
          <w:rFonts w:hint="default" w:ascii="Times New Roman" w:hAnsi="Times New Roman" w:eastAsia="宋体" w:cs="Times New Roman"/>
          <w:color w:val="auto"/>
        </w:rPr>
        <w:t>公示网站对本项目进行了首次公示，公示内容主要包括项目建设内容、建设单位及及联系方式、环评单位、公众意见表的网络链接、公众提出意见的方式和途径等。</w:t>
      </w:r>
    </w:p>
    <w:p>
      <w:pPr>
        <w:snapToGrid w:val="0"/>
        <w:spacing w:line="48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建设单位于2021年</w:t>
      </w:r>
      <w:r>
        <w:rPr>
          <w:rFonts w:hint="eastAsia" w:cs="Times New Roman"/>
          <w:color w:val="auto"/>
          <w:sz w:val="24"/>
          <w:szCs w:val="24"/>
          <w:lang w:val="en-US" w:eastAsia="zh-CN"/>
        </w:rPr>
        <w:t>9</w:t>
      </w:r>
      <w:r>
        <w:rPr>
          <w:rFonts w:hint="default" w:ascii="Times New Roman" w:hAnsi="Times New Roman" w:eastAsia="宋体" w:cs="Times New Roman"/>
          <w:color w:val="auto"/>
          <w:sz w:val="24"/>
          <w:szCs w:val="24"/>
        </w:rPr>
        <w:t>月2</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rPr>
        <w:t>日和</w:t>
      </w:r>
      <w:r>
        <w:rPr>
          <w:rFonts w:hint="eastAsia" w:cs="Times New Roman"/>
          <w:color w:val="auto"/>
          <w:sz w:val="24"/>
          <w:szCs w:val="24"/>
          <w:lang w:val="en-US" w:eastAsia="zh-CN"/>
        </w:rPr>
        <w:t>30</w:t>
      </w:r>
      <w:r>
        <w:rPr>
          <w:rFonts w:hint="default" w:ascii="Times New Roman" w:hAnsi="Times New Roman" w:eastAsia="宋体" w:cs="Times New Roman"/>
          <w:color w:val="auto"/>
          <w:sz w:val="24"/>
          <w:szCs w:val="24"/>
        </w:rPr>
        <w:t>日通过</w:t>
      </w:r>
      <w:r>
        <w:rPr>
          <w:rFonts w:hint="eastAsia" w:cs="Times New Roman"/>
          <w:color w:val="auto"/>
          <w:sz w:val="24"/>
          <w:szCs w:val="24"/>
          <w:lang w:val="en-US" w:eastAsia="zh-CN"/>
        </w:rPr>
        <w:t>扬子晚报</w:t>
      </w:r>
      <w:r>
        <w:rPr>
          <w:rFonts w:hint="default" w:ascii="Times New Roman" w:hAnsi="Times New Roman" w:eastAsia="宋体" w:cs="Times New Roman"/>
          <w:color w:val="auto"/>
          <w:sz w:val="24"/>
          <w:szCs w:val="24"/>
        </w:rPr>
        <w:t>、2021年</w:t>
      </w:r>
      <w:r>
        <w:rPr>
          <w:rFonts w:hint="eastAsia" w:cs="Times New Roman"/>
          <w:color w:val="auto"/>
          <w:sz w:val="24"/>
          <w:szCs w:val="24"/>
          <w:lang w:val="en-US" w:eastAsia="zh-CN"/>
        </w:rPr>
        <w:t>9</w:t>
      </w:r>
      <w:r>
        <w:rPr>
          <w:rFonts w:hint="default" w:ascii="Times New Roman" w:hAnsi="Times New Roman" w:eastAsia="宋体" w:cs="Times New Roman"/>
          <w:color w:val="auto"/>
          <w:sz w:val="24"/>
          <w:szCs w:val="24"/>
        </w:rPr>
        <w:t>月</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rPr>
        <w:t>日~2021年</w:t>
      </w:r>
      <w:r>
        <w:rPr>
          <w:rFonts w:hint="eastAsia" w:cs="Times New Roman"/>
          <w:color w:val="auto"/>
          <w:sz w:val="24"/>
          <w:szCs w:val="24"/>
          <w:lang w:val="en-US" w:eastAsia="zh-CN"/>
        </w:rPr>
        <w:t>9</w:t>
      </w:r>
      <w:r>
        <w:rPr>
          <w:rFonts w:hint="default" w:ascii="Times New Roman" w:hAnsi="Times New Roman" w:eastAsia="宋体" w:cs="Times New Roman"/>
          <w:color w:val="auto"/>
          <w:sz w:val="24"/>
          <w:szCs w:val="24"/>
        </w:rPr>
        <w:t>月</w:t>
      </w:r>
      <w:r>
        <w:rPr>
          <w:rFonts w:hint="eastAsia" w:cs="Times New Roman"/>
          <w:color w:val="auto"/>
          <w:sz w:val="24"/>
          <w:szCs w:val="24"/>
          <w:lang w:val="en-US" w:eastAsia="zh-CN"/>
        </w:rPr>
        <w:t>13</w:t>
      </w:r>
      <w:r>
        <w:rPr>
          <w:rFonts w:hint="default" w:ascii="Times New Roman" w:hAnsi="Times New Roman" w:eastAsia="宋体" w:cs="Times New Roman"/>
          <w:color w:val="auto"/>
          <w:sz w:val="24"/>
          <w:szCs w:val="24"/>
        </w:rPr>
        <w:t>日通过张贴公告方式以及苏州宜科环保工程有限公司网站进行了本项目征求意见稿公示，公示内容主要为征求意见稿全文的网络链接及查阅纸质报告书的方式和途径、征求意见的公众范围、公众意见表的网络链接、公众提出意见的方式和途径、公众提出意见的起止时间等。</w:t>
      </w:r>
    </w:p>
    <w:p>
      <w:pPr>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各公示期间，建设单位、环评单位均未接到公众对项目建设的反馈意见。 </w:t>
      </w:r>
    </w:p>
    <w:p>
      <w:pPr>
        <w:pStyle w:val="4"/>
        <w:spacing w:before="0" w:beforeLines="0" w:after="0" w:afterLines="0" w:line="480" w:lineRule="exact"/>
        <w:jc w:val="both"/>
        <w:rPr>
          <w:rFonts w:hint="default" w:ascii="Times New Roman" w:hAnsi="Times New Roman" w:eastAsia="宋体" w:cs="Times New Roman"/>
          <w:color w:val="auto"/>
        </w:rPr>
      </w:pPr>
      <w:bookmarkStart w:id="523" w:name="_Toc492644467"/>
      <w:bookmarkStart w:id="524" w:name="_Toc11479"/>
      <w:r>
        <w:rPr>
          <w:rFonts w:hint="default" w:ascii="Times New Roman" w:hAnsi="Times New Roman" w:eastAsia="宋体" w:cs="Times New Roman"/>
          <w:color w:val="auto"/>
        </w:rPr>
        <w:t>9.9总结论</w:t>
      </w:r>
      <w:bookmarkEnd w:id="523"/>
      <w:bookmarkEnd w:id="524"/>
    </w:p>
    <w:bookmarkEnd w:id="479"/>
    <w:bookmarkEnd w:id="484"/>
    <w:bookmarkEnd w:id="485"/>
    <w:bookmarkEnd w:id="486"/>
    <w:bookmarkEnd w:id="487"/>
    <w:p>
      <w:pPr>
        <w:widowControl w:val="0"/>
        <w:tabs>
          <w:tab w:val="left" w:pos="560"/>
        </w:tabs>
        <w:adjustRightInd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本项目实施后，可以促进水体的流动与交换，改善水环境和生态环境，保障饮水安全，为水资源优化配置和合理利用创造条件。</w:t>
      </w:r>
    </w:p>
    <w:p>
      <w:pPr>
        <w:widowControl w:val="0"/>
        <w:tabs>
          <w:tab w:val="left" w:pos="560"/>
        </w:tabs>
        <w:adjustRightInd w:val="0"/>
        <w:snapToGrid w:val="0"/>
        <w:spacing w:line="480" w:lineRule="exact"/>
        <w:ind w:firstLine="480" w:firstLineChars="200"/>
        <w:jc w:val="both"/>
        <w:rPr>
          <w:rFonts w:hint="default" w:ascii="Times New Roman" w:hAnsi="Times New Roman" w:eastAsia="宋体" w:cs="Times New Roman"/>
          <w:color w:val="FF0000"/>
        </w:rPr>
      </w:pPr>
      <w:r>
        <w:rPr>
          <w:rFonts w:hint="default" w:ascii="Times New Roman" w:hAnsi="Times New Roman" w:eastAsia="宋体" w:cs="Times New Roman"/>
          <w:color w:val="auto"/>
        </w:rPr>
        <w:t>本工程为生态治理工程，符合当地经济社会发展规划、水资源和水环境保护规划要求，也符合江苏省生态红线要求。工程占地现有用地</w:t>
      </w:r>
      <w:r>
        <w:rPr>
          <w:rFonts w:hint="eastAsia" w:cs="Times New Roman"/>
          <w:color w:val="auto"/>
          <w:lang w:val="en-US" w:eastAsia="zh-CN"/>
        </w:rPr>
        <w:t>为网球场</w:t>
      </w:r>
      <w:r>
        <w:rPr>
          <w:rFonts w:hint="default" w:ascii="Times New Roman" w:hAnsi="Times New Roman" w:eastAsia="宋体" w:cs="Times New Roman"/>
          <w:color w:val="auto"/>
        </w:rPr>
        <w:t>，本项目工程不涉及永久</w:t>
      </w:r>
      <w:r>
        <w:rPr>
          <w:rFonts w:hint="eastAsia" w:cs="Times New Roman"/>
          <w:color w:val="auto"/>
          <w:lang w:val="en-US" w:eastAsia="zh-CN"/>
        </w:rPr>
        <w:t>占地</w:t>
      </w:r>
      <w:r>
        <w:rPr>
          <w:rFonts w:hint="default" w:ascii="Times New Roman" w:hAnsi="Times New Roman" w:eastAsia="宋体" w:cs="Times New Roman"/>
          <w:color w:val="auto"/>
        </w:rPr>
        <w:t>。</w:t>
      </w:r>
    </w:p>
    <w:p>
      <w:pPr>
        <w:widowControl w:val="0"/>
        <w:tabs>
          <w:tab w:val="left" w:pos="560"/>
        </w:tabs>
        <w:adjustRightInd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工程施工期将对区域环境产生一定的不利影响，主要是</w:t>
      </w:r>
      <w:r>
        <w:rPr>
          <w:rFonts w:hint="eastAsia" w:ascii="Times New Roman" w:hAnsi="Times New Roman" w:eastAsia="宋体" w:cs="Times New Roman"/>
          <w:color w:val="auto"/>
          <w:lang w:val="en-US" w:eastAsia="zh-CN"/>
        </w:rPr>
        <w:t>工程施工</w:t>
      </w:r>
      <w:r>
        <w:rPr>
          <w:rFonts w:hint="default" w:ascii="Times New Roman" w:hAnsi="Times New Roman" w:eastAsia="宋体" w:cs="Times New Roman"/>
          <w:color w:val="auto"/>
        </w:rPr>
        <w:t>引起的扰动等。本次环评提出了各项环境保护措施，如针对施工期对重要生态敏感区的影响，从施工布局、施工方式和管理等措施进行保护；针对施工时局部植被破坏产生水土流失，拟采用工程措施与植物措施相结合的水土保持措施进行控制；针对施工期</w:t>
      </w:r>
      <w:r>
        <w:rPr>
          <w:rFonts w:hint="eastAsia" w:cs="Times New Roman"/>
          <w:color w:val="auto"/>
          <w:lang w:eastAsia="zh-CN"/>
        </w:rPr>
        <w:t>“</w:t>
      </w:r>
      <w:r>
        <w:rPr>
          <w:rFonts w:hint="default" w:ascii="Times New Roman" w:hAnsi="Times New Roman" w:eastAsia="宋体" w:cs="Times New Roman"/>
          <w:color w:val="auto"/>
        </w:rPr>
        <w:t>三废一噪</w:t>
      </w:r>
      <w:r>
        <w:rPr>
          <w:rFonts w:hint="eastAsia" w:cs="Times New Roman"/>
          <w:color w:val="auto"/>
          <w:lang w:eastAsia="zh-CN"/>
        </w:rPr>
        <w:t>”</w:t>
      </w:r>
      <w:r>
        <w:rPr>
          <w:rFonts w:hint="default" w:ascii="Times New Roman" w:hAnsi="Times New Roman" w:eastAsia="宋体" w:cs="Times New Roman"/>
          <w:color w:val="auto"/>
        </w:rPr>
        <w:t>污染，主体工程将从环境管理和污染控制并举对区域环境质量进行达标控制。此外，通过加强工程环境监理，可有效保障各类环保措施得到有效落实。施工期的影响是暂时性的，而且通过采取各类保护措施，可以得到有效避免或减缓，基本不会对饮用水取水口取水安全造成影响。工程运行期工程本身基本不产生污染物，不会对湖泊以及周边河流水文情势带来大的改变，基本不改变区域生态系统格局，对太湖</w:t>
      </w:r>
      <w:r>
        <w:rPr>
          <w:rFonts w:hint="eastAsia" w:ascii="Times New Roman" w:hAnsi="Times New Roman" w:eastAsia="宋体" w:cs="Times New Roman"/>
          <w:color w:val="auto"/>
          <w:lang w:val="en-US" w:eastAsia="zh-CN"/>
        </w:rPr>
        <w:t>渔洋山</w:t>
      </w:r>
      <w:r>
        <w:rPr>
          <w:rFonts w:hint="default" w:ascii="Times New Roman" w:hAnsi="Times New Roman" w:eastAsia="宋体" w:cs="Times New Roman"/>
          <w:color w:val="auto"/>
        </w:rPr>
        <w:t>饮用水源保护区不会产生影响。</w:t>
      </w:r>
    </w:p>
    <w:p>
      <w:pPr>
        <w:widowControl w:val="0"/>
        <w:tabs>
          <w:tab w:val="left" w:pos="560"/>
        </w:tabs>
        <w:adjustRightInd w:val="0"/>
        <w:snapToGrid w:val="0"/>
        <w:spacing w:line="48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综上，本工程建设的有利影响是主要的，不利影响是次要的、局部的、暂时的，且不利影响可通过采取一定措施加以减缓。因此，在切实做好各项环境保护措施的前提下，并征得主管部门的同意后，从环境保护角度来看，工程建设是可行的。</w:t>
      </w:r>
    </w:p>
    <w:sectPr>
      <w:footerReference r:id="rId11" w:type="default"/>
      <w:pgSz w:w="11905" w:h="16838"/>
      <w:pgMar w:top="1797" w:right="1440" w:bottom="1797" w:left="1440" w:header="850" w:footer="992" w:gutter="0"/>
      <w:pgBorders>
        <w:top w:val="none" w:sz="0" w:space="0"/>
        <w:left w:val="none" w:sz="0" w:space="0"/>
        <w:bottom w:val="none" w:sz="0" w:space="0"/>
        <w:right w:val="none" w:sz="0" w:space="0"/>
      </w:pgBorders>
      <w:pgNumType w:fmt="decimal"/>
      <w:cols w:space="0" w:num="1"/>
      <w:docGrid w:type="lines" w:linePitch="39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_GBK">
    <w:altName w:val="宋体"/>
    <w:panose1 w:val="00000000000000000000"/>
    <w:charset w:val="86"/>
    <w:family w:val="script"/>
    <w:pitch w:val="default"/>
    <w:sig w:usb0="00000000" w:usb1="00000000" w:usb2="00000000" w:usb3="00000000" w:csb0="00040000" w:csb1="00000000"/>
  </w:font>
  <w:font w:name="文鼎CS中黑">
    <w:altName w:val="宋体"/>
    <w:panose1 w:val="00000000000000000000"/>
    <w:charset w:val="86"/>
    <w:family w:val="roman"/>
    <w:pitch w:val="default"/>
    <w:sig w:usb0="00000000" w:usb1="00000000" w:usb2="00000010" w:usb3="00000000" w:csb0="00040000" w:csb1="00000000"/>
  </w:font>
  <w:font w:name="DF Hei">
    <w:altName w:val="黑体"/>
    <w:panose1 w:val="00000000000000000000"/>
    <w:charset w:val="86"/>
    <w:family w:val="modern"/>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font>
  <w:font w:name="Sim Sun">
    <w:altName w:val="宋体"/>
    <w:panose1 w:val="00000000000000000000"/>
    <w:charset w:val="86"/>
    <w:family w:val="swiss"/>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方正仿宋_GBK">
    <w:altName w:val="宋体"/>
    <w:panose1 w:val="00000000000000000000"/>
    <w:charset w:val="86"/>
    <w:family w:val="script"/>
    <w:pitch w:val="default"/>
    <w:sig w:usb0="00000000" w:usb1="00000000" w:usb2="00000010" w:usb3="00000000" w:csb0="003C0041" w:csb1="00000000"/>
  </w:font>
  <w:font w:name="仿宋体">
    <w:altName w:val="宋体"/>
    <w:panose1 w:val="00000000000000000000"/>
    <w:charset w:val="86"/>
    <w:family w:val="roma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Times New Roman”“">
    <w:altName w:val="宋体"/>
    <w:panose1 w:val="00000000000000000000"/>
    <w:charset w:val="86"/>
    <w:family w:val="roma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幼圆">
    <w:panose1 w:val="02010509060101010101"/>
    <w:charset w:val="86"/>
    <w:family w:val="modern"/>
    <w:pitch w:val="default"/>
    <w:sig w:usb0="00000001" w:usb1="080E0000" w:usb2="00000000" w:usb3="00000000" w:csb0="00040000" w:csb1="00000000"/>
  </w:font>
  <w:font w:name="??_GB2312">
    <w:altName w:val="Times New Roman"/>
    <w:panose1 w:val="00000000000000000000"/>
    <w:charset w:val="00"/>
    <w:family w:val="auto"/>
    <w:pitch w:val="default"/>
    <w:sig w:usb0="00000000" w:usb1="00000000" w:usb2="00000000" w:usb3="00000000" w:csb0="00000001" w:csb1="00000000"/>
  </w:font>
  <w:font w:name="华文细黑">
    <w:panose1 w:val="02010600040101010101"/>
    <w:charset w:val="86"/>
    <w:family w:val="auto"/>
    <w:pitch w:val="default"/>
    <w:sig w:usb0="00000287" w:usb1="080F0000" w:usb2="00000000" w:usb3="00000000" w:csb0="0004009F" w:csb1="DFD70000"/>
  </w:font>
  <w:font w:name="Bookman Old Style">
    <w:panose1 w:val="02050604050505020204"/>
    <w:charset w:val="00"/>
    <w:family w:val="roman"/>
    <w:pitch w:val="default"/>
    <w:sig w:usb0="00000287" w:usb1="00000000" w:usb2="00000000" w:usb3="00000000" w:csb0="2000009F" w:csb1="DFD70000"/>
  </w:font>
  <w:font w:name="..">
    <w:altName w:val="黑体"/>
    <w:panose1 w:val="00000000000000000000"/>
    <w:charset w:val="86"/>
    <w:family w:val="auto"/>
    <w:pitch w:val="default"/>
    <w:sig w:usb0="00000000" w:usb1="00000000" w:usb2="00000010" w:usb3="00000000" w:csb0="00040000"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ind w:firstLine="360"/>
      <w:jc w:val="center"/>
    </w:pPr>
  </w:p>
  <w:p>
    <w:pPr>
      <w:pStyle w:val="3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both"/>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3"/>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33"/>
                    </w:pPr>
                    <w:r>
                      <w:fldChar w:fldCharType="begin"/>
                    </w:r>
                    <w:r>
                      <w:instrText xml:space="preserve"> PAGE  \* MERGEFORMAT </w:instrText>
                    </w:r>
                    <w:r>
                      <w:fldChar w:fldCharType="separate"/>
                    </w:r>
                    <w:r>
                      <w:t>I</w:t>
                    </w:r>
                    <w: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3"/>
                            <w:jc w:val="cente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33"/>
                      <w:jc w:val="cente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both"/>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3"/>
                          </w:pPr>
                          <w:r>
                            <w:fldChar w:fldCharType="begin"/>
                          </w:r>
                          <w:r>
                            <w:instrText xml:space="preserve"> PAGE  \* MERGEFORMAT </w:instrText>
                          </w:r>
                          <w:r>
                            <w:fldChar w:fldCharType="separate"/>
                          </w:r>
                          <w:r>
                            <w:t>XXVI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pStyle w:val="33"/>
                    </w:pPr>
                    <w:r>
                      <w:fldChar w:fldCharType="begin"/>
                    </w:r>
                    <w:r>
                      <w:instrText xml:space="preserve"> PAGE  \* MERGEFORMAT </w:instrText>
                    </w:r>
                    <w:r>
                      <w:fldChar w:fldCharType="separate"/>
                    </w:r>
                    <w:r>
                      <w:t>XXVI</w:t>
                    </w:r>
                    <w: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3"/>
                            <w:jc w:val="cente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3"/>
                      <w:jc w:val="cente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3"/>
                          </w:pPr>
                          <w:r>
                            <w:fldChar w:fldCharType="begin"/>
                          </w:r>
                          <w:r>
                            <w:instrText xml:space="preserve"> PAGE  \* MERGEFORMAT </w:instrText>
                          </w:r>
                          <w:r>
                            <w:fldChar w:fldCharType="separate"/>
                          </w:r>
                          <w:r>
                            <w:t>CXIX</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pPr>
                      <w:pStyle w:val="33"/>
                    </w:pPr>
                    <w:r>
                      <w:fldChar w:fldCharType="begin"/>
                    </w:r>
                    <w:r>
                      <w:instrText xml:space="preserve"> PAGE  \* MERGEFORMAT </w:instrText>
                    </w:r>
                    <w:r>
                      <w:fldChar w:fldCharType="separate"/>
                    </w:r>
                    <w:r>
                      <w:t>CXIX</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3"/>
                          </w:pPr>
                          <w:r>
                            <w:fldChar w:fldCharType="begin"/>
                          </w:r>
                          <w:r>
                            <w:instrText xml:space="preserve"> PAGE  \* MERGEFORMAT </w:instrText>
                          </w:r>
                          <w:r>
                            <w:fldChar w:fldCharType="separate"/>
                          </w:r>
                          <w:r>
                            <w:t>CXXXVI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pPr>
                      <w:pStyle w:val="33"/>
                    </w:pPr>
                    <w:r>
                      <w:fldChar w:fldCharType="begin"/>
                    </w:r>
                    <w:r>
                      <w:instrText xml:space="preserve"> PAGE  \* MERGEFORMAT </w:instrText>
                    </w:r>
                    <w:r>
                      <w:fldChar w:fldCharType="separate"/>
                    </w:r>
                    <w:r>
                      <w:t>CXXXVI</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napToGrid w:val="0"/>
      <w:spacing w:before="72" w:beforeLines="30" w:after="72" w:afterLines="30" w:line="240" w:lineRule="auto"/>
      <w:jc w:val="center"/>
      <w:rPr>
        <w:rFonts w:ascii="仿宋" w:hAnsi="仿宋" w:eastAsia="仿宋"/>
      </w:rPr>
    </w:pPr>
    <w:r>
      <w:rPr>
        <w:rFonts w:hint="eastAsia" w:ascii="仿宋" w:hAnsi="仿宋" w:eastAsia="仿宋" w:cs="Times New Roman"/>
        <w:snapToGrid w:val="0"/>
        <w:sz w:val="21"/>
        <w:szCs w:val="21"/>
        <w:lang w:val="en-US" w:eastAsia="zh-CN" w:bidi="ar-SA"/>
      </w:rPr>
      <w:t>苏州市太湖渔洋山水源地近岸生态修复工程项目</w:t>
    </w:r>
    <w:r>
      <w:rPr>
        <w:rFonts w:hint="eastAsia" w:ascii="仿宋" w:hAnsi="仿宋" w:eastAsia="仿宋" w:cs="仿宋"/>
        <w:bCs/>
        <w:sz w:val="21"/>
        <w:szCs w:val="21"/>
      </w:rPr>
      <w:t>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single" w:color="auto" w:sz="4" w:space="0"/>
      </w:pBdr>
      <w:jc w:val="center"/>
      <w:rPr>
        <w:rFonts w:ascii="仿宋" w:hAnsi="仿宋" w:eastAsia="仿宋" w:cs="仿宋"/>
        <w:bCs/>
        <w:sz w:val="21"/>
        <w:szCs w:val="21"/>
      </w:rPr>
    </w:pPr>
  </w:p>
  <w:p>
    <w:pPr>
      <w:widowControl w:val="0"/>
      <w:pBdr>
        <w:bottom w:val="single" w:color="auto" w:sz="4" w:space="0"/>
      </w:pBdr>
      <w:jc w:val="center"/>
      <w:rPr>
        <w:rFonts w:eastAsia="仿宋"/>
        <w:bCs/>
        <w:spacing w:val="-4"/>
        <w:sz w:val="21"/>
        <w:szCs w:val="21"/>
      </w:rPr>
    </w:pPr>
    <w:r>
      <w:rPr>
        <w:rFonts w:hint="eastAsia" w:ascii="仿宋" w:hAnsi="仿宋" w:eastAsia="仿宋" w:cs="仿宋"/>
        <w:bCs/>
        <w:sz w:val="21"/>
        <w:szCs w:val="21"/>
        <w:lang w:eastAsia="zh-CN"/>
      </w:rPr>
      <w:t>苏州市太湖渔洋山水源地近岸生态修复工程项目</w:t>
    </w:r>
    <w:r>
      <w:rPr>
        <w:rFonts w:hint="eastAsia" w:ascii="仿宋" w:hAnsi="仿宋" w:eastAsia="仿宋" w:cs="仿宋"/>
        <w:bCs/>
        <w:sz w:val="21"/>
        <w:szCs w:val="21"/>
      </w:rPr>
      <w:t>环境影响报告书</w:t>
    </w:r>
  </w:p>
  <w:p>
    <w:pPr>
      <w:jc w:val="center"/>
      <w:rPr>
        <w:rFonts w:ascii="仿宋" w:hAnsi="仿宋" w:eastAsia="仿宋" w:cs="仿宋"/>
        <w:bC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single" w:color="auto" w:sz="4" w:space="0"/>
      </w:pBdr>
      <w:tabs>
        <w:tab w:val="left" w:pos="4964"/>
      </w:tabs>
      <w:jc w:val="left"/>
      <w:rPr>
        <w:rFonts w:hint="eastAsia" w:ascii="仿宋" w:hAnsi="仿宋" w:eastAsia="仿宋" w:cs="仿宋"/>
        <w:bCs/>
        <w:sz w:val="21"/>
        <w:szCs w:val="21"/>
        <w:lang w:eastAsia="zh-CN"/>
      </w:rPr>
    </w:pPr>
    <w:r>
      <w:rPr>
        <w:rFonts w:hint="eastAsia" w:ascii="仿宋" w:hAnsi="仿宋" w:eastAsia="仿宋" w:cs="仿宋"/>
        <w:bCs/>
        <w:sz w:val="21"/>
        <w:szCs w:val="21"/>
        <w:lang w:eastAsia="zh-CN"/>
      </w:rPr>
      <w:tab/>
    </w:r>
  </w:p>
  <w:p>
    <w:pPr>
      <w:widowControl w:val="0"/>
      <w:pBdr>
        <w:bottom w:val="single" w:color="auto" w:sz="4" w:space="0"/>
      </w:pBdr>
      <w:jc w:val="center"/>
    </w:pPr>
    <w:r>
      <w:rPr>
        <w:rFonts w:hint="eastAsia" w:ascii="仿宋" w:hAnsi="仿宋" w:eastAsia="仿宋" w:cs="仿宋"/>
        <w:bCs/>
        <w:sz w:val="21"/>
        <w:szCs w:val="21"/>
        <w:lang w:eastAsia="zh-CN"/>
      </w:rPr>
      <w:t>苏州市太湖渔洋山水源地近岸生态修复工程项目</w:t>
    </w:r>
    <w:r>
      <w:rPr>
        <w:rFonts w:hint="eastAsia" w:ascii="仿宋" w:hAnsi="仿宋" w:eastAsia="仿宋" w:cs="仿宋"/>
        <w:bCs/>
        <w:sz w:val="21"/>
        <w:szCs w:val="21"/>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908CB9"/>
    <w:multiLevelType w:val="singleLevel"/>
    <w:tmpl w:val="82908CB9"/>
    <w:lvl w:ilvl="0" w:tentative="0">
      <w:start w:val="1"/>
      <w:numFmt w:val="decimal"/>
      <w:suff w:val="nothing"/>
      <w:lvlText w:val="（%1）"/>
      <w:lvlJc w:val="left"/>
    </w:lvl>
  </w:abstractNum>
  <w:abstractNum w:abstractNumId="1">
    <w:nsid w:val="86118B4D"/>
    <w:multiLevelType w:val="singleLevel"/>
    <w:tmpl w:val="86118B4D"/>
    <w:lvl w:ilvl="0" w:tentative="0">
      <w:start w:val="1"/>
      <w:numFmt w:val="decimal"/>
      <w:suff w:val="nothing"/>
      <w:lvlText w:val="（%1）"/>
      <w:lvlJc w:val="left"/>
    </w:lvl>
  </w:abstractNum>
  <w:abstractNum w:abstractNumId="2">
    <w:nsid w:val="8998F91C"/>
    <w:multiLevelType w:val="singleLevel"/>
    <w:tmpl w:val="8998F91C"/>
    <w:lvl w:ilvl="0" w:tentative="0">
      <w:start w:val="4"/>
      <w:numFmt w:val="decimal"/>
      <w:suff w:val="nothing"/>
      <w:lvlText w:val="（%1）"/>
      <w:lvlJc w:val="left"/>
    </w:lvl>
  </w:abstractNum>
  <w:abstractNum w:abstractNumId="3">
    <w:nsid w:val="C50B7923"/>
    <w:multiLevelType w:val="singleLevel"/>
    <w:tmpl w:val="C50B7923"/>
    <w:lvl w:ilvl="0" w:tentative="0">
      <w:start w:val="2"/>
      <w:numFmt w:val="decimal"/>
      <w:suff w:val="nothing"/>
      <w:lvlText w:val="%1、"/>
      <w:lvlJc w:val="left"/>
      <w:pPr>
        <w:ind w:left="-2"/>
      </w:pPr>
    </w:lvl>
  </w:abstractNum>
  <w:abstractNum w:abstractNumId="4">
    <w:nsid w:val="01A95015"/>
    <w:multiLevelType w:val="singleLevel"/>
    <w:tmpl w:val="01A95015"/>
    <w:lvl w:ilvl="0" w:tentative="0">
      <w:start w:val="1"/>
      <w:numFmt w:val="upperLetter"/>
      <w:pStyle w:val="9"/>
      <w:lvlText w:val="%1、"/>
      <w:lvlJc w:val="left"/>
      <w:pPr>
        <w:tabs>
          <w:tab w:val="left" w:pos="1050"/>
        </w:tabs>
        <w:ind w:left="1050" w:hanging="480"/>
      </w:pPr>
      <w:rPr>
        <w:rFonts w:hint="default"/>
      </w:rPr>
    </w:lvl>
  </w:abstractNum>
  <w:abstractNum w:abstractNumId="5">
    <w:nsid w:val="0E592B1C"/>
    <w:multiLevelType w:val="multilevel"/>
    <w:tmpl w:val="0E592B1C"/>
    <w:lvl w:ilvl="0" w:tentative="0">
      <w:start w:val="1"/>
      <w:numFmt w:val="none"/>
      <w:suff w:val="nothing"/>
      <w:lvlText w:val="第二章  "/>
      <w:lvlJc w:val="center"/>
      <w:pPr>
        <w:ind w:left="0" w:firstLine="288"/>
      </w:pPr>
      <w:rPr>
        <w:rFonts w:hint="eastAsia" w:ascii="宋体" w:eastAsia="宋体"/>
        <w:b/>
        <w:bCs/>
        <w:i w:val="0"/>
        <w:iCs w:val="0"/>
        <w:sz w:val="36"/>
        <w:szCs w:val="36"/>
      </w:rPr>
    </w:lvl>
    <w:lvl w:ilvl="1" w:tentative="0">
      <w:start w:val="1"/>
      <w:numFmt w:val="chineseCountingThousand"/>
      <w:suff w:val="nothing"/>
      <w:lvlText w:val="第%2节  "/>
      <w:lvlJc w:val="center"/>
      <w:pPr>
        <w:ind w:left="0" w:firstLine="288"/>
      </w:pPr>
      <w:rPr>
        <w:rFonts w:hint="eastAsia" w:ascii="宋体" w:eastAsia="宋体"/>
        <w:b/>
        <w:bCs/>
        <w:i w:val="0"/>
        <w:iCs w:val="0"/>
        <w:sz w:val="32"/>
        <w:szCs w:val="32"/>
      </w:rPr>
    </w:lvl>
    <w:lvl w:ilvl="2" w:tentative="0">
      <w:start w:val="1"/>
      <w:numFmt w:val="chineseCountingThousand"/>
      <w:suff w:val="nothing"/>
      <w:lvlText w:val="%3、"/>
      <w:lvlJc w:val="left"/>
      <w:pPr>
        <w:ind w:left="0" w:firstLine="0"/>
      </w:pPr>
      <w:rPr>
        <w:rFonts w:hint="eastAsia" w:ascii="宋体" w:eastAsia="宋体"/>
        <w:b w:val="0"/>
        <w:bCs w:val="0"/>
        <w:i w:val="0"/>
        <w:iCs w:val="0"/>
        <w:sz w:val="28"/>
        <w:szCs w:val="28"/>
      </w:rPr>
    </w:lvl>
    <w:lvl w:ilvl="3" w:tentative="0">
      <w:start w:val="1"/>
      <w:numFmt w:val="decimal"/>
      <w:suff w:val="nothing"/>
      <w:lvlText w:val="%4."/>
      <w:lvlJc w:val="left"/>
      <w:pPr>
        <w:ind w:left="0" w:firstLine="0"/>
      </w:pPr>
      <w:rPr>
        <w:rFonts w:hint="eastAsia" w:ascii="宋体" w:eastAsia="宋体"/>
        <w:b w:val="0"/>
        <w:bCs w:val="0"/>
        <w:i w:val="0"/>
        <w:iCs w:val="0"/>
        <w:sz w:val="28"/>
        <w:szCs w:val="28"/>
      </w:rPr>
    </w:lvl>
    <w:lvl w:ilvl="4" w:tentative="0">
      <w:start w:val="1"/>
      <w:numFmt w:val="decimal"/>
      <w:suff w:val="nothing"/>
      <w:lvlText w:val="%4.%5"/>
      <w:lvlJc w:val="left"/>
      <w:pPr>
        <w:ind w:left="0" w:firstLine="0"/>
      </w:pPr>
      <w:rPr>
        <w:rFonts w:hint="eastAsia" w:ascii="宋体" w:eastAsia="宋体"/>
        <w:b w:val="0"/>
        <w:bCs w:val="0"/>
        <w:i w:val="0"/>
        <w:iCs w:val="0"/>
        <w:sz w:val="28"/>
        <w:szCs w:val="28"/>
      </w:rPr>
    </w:lvl>
    <w:lvl w:ilvl="5" w:tentative="0">
      <w:start w:val="1"/>
      <w:numFmt w:val="decimal"/>
      <w:suff w:val="nothing"/>
      <w:lvlText w:val="%4.%5.%6"/>
      <w:lvlJc w:val="left"/>
      <w:pPr>
        <w:ind w:left="0" w:firstLine="0"/>
      </w:pPr>
      <w:rPr>
        <w:rFonts w:hint="eastAsia" w:ascii="宋体" w:eastAsia="宋体"/>
        <w:b w:val="0"/>
        <w:bCs w:val="0"/>
        <w:i w:val="0"/>
        <w:iCs w:val="0"/>
        <w:sz w:val="28"/>
        <w:szCs w:val="28"/>
      </w:rPr>
    </w:lvl>
    <w:lvl w:ilvl="6" w:tentative="0">
      <w:start w:val="1"/>
      <w:numFmt w:val="decimal"/>
      <w:suff w:val="nothing"/>
      <w:lvlText w:val="%4.%5.%6.%7"/>
      <w:lvlJc w:val="left"/>
      <w:pPr>
        <w:ind w:left="0" w:firstLine="0"/>
      </w:pPr>
      <w:rPr>
        <w:rFonts w:hint="eastAsia" w:ascii="宋体" w:eastAsia="宋体"/>
        <w:b w:val="0"/>
        <w:bCs w:val="0"/>
        <w:i w:val="0"/>
        <w:iCs w:val="0"/>
        <w:sz w:val="28"/>
        <w:szCs w:val="28"/>
      </w:rPr>
    </w:lvl>
    <w:lvl w:ilvl="7" w:tentative="0">
      <w:start w:val="1"/>
      <w:numFmt w:val="decimal"/>
      <w:suff w:val="nothing"/>
      <w:lvlText w:val="%4.%5.%6.%7.%8"/>
      <w:lvlJc w:val="left"/>
      <w:pPr>
        <w:ind w:left="0" w:firstLine="0"/>
      </w:pPr>
      <w:rPr>
        <w:rFonts w:hint="eastAsia" w:ascii="宋体" w:eastAsia="宋体"/>
        <w:b w:val="0"/>
        <w:bCs w:val="0"/>
        <w:i w:val="0"/>
        <w:iCs w:val="0"/>
        <w:sz w:val="28"/>
        <w:szCs w:val="28"/>
      </w:rPr>
    </w:lvl>
    <w:lvl w:ilvl="8" w:tentative="0">
      <w:start w:val="1"/>
      <w:numFmt w:val="decimal"/>
      <w:pStyle w:val="12"/>
      <w:suff w:val="nothing"/>
      <w:lvlText w:val="%4.%5.%6.%7.%8.%9"/>
      <w:lvlJc w:val="left"/>
      <w:pPr>
        <w:ind w:left="0" w:firstLine="0"/>
      </w:pPr>
      <w:rPr>
        <w:rFonts w:hint="eastAsia" w:ascii="宋体" w:eastAsia="宋体"/>
        <w:b w:val="0"/>
        <w:bCs w:val="0"/>
        <w:i w:val="0"/>
        <w:iCs w:val="0"/>
        <w:sz w:val="28"/>
        <w:szCs w:val="28"/>
      </w:rPr>
    </w:lvl>
  </w:abstractNum>
  <w:abstractNum w:abstractNumId="6">
    <w:nsid w:val="34EC75CE"/>
    <w:multiLevelType w:val="multilevel"/>
    <w:tmpl w:val="34EC75CE"/>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pStyle w:val="200"/>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7">
    <w:nsid w:val="498F7B20"/>
    <w:multiLevelType w:val="singleLevel"/>
    <w:tmpl w:val="498F7B20"/>
    <w:lvl w:ilvl="0" w:tentative="0">
      <w:start w:val="2"/>
      <w:numFmt w:val="decimal"/>
      <w:suff w:val="nothing"/>
      <w:lvlText w:val="（%1）"/>
      <w:lvlJc w:val="left"/>
    </w:lvl>
  </w:abstractNum>
  <w:abstractNum w:abstractNumId="8">
    <w:nsid w:val="4DC54B8D"/>
    <w:multiLevelType w:val="multilevel"/>
    <w:tmpl w:val="4DC54B8D"/>
    <w:lvl w:ilvl="0" w:tentative="0">
      <w:start w:val="1"/>
      <w:numFmt w:val="decimal"/>
      <w:pStyle w:val="199"/>
      <w:suff w:val="nothing"/>
      <w:lvlText w:val="第%1条 "/>
      <w:lvlJc w:val="left"/>
      <w:pPr>
        <w:ind w:left="454" w:firstLine="28"/>
      </w:pPr>
      <w:rPr>
        <w:rFonts w:hint="eastAsia" w:eastAsia="黑体"/>
        <w:sz w:val="24"/>
      </w:rPr>
    </w:lvl>
    <w:lvl w:ilvl="1" w:tentative="0">
      <w:start w:val="1"/>
      <w:numFmt w:val="chineseCountingThousand"/>
      <w:suff w:val="nothing"/>
      <w:lvlText w:val="第%2节"/>
      <w:lvlJc w:val="left"/>
      <w:pPr>
        <w:ind w:left="739" w:hanging="257"/>
      </w:pPr>
      <w:rPr>
        <w:rFonts w:hint="eastAsia" w:eastAsia="仿宋_GB2312"/>
        <w:sz w:val="32"/>
      </w:rPr>
    </w:lvl>
    <w:lvl w:ilvl="2" w:tentative="0">
      <w:start w:val="1"/>
      <w:numFmt w:val="decimal"/>
      <w:suff w:val="nothing"/>
      <w:lvlText w:val="%3、"/>
      <w:lvlJc w:val="left"/>
      <w:pPr>
        <w:ind w:left="482" w:firstLine="0"/>
      </w:pPr>
      <w:rPr>
        <w:rFonts w:hint="eastAsia"/>
        <w:b w:val="0"/>
        <w:i w:val="0"/>
        <w:sz w:val="24"/>
      </w:rPr>
    </w:lvl>
    <w:lvl w:ilvl="3" w:tentative="0">
      <w:start w:val="1"/>
      <w:numFmt w:val="decimal"/>
      <w:suff w:val="nothing"/>
      <w:lvlText w:val="（%4）"/>
      <w:lvlJc w:val="left"/>
      <w:pPr>
        <w:ind w:left="484" w:hanging="482"/>
      </w:pPr>
      <w:rPr>
        <w:rFonts w:hint="eastAsia" w:eastAsia="宋体"/>
        <w:sz w:val="24"/>
      </w:rPr>
    </w:lvl>
    <w:lvl w:ilvl="4" w:tentative="0">
      <w:start w:val="1"/>
      <w:numFmt w:val="decimal"/>
      <w:suff w:val="nothing"/>
      <w:lvlText w:val="%5）"/>
      <w:lvlJc w:val="left"/>
      <w:pPr>
        <w:ind w:left="482" w:firstLine="2"/>
      </w:pPr>
      <w:rPr>
        <w:rFonts w:hint="eastAsia" w:eastAsia="宋体"/>
        <w:sz w:val="24"/>
      </w:rPr>
    </w:lvl>
    <w:lvl w:ilvl="5" w:tentative="0">
      <w:start w:val="1"/>
      <w:numFmt w:val="none"/>
      <w:suff w:val="nothing"/>
      <w:lvlText w:val=""/>
      <w:lvlJc w:val="left"/>
      <w:pPr>
        <w:ind w:left="482" w:firstLine="0"/>
      </w:pPr>
      <w:rPr>
        <w:rFonts w:hint="eastAsia"/>
      </w:rPr>
    </w:lvl>
    <w:lvl w:ilvl="6" w:tentative="0">
      <w:start w:val="1"/>
      <w:numFmt w:val="none"/>
      <w:suff w:val="nothing"/>
      <w:lvlText w:val=""/>
      <w:lvlJc w:val="left"/>
      <w:pPr>
        <w:ind w:left="482" w:firstLine="2"/>
      </w:pPr>
      <w:rPr>
        <w:rFonts w:hint="eastAsia"/>
      </w:rPr>
    </w:lvl>
    <w:lvl w:ilvl="7" w:tentative="0">
      <w:start w:val="1"/>
      <w:numFmt w:val="none"/>
      <w:suff w:val="nothing"/>
      <w:lvlText w:val=""/>
      <w:lvlJc w:val="left"/>
      <w:pPr>
        <w:ind w:left="482" w:firstLine="0"/>
      </w:pPr>
      <w:rPr>
        <w:rFonts w:hint="eastAsia"/>
      </w:rPr>
    </w:lvl>
    <w:lvl w:ilvl="8" w:tentative="0">
      <w:start w:val="1"/>
      <w:numFmt w:val="none"/>
      <w:suff w:val="nothing"/>
      <w:lvlText w:val=""/>
      <w:lvlJc w:val="left"/>
      <w:pPr>
        <w:ind w:left="482" w:firstLine="0"/>
      </w:pPr>
      <w:rPr>
        <w:rFonts w:hint="eastAsia"/>
      </w:rPr>
    </w:lvl>
  </w:abstractNum>
  <w:abstractNum w:abstractNumId="9">
    <w:nsid w:val="5B104501"/>
    <w:multiLevelType w:val="multilevel"/>
    <w:tmpl w:val="5B104501"/>
    <w:lvl w:ilvl="0" w:tentative="0">
      <w:start w:val="1"/>
      <w:numFmt w:val="decimal"/>
      <w:pStyle w:val="287"/>
      <w:lvlText w:val="%1"/>
      <w:lvlJc w:val="left"/>
      <w:pPr>
        <w:tabs>
          <w:tab w:val="left" w:pos="432"/>
        </w:tabs>
        <w:ind w:left="432" w:hanging="432"/>
      </w:pPr>
      <w:rPr>
        <w:rFonts w:hint="eastAsia"/>
        <w:sz w:val="32"/>
        <w:szCs w:val="32"/>
      </w:rPr>
    </w:lvl>
    <w:lvl w:ilvl="1" w:tentative="0">
      <w:start w:val="1"/>
      <w:numFmt w:val="none"/>
      <w:lvlText w:val="1.1"/>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440"/>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0">
    <w:nsid w:val="623E2558"/>
    <w:multiLevelType w:val="multilevel"/>
    <w:tmpl w:val="623E2558"/>
    <w:lvl w:ilvl="0" w:tentative="0">
      <w:start w:val="1"/>
      <w:numFmt w:val="decimal"/>
      <w:pStyle w:val="397"/>
      <w:lvlText w:val="表4-%1："/>
      <w:lvlJc w:val="left"/>
      <w:pPr>
        <w:tabs>
          <w:tab w:val="left" w:pos="720"/>
        </w:tabs>
        <w:ind w:left="-737" w:firstLine="737"/>
      </w:pPr>
      <w:rPr>
        <w:rFonts w:hint="eastAsia"/>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75713A29"/>
    <w:multiLevelType w:val="multilevel"/>
    <w:tmpl w:val="75713A29"/>
    <w:lvl w:ilvl="0" w:tentative="0">
      <w:start w:val="1"/>
      <w:numFmt w:val="none"/>
      <w:pStyle w:val="210"/>
      <w:lvlText w:val="表"/>
      <w:lvlJc w:val="left"/>
      <w:pPr>
        <w:tabs>
          <w:tab w:val="left" w:pos="7088"/>
        </w:tabs>
        <w:ind w:left="7448" w:hanging="360"/>
      </w:pPr>
      <w:rPr>
        <w:rFonts w:hint="eastAsia"/>
      </w:rPr>
    </w:lvl>
    <w:lvl w:ilvl="1" w:tentative="0">
      <w:start w:val="1"/>
      <w:numFmt w:val="lowerLetter"/>
      <w:lvlText w:val="%2)"/>
      <w:lvlJc w:val="left"/>
      <w:pPr>
        <w:tabs>
          <w:tab w:val="left" w:pos="7928"/>
        </w:tabs>
        <w:ind w:left="7928" w:hanging="420"/>
      </w:pPr>
    </w:lvl>
    <w:lvl w:ilvl="2" w:tentative="0">
      <w:start w:val="1"/>
      <w:numFmt w:val="lowerRoman"/>
      <w:lvlText w:val="%3."/>
      <w:lvlJc w:val="right"/>
      <w:pPr>
        <w:tabs>
          <w:tab w:val="left" w:pos="8348"/>
        </w:tabs>
        <w:ind w:left="8348" w:hanging="420"/>
      </w:pPr>
    </w:lvl>
    <w:lvl w:ilvl="3" w:tentative="0">
      <w:start w:val="1"/>
      <w:numFmt w:val="decimal"/>
      <w:lvlText w:val="%4."/>
      <w:lvlJc w:val="left"/>
      <w:pPr>
        <w:tabs>
          <w:tab w:val="left" w:pos="8768"/>
        </w:tabs>
        <w:ind w:left="8768" w:hanging="420"/>
      </w:pPr>
    </w:lvl>
    <w:lvl w:ilvl="4" w:tentative="0">
      <w:start w:val="1"/>
      <w:numFmt w:val="lowerLetter"/>
      <w:lvlText w:val="%5)"/>
      <w:lvlJc w:val="left"/>
      <w:pPr>
        <w:tabs>
          <w:tab w:val="left" w:pos="9188"/>
        </w:tabs>
        <w:ind w:left="9188" w:hanging="420"/>
      </w:pPr>
    </w:lvl>
    <w:lvl w:ilvl="5" w:tentative="0">
      <w:start w:val="1"/>
      <w:numFmt w:val="lowerRoman"/>
      <w:lvlText w:val="%6."/>
      <w:lvlJc w:val="right"/>
      <w:pPr>
        <w:tabs>
          <w:tab w:val="left" w:pos="9608"/>
        </w:tabs>
        <w:ind w:left="9608" w:hanging="420"/>
      </w:pPr>
    </w:lvl>
    <w:lvl w:ilvl="6" w:tentative="0">
      <w:start w:val="1"/>
      <w:numFmt w:val="decimal"/>
      <w:lvlText w:val="%7."/>
      <w:lvlJc w:val="left"/>
      <w:pPr>
        <w:tabs>
          <w:tab w:val="left" w:pos="10028"/>
        </w:tabs>
        <w:ind w:left="10028" w:hanging="420"/>
      </w:pPr>
    </w:lvl>
    <w:lvl w:ilvl="7" w:tentative="0">
      <w:start w:val="1"/>
      <w:numFmt w:val="lowerLetter"/>
      <w:lvlText w:val="%8)"/>
      <w:lvlJc w:val="left"/>
      <w:pPr>
        <w:tabs>
          <w:tab w:val="left" w:pos="10448"/>
        </w:tabs>
        <w:ind w:left="10448" w:hanging="420"/>
      </w:pPr>
    </w:lvl>
    <w:lvl w:ilvl="8" w:tentative="0">
      <w:start w:val="1"/>
      <w:numFmt w:val="lowerRoman"/>
      <w:lvlText w:val="%9."/>
      <w:lvlJc w:val="right"/>
      <w:pPr>
        <w:tabs>
          <w:tab w:val="left" w:pos="10868"/>
        </w:tabs>
        <w:ind w:left="10868" w:hanging="420"/>
      </w:pPr>
    </w:lvl>
  </w:abstractNum>
  <w:abstractNum w:abstractNumId="12">
    <w:nsid w:val="79A62B2C"/>
    <w:multiLevelType w:val="singleLevel"/>
    <w:tmpl w:val="79A62B2C"/>
    <w:lvl w:ilvl="0" w:tentative="0">
      <w:start w:val="1"/>
      <w:numFmt w:val="decimal"/>
      <w:suff w:val="nothing"/>
      <w:lvlText w:val="（%1）"/>
      <w:lvlJc w:val="left"/>
    </w:lvl>
  </w:abstractNum>
  <w:num w:numId="1">
    <w:abstractNumId w:val="4"/>
  </w:num>
  <w:num w:numId="2">
    <w:abstractNumId w:val="5"/>
  </w:num>
  <w:num w:numId="3">
    <w:abstractNumId w:val="8"/>
  </w:num>
  <w:num w:numId="4">
    <w:abstractNumId w:val="6"/>
  </w:num>
  <w:num w:numId="5">
    <w:abstractNumId w:val="11"/>
  </w:num>
  <w:num w:numId="6">
    <w:abstractNumId w:val="9"/>
  </w:num>
  <w:num w:numId="7">
    <w:abstractNumId w:val="10"/>
  </w:num>
  <w:num w:numId="8">
    <w:abstractNumId w:val="7"/>
  </w:num>
  <w:num w:numId="9">
    <w:abstractNumId w:val="1"/>
  </w:num>
  <w:num w:numId="10">
    <w:abstractNumId w:val="2"/>
  </w:num>
  <w:num w:numId="11">
    <w:abstractNumId w:val="12"/>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240"/>
  <w:drawingGridVerticalSpacing w:val="19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300"/>
    <w:rsid w:val="000004EB"/>
    <w:rsid w:val="00000604"/>
    <w:rsid w:val="00000ACE"/>
    <w:rsid w:val="00000F47"/>
    <w:rsid w:val="0000106F"/>
    <w:rsid w:val="0000153B"/>
    <w:rsid w:val="00001570"/>
    <w:rsid w:val="0000162D"/>
    <w:rsid w:val="000018F4"/>
    <w:rsid w:val="000019E3"/>
    <w:rsid w:val="00001B47"/>
    <w:rsid w:val="00001DF5"/>
    <w:rsid w:val="000029E5"/>
    <w:rsid w:val="00002EE9"/>
    <w:rsid w:val="00002F4A"/>
    <w:rsid w:val="00003384"/>
    <w:rsid w:val="0000353A"/>
    <w:rsid w:val="000037EB"/>
    <w:rsid w:val="00003909"/>
    <w:rsid w:val="00003A01"/>
    <w:rsid w:val="0000408A"/>
    <w:rsid w:val="0000425B"/>
    <w:rsid w:val="00004B5D"/>
    <w:rsid w:val="00004CA3"/>
    <w:rsid w:val="00005017"/>
    <w:rsid w:val="0000527C"/>
    <w:rsid w:val="000053B1"/>
    <w:rsid w:val="0000552D"/>
    <w:rsid w:val="00005600"/>
    <w:rsid w:val="000057AD"/>
    <w:rsid w:val="000057D8"/>
    <w:rsid w:val="0000591A"/>
    <w:rsid w:val="00005B3C"/>
    <w:rsid w:val="00005DBC"/>
    <w:rsid w:val="000066B6"/>
    <w:rsid w:val="00006D0B"/>
    <w:rsid w:val="00006D38"/>
    <w:rsid w:val="00006FD5"/>
    <w:rsid w:val="000075FC"/>
    <w:rsid w:val="00007A53"/>
    <w:rsid w:val="00007E9E"/>
    <w:rsid w:val="00007FE1"/>
    <w:rsid w:val="0001015A"/>
    <w:rsid w:val="00010B4E"/>
    <w:rsid w:val="00011184"/>
    <w:rsid w:val="00011587"/>
    <w:rsid w:val="00011686"/>
    <w:rsid w:val="000116A9"/>
    <w:rsid w:val="000116E6"/>
    <w:rsid w:val="00011DC6"/>
    <w:rsid w:val="0001223C"/>
    <w:rsid w:val="00012434"/>
    <w:rsid w:val="000128E8"/>
    <w:rsid w:val="00012A9B"/>
    <w:rsid w:val="00013153"/>
    <w:rsid w:val="00013798"/>
    <w:rsid w:val="000137F2"/>
    <w:rsid w:val="000138AB"/>
    <w:rsid w:val="00013BB1"/>
    <w:rsid w:val="000141F0"/>
    <w:rsid w:val="00014547"/>
    <w:rsid w:val="000145B9"/>
    <w:rsid w:val="0001483D"/>
    <w:rsid w:val="00014F0C"/>
    <w:rsid w:val="00015612"/>
    <w:rsid w:val="0001582E"/>
    <w:rsid w:val="0001597A"/>
    <w:rsid w:val="00015C7D"/>
    <w:rsid w:val="00015D09"/>
    <w:rsid w:val="00015D62"/>
    <w:rsid w:val="00015FAB"/>
    <w:rsid w:val="00015FF4"/>
    <w:rsid w:val="00016041"/>
    <w:rsid w:val="0001604F"/>
    <w:rsid w:val="00016086"/>
    <w:rsid w:val="0001645D"/>
    <w:rsid w:val="00016575"/>
    <w:rsid w:val="000166C0"/>
    <w:rsid w:val="00017090"/>
    <w:rsid w:val="0001752C"/>
    <w:rsid w:val="000175B8"/>
    <w:rsid w:val="000200B5"/>
    <w:rsid w:val="00020178"/>
    <w:rsid w:val="00020788"/>
    <w:rsid w:val="000207AE"/>
    <w:rsid w:val="00020AF9"/>
    <w:rsid w:val="00020B5F"/>
    <w:rsid w:val="0002122F"/>
    <w:rsid w:val="000212F0"/>
    <w:rsid w:val="00021539"/>
    <w:rsid w:val="00021810"/>
    <w:rsid w:val="0002185A"/>
    <w:rsid w:val="00021E0A"/>
    <w:rsid w:val="0002206C"/>
    <w:rsid w:val="00022528"/>
    <w:rsid w:val="00023771"/>
    <w:rsid w:val="00023A3B"/>
    <w:rsid w:val="00023D27"/>
    <w:rsid w:val="00023D54"/>
    <w:rsid w:val="00023DF3"/>
    <w:rsid w:val="00023E43"/>
    <w:rsid w:val="00023E99"/>
    <w:rsid w:val="0002443E"/>
    <w:rsid w:val="000244A0"/>
    <w:rsid w:val="00024599"/>
    <w:rsid w:val="000247C9"/>
    <w:rsid w:val="00025CB0"/>
    <w:rsid w:val="00026070"/>
    <w:rsid w:val="000260F6"/>
    <w:rsid w:val="0002658A"/>
    <w:rsid w:val="000269DB"/>
    <w:rsid w:val="00026CCA"/>
    <w:rsid w:val="00027256"/>
    <w:rsid w:val="0002749A"/>
    <w:rsid w:val="000279D3"/>
    <w:rsid w:val="000302F2"/>
    <w:rsid w:val="00030482"/>
    <w:rsid w:val="00030D92"/>
    <w:rsid w:val="00031029"/>
    <w:rsid w:val="00031432"/>
    <w:rsid w:val="0003172B"/>
    <w:rsid w:val="00031F19"/>
    <w:rsid w:val="00032119"/>
    <w:rsid w:val="000329A0"/>
    <w:rsid w:val="0003300D"/>
    <w:rsid w:val="00033226"/>
    <w:rsid w:val="00033392"/>
    <w:rsid w:val="000342EA"/>
    <w:rsid w:val="00034356"/>
    <w:rsid w:val="00034510"/>
    <w:rsid w:val="000345A3"/>
    <w:rsid w:val="00034672"/>
    <w:rsid w:val="00034718"/>
    <w:rsid w:val="00034959"/>
    <w:rsid w:val="00034A3E"/>
    <w:rsid w:val="00034CEE"/>
    <w:rsid w:val="000353E4"/>
    <w:rsid w:val="000359B5"/>
    <w:rsid w:val="00035B35"/>
    <w:rsid w:val="00035C2F"/>
    <w:rsid w:val="00035CE5"/>
    <w:rsid w:val="00036161"/>
    <w:rsid w:val="000362B3"/>
    <w:rsid w:val="000363EF"/>
    <w:rsid w:val="000364A6"/>
    <w:rsid w:val="00036C97"/>
    <w:rsid w:val="00036E12"/>
    <w:rsid w:val="0003742D"/>
    <w:rsid w:val="00037680"/>
    <w:rsid w:val="00037A0D"/>
    <w:rsid w:val="00037F77"/>
    <w:rsid w:val="00040489"/>
    <w:rsid w:val="00041276"/>
    <w:rsid w:val="0004171E"/>
    <w:rsid w:val="0004199B"/>
    <w:rsid w:val="00042262"/>
    <w:rsid w:val="0004302C"/>
    <w:rsid w:val="00043420"/>
    <w:rsid w:val="00043BE5"/>
    <w:rsid w:val="00043F23"/>
    <w:rsid w:val="00044240"/>
    <w:rsid w:val="00044277"/>
    <w:rsid w:val="00044644"/>
    <w:rsid w:val="000446DD"/>
    <w:rsid w:val="0004483F"/>
    <w:rsid w:val="00044BDA"/>
    <w:rsid w:val="00044E03"/>
    <w:rsid w:val="00044EA0"/>
    <w:rsid w:val="00045087"/>
    <w:rsid w:val="00045549"/>
    <w:rsid w:val="00045906"/>
    <w:rsid w:val="00045B1C"/>
    <w:rsid w:val="00045D24"/>
    <w:rsid w:val="0004616B"/>
    <w:rsid w:val="00046171"/>
    <w:rsid w:val="0004619E"/>
    <w:rsid w:val="000467F2"/>
    <w:rsid w:val="000468B2"/>
    <w:rsid w:val="00046ACF"/>
    <w:rsid w:val="0004756C"/>
    <w:rsid w:val="00047839"/>
    <w:rsid w:val="00047918"/>
    <w:rsid w:val="00047FF0"/>
    <w:rsid w:val="00050515"/>
    <w:rsid w:val="000519D0"/>
    <w:rsid w:val="00051D07"/>
    <w:rsid w:val="0005256F"/>
    <w:rsid w:val="0005296D"/>
    <w:rsid w:val="00052A0D"/>
    <w:rsid w:val="00052DEA"/>
    <w:rsid w:val="0005320D"/>
    <w:rsid w:val="000535F0"/>
    <w:rsid w:val="000535F8"/>
    <w:rsid w:val="000537A6"/>
    <w:rsid w:val="00053A39"/>
    <w:rsid w:val="00053DDA"/>
    <w:rsid w:val="00053F48"/>
    <w:rsid w:val="00054975"/>
    <w:rsid w:val="00054A0E"/>
    <w:rsid w:val="00054D00"/>
    <w:rsid w:val="000552C4"/>
    <w:rsid w:val="0005567A"/>
    <w:rsid w:val="000558FE"/>
    <w:rsid w:val="000559F4"/>
    <w:rsid w:val="00055C74"/>
    <w:rsid w:val="000566A9"/>
    <w:rsid w:val="00056F0F"/>
    <w:rsid w:val="0005765E"/>
    <w:rsid w:val="00057698"/>
    <w:rsid w:val="00057738"/>
    <w:rsid w:val="00057849"/>
    <w:rsid w:val="00057BC0"/>
    <w:rsid w:val="00057BF6"/>
    <w:rsid w:val="00057BF7"/>
    <w:rsid w:val="00057DF5"/>
    <w:rsid w:val="00057F50"/>
    <w:rsid w:val="000600D9"/>
    <w:rsid w:val="00060614"/>
    <w:rsid w:val="0006077B"/>
    <w:rsid w:val="00060B86"/>
    <w:rsid w:val="00060BD8"/>
    <w:rsid w:val="00060FF9"/>
    <w:rsid w:val="000611D0"/>
    <w:rsid w:val="00061718"/>
    <w:rsid w:val="00062610"/>
    <w:rsid w:val="00062620"/>
    <w:rsid w:val="000627BB"/>
    <w:rsid w:val="00062888"/>
    <w:rsid w:val="000628F2"/>
    <w:rsid w:val="000628F9"/>
    <w:rsid w:val="00062EB8"/>
    <w:rsid w:val="0006306D"/>
    <w:rsid w:val="0006328D"/>
    <w:rsid w:val="0006356D"/>
    <w:rsid w:val="000636BA"/>
    <w:rsid w:val="000636F1"/>
    <w:rsid w:val="00063721"/>
    <w:rsid w:val="00063788"/>
    <w:rsid w:val="00063C1D"/>
    <w:rsid w:val="000649FB"/>
    <w:rsid w:val="00064DB7"/>
    <w:rsid w:val="00065082"/>
    <w:rsid w:val="000659AE"/>
    <w:rsid w:val="000659B2"/>
    <w:rsid w:val="00065DD9"/>
    <w:rsid w:val="00065EDB"/>
    <w:rsid w:val="000660FE"/>
    <w:rsid w:val="000661CB"/>
    <w:rsid w:val="0006628E"/>
    <w:rsid w:val="000669F7"/>
    <w:rsid w:val="00066B0B"/>
    <w:rsid w:val="00066F49"/>
    <w:rsid w:val="00067270"/>
    <w:rsid w:val="000678E3"/>
    <w:rsid w:val="00067C5A"/>
    <w:rsid w:val="00070B0A"/>
    <w:rsid w:val="00070D92"/>
    <w:rsid w:val="00071325"/>
    <w:rsid w:val="00071486"/>
    <w:rsid w:val="00071E9A"/>
    <w:rsid w:val="00072529"/>
    <w:rsid w:val="00072782"/>
    <w:rsid w:val="00072BF1"/>
    <w:rsid w:val="00072C0F"/>
    <w:rsid w:val="00073141"/>
    <w:rsid w:val="00073DAF"/>
    <w:rsid w:val="00074A54"/>
    <w:rsid w:val="00074E15"/>
    <w:rsid w:val="00075214"/>
    <w:rsid w:val="00075560"/>
    <w:rsid w:val="00075D5F"/>
    <w:rsid w:val="00076E9D"/>
    <w:rsid w:val="00076FC8"/>
    <w:rsid w:val="00077217"/>
    <w:rsid w:val="000772B6"/>
    <w:rsid w:val="0007743B"/>
    <w:rsid w:val="00077441"/>
    <w:rsid w:val="000776F8"/>
    <w:rsid w:val="000776FD"/>
    <w:rsid w:val="0007790C"/>
    <w:rsid w:val="00077936"/>
    <w:rsid w:val="00077B6B"/>
    <w:rsid w:val="00077DE7"/>
    <w:rsid w:val="00080646"/>
    <w:rsid w:val="00080A14"/>
    <w:rsid w:val="00081146"/>
    <w:rsid w:val="000812B3"/>
    <w:rsid w:val="00081461"/>
    <w:rsid w:val="000818CE"/>
    <w:rsid w:val="00081978"/>
    <w:rsid w:val="00081B38"/>
    <w:rsid w:val="00081E10"/>
    <w:rsid w:val="0008245F"/>
    <w:rsid w:val="00082569"/>
    <w:rsid w:val="00082DA7"/>
    <w:rsid w:val="00082E94"/>
    <w:rsid w:val="00083444"/>
    <w:rsid w:val="00083461"/>
    <w:rsid w:val="00083641"/>
    <w:rsid w:val="00083701"/>
    <w:rsid w:val="00083B98"/>
    <w:rsid w:val="00083DF4"/>
    <w:rsid w:val="00083E07"/>
    <w:rsid w:val="00083FE6"/>
    <w:rsid w:val="0008414A"/>
    <w:rsid w:val="0008415A"/>
    <w:rsid w:val="000849AC"/>
    <w:rsid w:val="00084A77"/>
    <w:rsid w:val="00084ABD"/>
    <w:rsid w:val="00084B90"/>
    <w:rsid w:val="00084E7F"/>
    <w:rsid w:val="0008553A"/>
    <w:rsid w:val="00085840"/>
    <w:rsid w:val="00085FDD"/>
    <w:rsid w:val="00086166"/>
    <w:rsid w:val="00086311"/>
    <w:rsid w:val="0008658A"/>
    <w:rsid w:val="000865A3"/>
    <w:rsid w:val="000865D8"/>
    <w:rsid w:val="000867EB"/>
    <w:rsid w:val="000867EC"/>
    <w:rsid w:val="0008689D"/>
    <w:rsid w:val="0008697D"/>
    <w:rsid w:val="00086FE0"/>
    <w:rsid w:val="000872A3"/>
    <w:rsid w:val="00087406"/>
    <w:rsid w:val="000874E1"/>
    <w:rsid w:val="0008755D"/>
    <w:rsid w:val="00087941"/>
    <w:rsid w:val="00087D0A"/>
    <w:rsid w:val="00087EB6"/>
    <w:rsid w:val="0009025B"/>
    <w:rsid w:val="00090282"/>
    <w:rsid w:val="000905D5"/>
    <w:rsid w:val="00090834"/>
    <w:rsid w:val="00090AC0"/>
    <w:rsid w:val="00090B79"/>
    <w:rsid w:val="00090D09"/>
    <w:rsid w:val="00090E14"/>
    <w:rsid w:val="00091046"/>
    <w:rsid w:val="0009177A"/>
    <w:rsid w:val="00091796"/>
    <w:rsid w:val="00091A74"/>
    <w:rsid w:val="000920C6"/>
    <w:rsid w:val="00092A79"/>
    <w:rsid w:val="00092FAB"/>
    <w:rsid w:val="00093501"/>
    <w:rsid w:val="00093525"/>
    <w:rsid w:val="00093A7D"/>
    <w:rsid w:val="00093DA2"/>
    <w:rsid w:val="00093E31"/>
    <w:rsid w:val="00093EE9"/>
    <w:rsid w:val="0009472E"/>
    <w:rsid w:val="00094889"/>
    <w:rsid w:val="00094CDB"/>
    <w:rsid w:val="00094FCB"/>
    <w:rsid w:val="00094FFA"/>
    <w:rsid w:val="000950B6"/>
    <w:rsid w:val="0009529C"/>
    <w:rsid w:val="00095302"/>
    <w:rsid w:val="00095C12"/>
    <w:rsid w:val="00095C63"/>
    <w:rsid w:val="000963D2"/>
    <w:rsid w:val="0009666E"/>
    <w:rsid w:val="00096A2F"/>
    <w:rsid w:val="00097430"/>
    <w:rsid w:val="0009760C"/>
    <w:rsid w:val="000978DE"/>
    <w:rsid w:val="00097998"/>
    <w:rsid w:val="00097DD3"/>
    <w:rsid w:val="000A0190"/>
    <w:rsid w:val="000A0244"/>
    <w:rsid w:val="000A1040"/>
    <w:rsid w:val="000A1077"/>
    <w:rsid w:val="000A13EF"/>
    <w:rsid w:val="000A15CE"/>
    <w:rsid w:val="000A17D4"/>
    <w:rsid w:val="000A1995"/>
    <w:rsid w:val="000A1A54"/>
    <w:rsid w:val="000A209E"/>
    <w:rsid w:val="000A2251"/>
    <w:rsid w:val="000A29B4"/>
    <w:rsid w:val="000A2A82"/>
    <w:rsid w:val="000A3040"/>
    <w:rsid w:val="000A3225"/>
    <w:rsid w:val="000A3FB4"/>
    <w:rsid w:val="000A46F7"/>
    <w:rsid w:val="000A49B8"/>
    <w:rsid w:val="000A5086"/>
    <w:rsid w:val="000A51A7"/>
    <w:rsid w:val="000A58F7"/>
    <w:rsid w:val="000A599D"/>
    <w:rsid w:val="000A5E18"/>
    <w:rsid w:val="000A6244"/>
    <w:rsid w:val="000A65F0"/>
    <w:rsid w:val="000A67AA"/>
    <w:rsid w:val="000A699F"/>
    <w:rsid w:val="000A6BB2"/>
    <w:rsid w:val="000A7050"/>
    <w:rsid w:val="000A77D4"/>
    <w:rsid w:val="000A77F5"/>
    <w:rsid w:val="000A78DE"/>
    <w:rsid w:val="000A7968"/>
    <w:rsid w:val="000A7996"/>
    <w:rsid w:val="000A7C47"/>
    <w:rsid w:val="000A7E3B"/>
    <w:rsid w:val="000B0397"/>
    <w:rsid w:val="000B0612"/>
    <w:rsid w:val="000B0818"/>
    <w:rsid w:val="000B0A04"/>
    <w:rsid w:val="000B0BA8"/>
    <w:rsid w:val="000B0C9B"/>
    <w:rsid w:val="000B0DDE"/>
    <w:rsid w:val="000B0DF1"/>
    <w:rsid w:val="000B13C6"/>
    <w:rsid w:val="000B13F2"/>
    <w:rsid w:val="000B14BB"/>
    <w:rsid w:val="000B1D70"/>
    <w:rsid w:val="000B1F70"/>
    <w:rsid w:val="000B20BF"/>
    <w:rsid w:val="000B219E"/>
    <w:rsid w:val="000B22D2"/>
    <w:rsid w:val="000B243F"/>
    <w:rsid w:val="000B269D"/>
    <w:rsid w:val="000B279E"/>
    <w:rsid w:val="000B27B4"/>
    <w:rsid w:val="000B2AA0"/>
    <w:rsid w:val="000B3245"/>
    <w:rsid w:val="000B3631"/>
    <w:rsid w:val="000B374A"/>
    <w:rsid w:val="000B38C4"/>
    <w:rsid w:val="000B3FF3"/>
    <w:rsid w:val="000B4927"/>
    <w:rsid w:val="000B5939"/>
    <w:rsid w:val="000B5A92"/>
    <w:rsid w:val="000B5ABD"/>
    <w:rsid w:val="000B5B90"/>
    <w:rsid w:val="000B69BE"/>
    <w:rsid w:val="000B6BB7"/>
    <w:rsid w:val="000B6DE6"/>
    <w:rsid w:val="000B6F7B"/>
    <w:rsid w:val="000B6FDB"/>
    <w:rsid w:val="000B73C0"/>
    <w:rsid w:val="000B7741"/>
    <w:rsid w:val="000B78C7"/>
    <w:rsid w:val="000B7A5A"/>
    <w:rsid w:val="000B7C4D"/>
    <w:rsid w:val="000B7C6C"/>
    <w:rsid w:val="000C01FE"/>
    <w:rsid w:val="000C057A"/>
    <w:rsid w:val="000C0B28"/>
    <w:rsid w:val="000C0B76"/>
    <w:rsid w:val="000C0C72"/>
    <w:rsid w:val="000C0CB9"/>
    <w:rsid w:val="000C109E"/>
    <w:rsid w:val="000C1202"/>
    <w:rsid w:val="000C12A6"/>
    <w:rsid w:val="000C14E2"/>
    <w:rsid w:val="000C1BE9"/>
    <w:rsid w:val="000C2452"/>
    <w:rsid w:val="000C2460"/>
    <w:rsid w:val="000C2E43"/>
    <w:rsid w:val="000C2F52"/>
    <w:rsid w:val="000C2FE8"/>
    <w:rsid w:val="000C33D6"/>
    <w:rsid w:val="000C35EF"/>
    <w:rsid w:val="000C3BC2"/>
    <w:rsid w:val="000C3CD9"/>
    <w:rsid w:val="000C4241"/>
    <w:rsid w:val="000C4277"/>
    <w:rsid w:val="000C4532"/>
    <w:rsid w:val="000C459D"/>
    <w:rsid w:val="000C46E8"/>
    <w:rsid w:val="000C4713"/>
    <w:rsid w:val="000C4B93"/>
    <w:rsid w:val="000C4DFE"/>
    <w:rsid w:val="000C4ECE"/>
    <w:rsid w:val="000C501E"/>
    <w:rsid w:val="000C57DC"/>
    <w:rsid w:val="000C5950"/>
    <w:rsid w:val="000C5D40"/>
    <w:rsid w:val="000C5DF7"/>
    <w:rsid w:val="000C6045"/>
    <w:rsid w:val="000C62F4"/>
    <w:rsid w:val="000C66D1"/>
    <w:rsid w:val="000C6A25"/>
    <w:rsid w:val="000C6A4B"/>
    <w:rsid w:val="000C6AB9"/>
    <w:rsid w:val="000C6CE5"/>
    <w:rsid w:val="000C71BC"/>
    <w:rsid w:val="000D01D6"/>
    <w:rsid w:val="000D0A05"/>
    <w:rsid w:val="000D0E71"/>
    <w:rsid w:val="000D0F73"/>
    <w:rsid w:val="000D12AA"/>
    <w:rsid w:val="000D1383"/>
    <w:rsid w:val="000D1495"/>
    <w:rsid w:val="000D167E"/>
    <w:rsid w:val="000D1CA5"/>
    <w:rsid w:val="000D1D87"/>
    <w:rsid w:val="000D1EDB"/>
    <w:rsid w:val="000D2537"/>
    <w:rsid w:val="000D2655"/>
    <w:rsid w:val="000D289E"/>
    <w:rsid w:val="000D2AB2"/>
    <w:rsid w:val="000D2DF0"/>
    <w:rsid w:val="000D3517"/>
    <w:rsid w:val="000D3730"/>
    <w:rsid w:val="000D396F"/>
    <w:rsid w:val="000D3D26"/>
    <w:rsid w:val="000D401C"/>
    <w:rsid w:val="000D4276"/>
    <w:rsid w:val="000D47E2"/>
    <w:rsid w:val="000D4D72"/>
    <w:rsid w:val="000D4E9A"/>
    <w:rsid w:val="000D50EE"/>
    <w:rsid w:val="000D520E"/>
    <w:rsid w:val="000D57D3"/>
    <w:rsid w:val="000D5879"/>
    <w:rsid w:val="000D5C33"/>
    <w:rsid w:val="000D5F77"/>
    <w:rsid w:val="000D62F9"/>
    <w:rsid w:val="000D70BF"/>
    <w:rsid w:val="000D710F"/>
    <w:rsid w:val="000D7396"/>
    <w:rsid w:val="000E020C"/>
    <w:rsid w:val="000E02DC"/>
    <w:rsid w:val="000E071F"/>
    <w:rsid w:val="000E07CB"/>
    <w:rsid w:val="000E0853"/>
    <w:rsid w:val="000E0BA2"/>
    <w:rsid w:val="000E0BDD"/>
    <w:rsid w:val="000E0C1A"/>
    <w:rsid w:val="000E0DE1"/>
    <w:rsid w:val="000E1130"/>
    <w:rsid w:val="000E1151"/>
    <w:rsid w:val="000E1A8F"/>
    <w:rsid w:val="000E1E67"/>
    <w:rsid w:val="000E1F8D"/>
    <w:rsid w:val="000E23D6"/>
    <w:rsid w:val="000E2639"/>
    <w:rsid w:val="000E2809"/>
    <w:rsid w:val="000E2883"/>
    <w:rsid w:val="000E2C37"/>
    <w:rsid w:val="000E2F6E"/>
    <w:rsid w:val="000E3171"/>
    <w:rsid w:val="000E34D2"/>
    <w:rsid w:val="000E356C"/>
    <w:rsid w:val="000E3BDD"/>
    <w:rsid w:val="000E478A"/>
    <w:rsid w:val="000E490E"/>
    <w:rsid w:val="000E4EAD"/>
    <w:rsid w:val="000E4F99"/>
    <w:rsid w:val="000E5003"/>
    <w:rsid w:val="000E5017"/>
    <w:rsid w:val="000E5139"/>
    <w:rsid w:val="000E59C4"/>
    <w:rsid w:val="000E5BA3"/>
    <w:rsid w:val="000E5C49"/>
    <w:rsid w:val="000E6003"/>
    <w:rsid w:val="000E65FC"/>
    <w:rsid w:val="000E6A13"/>
    <w:rsid w:val="000E724B"/>
    <w:rsid w:val="000E78CE"/>
    <w:rsid w:val="000E7EEF"/>
    <w:rsid w:val="000F025C"/>
    <w:rsid w:val="000F0416"/>
    <w:rsid w:val="000F0499"/>
    <w:rsid w:val="000F07BB"/>
    <w:rsid w:val="000F0959"/>
    <w:rsid w:val="000F11EC"/>
    <w:rsid w:val="000F1844"/>
    <w:rsid w:val="000F1AB7"/>
    <w:rsid w:val="000F1B4D"/>
    <w:rsid w:val="000F1E51"/>
    <w:rsid w:val="000F206F"/>
    <w:rsid w:val="000F2148"/>
    <w:rsid w:val="000F24D1"/>
    <w:rsid w:val="000F3355"/>
    <w:rsid w:val="000F346E"/>
    <w:rsid w:val="000F3994"/>
    <w:rsid w:val="000F3A44"/>
    <w:rsid w:val="000F3AFA"/>
    <w:rsid w:val="000F3F30"/>
    <w:rsid w:val="000F420B"/>
    <w:rsid w:val="000F486C"/>
    <w:rsid w:val="000F4A3E"/>
    <w:rsid w:val="000F4DBD"/>
    <w:rsid w:val="000F5149"/>
    <w:rsid w:val="000F57F3"/>
    <w:rsid w:val="000F590D"/>
    <w:rsid w:val="000F5953"/>
    <w:rsid w:val="000F5959"/>
    <w:rsid w:val="000F5BF4"/>
    <w:rsid w:val="000F6229"/>
    <w:rsid w:val="000F65ED"/>
    <w:rsid w:val="000F6899"/>
    <w:rsid w:val="000F6BAE"/>
    <w:rsid w:val="000F6FC5"/>
    <w:rsid w:val="000F712A"/>
    <w:rsid w:val="000F730C"/>
    <w:rsid w:val="000F7C8C"/>
    <w:rsid w:val="000F7D1C"/>
    <w:rsid w:val="00100059"/>
    <w:rsid w:val="001004B9"/>
    <w:rsid w:val="00100B1C"/>
    <w:rsid w:val="00100CA5"/>
    <w:rsid w:val="00100CDC"/>
    <w:rsid w:val="00101180"/>
    <w:rsid w:val="001016CF"/>
    <w:rsid w:val="00101B5B"/>
    <w:rsid w:val="00101E0F"/>
    <w:rsid w:val="00102B6E"/>
    <w:rsid w:val="00103167"/>
    <w:rsid w:val="00103571"/>
    <w:rsid w:val="00103748"/>
    <w:rsid w:val="00103825"/>
    <w:rsid w:val="0010397E"/>
    <w:rsid w:val="00103BB1"/>
    <w:rsid w:val="00104114"/>
    <w:rsid w:val="00104C41"/>
    <w:rsid w:val="001054EA"/>
    <w:rsid w:val="001054FF"/>
    <w:rsid w:val="00105681"/>
    <w:rsid w:val="00105D67"/>
    <w:rsid w:val="0010601E"/>
    <w:rsid w:val="001060C1"/>
    <w:rsid w:val="00106819"/>
    <w:rsid w:val="00106AA0"/>
    <w:rsid w:val="00106AA6"/>
    <w:rsid w:val="00106CCF"/>
    <w:rsid w:val="00107371"/>
    <w:rsid w:val="001075AC"/>
    <w:rsid w:val="001077FB"/>
    <w:rsid w:val="0010780F"/>
    <w:rsid w:val="00107AD7"/>
    <w:rsid w:val="00107ADB"/>
    <w:rsid w:val="00107C2C"/>
    <w:rsid w:val="00107D93"/>
    <w:rsid w:val="0011006C"/>
    <w:rsid w:val="001100E3"/>
    <w:rsid w:val="001102C0"/>
    <w:rsid w:val="001102C9"/>
    <w:rsid w:val="001108BC"/>
    <w:rsid w:val="00110B94"/>
    <w:rsid w:val="0011127A"/>
    <w:rsid w:val="0011136E"/>
    <w:rsid w:val="0011141D"/>
    <w:rsid w:val="0011169D"/>
    <w:rsid w:val="0011171F"/>
    <w:rsid w:val="00111B89"/>
    <w:rsid w:val="00111BE9"/>
    <w:rsid w:val="00111C6E"/>
    <w:rsid w:val="00111C76"/>
    <w:rsid w:val="00111EAE"/>
    <w:rsid w:val="0011218F"/>
    <w:rsid w:val="0011286C"/>
    <w:rsid w:val="00112D76"/>
    <w:rsid w:val="00112D9A"/>
    <w:rsid w:val="00112F43"/>
    <w:rsid w:val="00113538"/>
    <w:rsid w:val="00113A84"/>
    <w:rsid w:val="001142B1"/>
    <w:rsid w:val="00114A79"/>
    <w:rsid w:val="00114C85"/>
    <w:rsid w:val="00115487"/>
    <w:rsid w:val="00115FDF"/>
    <w:rsid w:val="00116189"/>
    <w:rsid w:val="0011629C"/>
    <w:rsid w:val="001162E5"/>
    <w:rsid w:val="0011640F"/>
    <w:rsid w:val="00116562"/>
    <w:rsid w:val="00117189"/>
    <w:rsid w:val="001171F7"/>
    <w:rsid w:val="00117ADC"/>
    <w:rsid w:val="00117DA7"/>
    <w:rsid w:val="00117DBE"/>
    <w:rsid w:val="00117F6F"/>
    <w:rsid w:val="00120CDF"/>
    <w:rsid w:val="00121556"/>
    <w:rsid w:val="00121774"/>
    <w:rsid w:val="00121A97"/>
    <w:rsid w:val="00121AB8"/>
    <w:rsid w:val="00121F20"/>
    <w:rsid w:val="00121FF1"/>
    <w:rsid w:val="001225C1"/>
    <w:rsid w:val="001229AB"/>
    <w:rsid w:val="00122E71"/>
    <w:rsid w:val="001232DA"/>
    <w:rsid w:val="00123799"/>
    <w:rsid w:val="001238A5"/>
    <w:rsid w:val="00123BD4"/>
    <w:rsid w:val="00123C2D"/>
    <w:rsid w:val="00123EC7"/>
    <w:rsid w:val="001247B0"/>
    <w:rsid w:val="00124BBD"/>
    <w:rsid w:val="00124F8A"/>
    <w:rsid w:val="001253A1"/>
    <w:rsid w:val="00125C2A"/>
    <w:rsid w:val="001265EE"/>
    <w:rsid w:val="00126E45"/>
    <w:rsid w:val="00126F7F"/>
    <w:rsid w:val="0012715C"/>
    <w:rsid w:val="001274E6"/>
    <w:rsid w:val="001275B8"/>
    <w:rsid w:val="001276F9"/>
    <w:rsid w:val="00127AAF"/>
    <w:rsid w:val="00127EA6"/>
    <w:rsid w:val="00130A7B"/>
    <w:rsid w:val="00130AB5"/>
    <w:rsid w:val="00130BDF"/>
    <w:rsid w:val="00130BF4"/>
    <w:rsid w:val="00130D61"/>
    <w:rsid w:val="00131084"/>
    <w:rsid w:val="001314BA"/>
    <w:rsid w:val="00131528"/>
    <w:rsid w:val="00131AB1"/>
    <w:rsid w:val="00131AF5"/>
    <w:rsid w:val="00131E5D"/>
    <w:rsid w:val="00132B80"/>
    <w:rsid w:val="00132BEB"/>
    <w:rsid w:val="0013330F"/>
    <w:rsid w:val="0013399F"/>
    <w:rsid w:val="001345C2"/>
    <w:rsid w:val="00134A4A"/>
    <w:rsid w:val="00134B60"/>
    <w:rsid w:val="001357E2"/>
    <w:rsid w:val="00135E78"/>
    <w:rsid w:val="0013600B"/>
    <w:rsid w:val="001361BB"/>
    <w:rsid w:val="001362AC"/>
    <w:rsid w:val="001365A3"/>
    <w:rsid w:val="001365F7"/>
    <w:rsid w:val="0013666A"/>
    <w:rsid w:val="001369FE"/>
    <w:rsid w:val="001370B3"/>
    <w:rsid w:val="001377C4"/>
    <w:rsid w:val="001379FF"/>
    <w:rsid w:val="00137B4C"/>
    <w:rsid w:val="00137FCF"/>
    <w:rsid w:val="0014000C"/>
    <w:rsid w:val="001405F6"/>
    <w:rsid w:val="001407DB"/>
    <w:rsid w:val="00141375"/>
    <w:rsid w:val="00141507"/>
    <w:rsid w:val="0014211F"/>
    <w:rsid w:val="001421FB"/>
    <w:rsid w:val="001426A4"/>
    <w:rsid w:val="00142A56"/>
    <w:rsid w:val="00142FCE"/>
    <w:rsid w:val="00143D2C"/>
    <w:rsid w:val="00143D7E"/>
    <w:rsid w:val="00144019"/>
    <w:rsid w:val="00145447"/>
    <w:rsid w:val="001454C3"/>
    <w:rsid w:val="00145615"/>
    <w:rsid w:val="0014566B"/>
    <w:rsid w:val="00146177"/>
    <w:rsid w:val="00146200"/>
    <w:rsid w:val="001469AB"/>
    <w:rsid w:val="00146DF1"/>
    <w:rsid w:val="00146F98"/>
    <w:rsid w:val="00146FAA"/>
    <w:rsid w:val="001474ED"/>
    <w:rsid w:val="0014773F"/>
    <w:rsid w:val="00147D49"/>
    <w:rsid w:val="00150728"/>
    <w:rsid w:val="00150A3B"/>
    <w:rsid w:val="00150ABF"/>
    <w:rsid w:val="0015171B"/>
    <w:rsid w:val="00151A12"/>
    <w:rsid w:val="00151B90"/>
    <w:rsid w:val="00151BAB"/>
    <w:rsid w:val="00151D22"/>
    <w:rsid w:val="00151D3C"/>
    <w:rsid w:val="00151F3F"/>
    <w:rsid w:val="001521EB"/>
    <w:rsid w:val="00152216"/>
    <w:rsid w:val="001523B9"/>
    <w:rsid w:val="00152808"/>
    <w:rsid w:val="00152A5F"/>
    <w:rsid w:val="00152CD9"/>
    <w:rsid w:val="00152D9B"/>
    <w:rsid w:val="00152D9D"/>
    <w:rsid w:val="0015325F"/>
    <w:rsid w:val="00153954"/>
    <w:rsid w:val="00153A07"/>
    <w:rsid w:val="00153A1D"/>
    <w:rsid w:val="00153B2A"/>
    <w:rsid w:val="00153DF4"/>
    <w:rsid w:val="001541CA"/>
    <w:rsid w:val="001547B1"/>
    <w:rsid w:val="001548C2"/>
    <w:rsid w:val="00154BEB"/>
    <w:rsid w:val="00154D47"/>
    <w:rsid w:val="001550E0"/>
    <w:rsid w:val="00155455"/>
    <w:rsid w:val="001555C2"/>
    <w:rsid w:val="00155B34"/>
    <w:rsid w:val="00155D74"/>
    <w:rsid w:val="00155F44"/>
    <w:rsid w:val="00156070"/>
    <w:rsid w:val="001560A5"/>
    <w:rsid w:val="0015639A"/>
    <w:rsid w:val="0015659A"/>
    <w:rsid w:val="00156842"/>
    <w:rsid w:val="001569E7"/>
    <w:rsid w:val="00156BD2"/>
    <w:rsid w:val="00156EFF"/>
    <w:rsid w:val="00156F5D"/>
    <w:rsid w:val="001570CE"/>
    <w:rsid w:val="00157129"/>
    <w:rsid w:val="0015732F"/>
    <w:rsid w:val="001577C9"/>
    <w:rsid w:val="00157B97"/>
    <w:rsid w:val="00157CC4"/>
    <w:rsid w:val="00157DC7"/>
    <w:rsid w:val="00160B01"/>
    <w:rsid w:val="00160C43"/>
    <w:rsid w:val="00160CC4"/>
    <w:rsid w:val="0016114C"/>
    <w:rsid w:val="0016180A"/>
    <w:rsid w:val="00161943"/>
    <w:rsid w:val="00161BDF"/>
    <w:rsid w:val="00161CCD"/>
    <w:rsid w:val="00161EDA"/>
    <w:rsid w:val="00161F97"/>
    <w:rsid w:val="00161FBC"/>
    <w:rsid w:val="00161FC9"/>
    <w:rsid w:val="00162CB0"/>
    <w:rsid w:val="001630E2"/>
    <w:rsid w:val="00163A90"/>
    <w:rsid w:val="001642E3"/>
    <w:rsid w:val="001645C4"/>
    <w:rsid w:val="00164670"/>
    <w:rsid w:val="00164881"/>
    <w:rsid w:val="00164AA6"/>
    <w:rsid w:val="00164ADA"/>
    <w:rsid w:val="00164FF5"/>
    <w:rsid w:val="001650D3"/>
    <w:rsid w:val="001651C6"/>
    <w:rsid w:val="00165326"/>
    <w:rsid w:val="0016538A"/>
    <w:rsid w:val="0016539F"/>
    <w:rsid w:val="00165FA5"/>
    <w:rsid w:val="00166282"/>
    <w:rsid w:val="0016637E"/>
    <w:rsid w:val="00166565"/>
    <w:rsid w:val="00167804"/>
    <w:rsid w:val="00167870"/>
    <w:rsid w:val="001678B6"/>
    <w:rsid w:val="00167E7D"/>
    <w:rsid w:val="001701D4"/>
    <w:rsid w:val="0017023F"/>
    <w:rsid w:val="001703E3"/>
    <w:rsid w:val="00170839"/>
    <w:rsid w:val="00170DF7"/>
    <w:rsid w:val="001711C8"/>
    <w:rsid w:val="00171282"/>
    <w:rsid w:val="001712AD"/>
    <w:rsid w:val="00171539"/>
    <w:rsid w:val="001715D1"/>
    <w:rsid w:val="00171961"/>
    <w:rsid w:val="00172151"/>
    <w:rsid w:val="00172265"/>
    <w:rsid w:val="001723D0"/>
    <w:rsid w:val="00172655"/>
    <w:rsid w:val="00172828"/>
    <w:rsid w:val="00172A27"/>
    <w:rsid w:val="00172F54"/>
    <w:rsid w:val="00172FD5"/>
    <w:rsid w:val="0017340F"/>
    <w:rsid w:val="0017345C"/>
    <w:rsid w:val="00173837"/>
    <w:rsid w:val="00173AF9"/>
    <w:rsid w:val="0017404E"/>
    <w:rsid w:val="00174295"/>
    <w:rsid w:val="0017456F"/>
    <w:rsid w:val="001745E3"/>
    <w:rsid w:val="00174651"/>
    <w:rsid w:val="00174896"/>
    <w:rsid w:val="00174C43"/>
    <w:rsid w:val="00175152"/>
    <w:rsid w:val="00175191"/>
    <w:rsid w:val="0017536D"/>
    <w:rsid w:val="00175472"/>
    <w:rsid w:val="00175C4F"/>
    <w:rsid w:val="00175CFE"/>
    <w:rsid w:val="00176914"/>
    <w:rsid w:val="00176B20"/>
    <w:rsid w:val="001778D5"/>
    <w:rsid w:val="00177B92"/>
    <w:rsid w:val="00177DB0"/>
    <w:rsid w:val="00180248"/>
    <w:rsid w:val="00180929"/>
    <w:rsid w:val="0018108A"/>
    <w:rsid w:val="001810EF"/>
    <w:rsid w:val="0018114C"/>
    <w:rsid w:val="00181188"/>
    <w:rsid w:val="00181440"/>
    <w:rsid w:val="001816EA"/>
    <w:rsid w:val="00182545"/>
    <w:rsid w:val="001826A5"/>
    <w:rsid w:val="00182CAE"/>
    <w:rsid w:val="00183240"/>
    <w:rsid w:val="001833E5"/>
    <w:rsid w:val="001834D7"/>
    <w:rsid w:val="00183784"/>
    <w:rsid w:val="001837DE"/>
    <w:rsid w:val="00183BCD"/>
    <w:rsid w:val="00184514"/>
    <w:rsid w:val="00184836"/>
    <w:rsid w:val="0018512D"/>
    <w:rsid w:val="001851F1"/>
    <w:rsid w:val="00185AAD"/>
    <w:rsid w:val="00185C07"/>
    <w:rsid w:val="0018612A"/>
    <w:rsid w:val="0018628E"/>
    <w:rsid w:val="00186405"/>
    <w:rsid w:val="00186CB4"/>
    <w:rsid w:val="00186ED3"/>
    <w:rsid w:val="0018710E"/>
    <w:rsid w:val="001877BF"/>
    <w:rsid w:val="00187EED"/>
    <w:rsid w:val="00187F08"/>
    <w:rsid w:val="00190421"/>
    <w:rsid w:val="001904E6"/>
    <w:rsid w:val="00190D54"/>
    <w:rsid w:val="00190F6B"/>
    <w:rsid w:val="001910FB"/>
    <w:rsid w:val="00191390"/>
    <w:rsid w:val="00191395"/>
    <w:rsid w:val="001917FC"/>
    <w:rsid w:val="0019222D"/>
    <w:rsid w:val="001924E5"/>
    <w:rsid w:val="0019362A"/>
    <w:rsid w:val="00193677"/>
    <w:rsid w:val="00193939"/>
    <w:rsid w:val="00193A75"/>
    <w:rsid w:val="00193B35"/>
    <w:rsid w:val="00193F49"/>
    <w:rsid w:val="00194B8A"/>
    <w:rsid w:val="00194C98"/>
    <w:rsid w:val="00194D3F"/>
    <w:rsid w:val="00194DD5"/>
    <w:rsid w:val="00194EF8"/>
    <w:rsid w:val="00194F52"/>
    <w:rsid w:val="00194F6E"/>
    <w:rsid w:val="0019506C"/>
    <w:rsid w:val="001951CF"/>
    <w:rsid w:val="00195313"/>
    <w:rsid w:val="00195338"/>
    <w:rsid w:val="0019535D"/>
    <w:rsid w:val="0019535E"/>
    <w:rsid w:val="001956FA"/>
    <w:rsid w:val="00195EAD"/>
    <w:rsid w:val="0019622B"/>
    <w:rsid w:val="001965E7"/>
    <w:rsid w:val="00196BD9"/>
    <w:rsid w:val="00196DB5"/>
    <w:rsid w:val="00196DE2"/>
    <w:rsid w:val="00196E1B"/>
    <w:rsid w:val="00197079"/>
    <w:rsid w:val="00197162"/>
    <w:rsid w:val="00197AEB"/>
    <w:rsid w:val="00197BB9"/>
    <w:rsid w:val="00197C2C"/>
    <w:rsid w:val="00197C57"/>
    <w:rsid w:val="001A00CE"/>
    <w:rsid w:val="001A075A"/>
    <w:rsid w:val="001A0867"/>
    <w:rsid w:val="001A091F"/>
    <w:rsid w:val="001A0939"/>
    <w:rsid w:val="001A0F93"/>
    <w:rsid w:val="001A13D6"/>
    <w:rsid w:val="001A15A7"/>
    <w:rsid w:val="001A1909"/>
    <w:rsid w:val="001A1990"/>
    <w:rsid w:val="001A1A12"/>
    <w:rsid w:val="001A23B9"/>
    <w:rsid w:val="001A26C2"/>
    <w:rsid w:val="001A28A6"/>
    <w:rsid w:val="001A2D34"/>
    <w:rsid w:val="001A2D85"/>
    <w:rsid w:val="001A361D"/>
    <w:rsid w:val="001A3845"/>
    <w:rsid w:val="001A3951"/>
    <w:rsid w:val="001A395B"/>
    <w:rsid w:val="001A4263"/>
    <w:rsid w:val="001A4283"/>
    <w:rsid w:val="001A434A"/>
    <w:rsid w:val="001A4352"/>
    <w:rsid w:val="001A439C"/>
    <w:rsid w:val="001A46E0"/>
    <w:rsid w:val="001A485F"/>
    <w:rsid w:val="001A4B8D"/>
    <w:rsid w:val="001A57CC"/>
    <w:rsid w:val="001A581A"/>
    <w:rsid w:val="001A5B1F"/>
    <w:rsid w:val="001A6269"/>
    <w:rsid w:val="001A634C"/>
    <w:rsid w:val="001A6547"/>
    <w:rsid w:val="001A65E2"/>
    <w:rsid w:val="001A6FAB"/>
    <w:rsid w:val="001A79B2"/>
    <w:rsid w:val="001A7A45"/>
    <w:rsid w:val="001B00A7"/>
    <w:rsid w:val="001B0165"/>
    <w:rsid w:val="001B02A8"/>
    <w:rsid w:val="001B05DD"/>
    <w:rsid w:val="001B09AA"/>
    <w:rsid w:val="001B0E5D"/>
    <w:rsid w:val="001B0EFB"/>
    <w:rsid w:val="001B10FB"/>
    <w:rsid w:val="001B116B"/>
    <w:rsid w:val="001B1286"/>
    <w:rsid w:val="001B13AF"/>
    <w:rsid w:val="001B1560"/>
    <w:rsid w:val="001B160A"/>
    <w:rsid w:val="001B1831"/>
    <w:rsid w:val="001B19C8"/>
    <w:rsid w:val="001B1FBE"/>
    <w:rsid w:val="001B21BA"/>
    <w:rsid w:val="001B247A"/>
    <w:rsid w:val="001B2600"/>
    <w:rsid w:val="001B2D35"/>
    <w:rsid w:val="001B2EA7"/>
    <w:rsid w:val="001B2F24"/>
    <w:rsid w:val="001B337C"/>
    <w:rsid w:val="001B35E2"/>
    <w:rsid w:val="001B4149"/>
    <w:rsid w:val="001B4589"/>
    <w:rsid w:val="001B46B6"/>
    <w:rsid w:val="001B4856"/>
    <w:rsid w:val="001B4E4A"/>
    <w:rsid w:val="001B4FC2"/>
    <w:rsid w:val="001B5DE3"/>
    <w:rsid w:val="001B6A4D"/>
    <w:rsid w:val="001B6B0F"/>
    <w:rsid w:val="001B6BF1"/>
    <w:rsid w:val="001B6C7F"/>
    <w:rsid w:val="001B6CE2"/>
    <w:rsid w:val="001B6D55"/>
    <w:rsid w:val="001B6D84"/>
    <w:rsid w:val="001B75A1"/>
    <w:rsid w:val="001B76C9"/>
    <w:rsid w:val="001B7C5C"/>
    <w:rsid w:val="001B7FA4"/>
    <w:rsid w:val="001B7FCB"/>
    <w:rsid w:val="001B7FE1"/>
    <w:rsid w:val="001C026F"/>
    <w:rsid w:val="001C0344"/>
    <w:rsid w:val="001C03E4"/>
    <w:rsid w:val="001C0941"/>
    <w:rsid w:val="001C0E89"/>
    <w:rsid w:val="001C1353"/>
    <w:rsid w:val="001C1758"/>
    <w:rsid w:val="001C1B46"/>
    <w:rsid w:val="001C2644"/>
    <w:rsid w:val="001C26A5"/>
    <w:rsid w:val="001C26AB"/>
    <w:rsid w:val="001C280E"/>
    <w:rsid w:val="001C2CE1"/>
    <w:rsid w:val="001C33F2"/>
    <w:rsid w:val="001C3641"/>
    <w:rsid w:val="001C3963"/>
    <w:rsid w:val="001C400B"/>
    <w:rsid w:val="001C435B"/>
    <w:rsid w:val="001C4786"/>
    <w:rsid w:val="001C4A52"/>
    <w:rsid w:val="001C510C"/>
    <w:rsid w:val="001C547F"/>
    <w:rsid w:val="001C5816"/>
    <w:rsid w:val="001C5D46"/>
    <w:rsid w:val="001C607B"/>
    <w:rsid w:val="001C62C8"/>
    <w:rsid w:val="001C64C5"/>
    <w:rsid w:val="001C6646"/>
    <w:rsid w:val="001C6931"/>
    <w:rsid w:val="001C6ACE"/>
    <w:rsid w:val="001C6C44"/>
    <w:rsid w:val="001C6CA3"/>
    <w:rsid w:val="001C6DC4"/>
    <w:rsid w:val="001C743B"/>
    <w:rsid w:val="001C7934"/>
    <w:rsid w:val="001C7A78"/>
    <w:rsid w:val="001D02DE"/>
    <w:rsid w:val="001D045A"/>
    <w:rsid w:val="001D0E48"/>
    <w:rsid w:val="001D1025"/>
    <w:rsid w:val="001D10C6"/>
    <w:rsid w:val="001D1530"/>
    <w:rsid w:val="001D162A"/>
    <w:rsid w:val="001D1751"/>
    <w:rsid w:val="001D1754"/>
    <w:rsid w:val="001D1833"/>
    <w:rsid w:val="001D1902"/>
    <w:rsid w:val="001D1EEF"/>
    <w:rsid w:val="001D242E"/>
    <w:rsid w:val="001D25F4"/>
    <w:rsid w:val="001D27A8"/>
    <w:rsid w:val="001D2952"/>
    <w:rsid w:val="001D2FB6"/>
    <w:rsid w:val="001D3181"/>
    <w:rsid w:val="001D32FC"/>
    <w:rsid w:val="001D4087"/>
    <w:rsid w:val="001D4389"/>
    <w:rsid w:val="001D4809"/>
    <w:rsid w:val="001D4D00"/>
    <w:rsid w:val="001D5093"/>
    <w:rsid w:val="001D5510"/>
    <w:rsid w:val="001D5719"/>
    <w:rsid w:val="001D5AA1"/>
    <w:rsid w:val="001D614F"/>
    <w:rsid w:val="001D6660"/>
    <w:rsid w:val="001D6E0C"/>
    <w:rsid w:val="001D7224"/>
    <w:rsid w:val="001D722D"/>
    <w:rsid w:val="001D72DC"/>
    <w:rsid w:val="001D74C5"/>
    <w:rsid w:val="001E00EE"/>
    <w:rsid w:val="001E01DC"/>
    <w:rsid w:val="001E0957"/>
    <w:rsid w:val="001E0D98"/>
    <w:rsid w:val="001E141E"/>
    <w:rsid w:val="001E14C2"/>
    <w:rsid w:val="001E1768"/>
    <w:rsid w:val="001E1B94"/>
    <w:rsid w:val="001E1FB6"/>
    <w:rsid w:val="001E241D"/>
    <w:rsid w:val="001E2EFB"/>
    <w:rsid w:val="001E372C"/>
    <w:rsid w:val="001E3869"/>
    <w:rsid w:val="001E4A97"/>
    <w:rsid w:val="001E4CF5"/>
    <w:rsid w:val="001E4DF9"/>
    <w:rsid w:val="001E501A"/>
    <w:rsid w:val="001E553F"/>
    <w:rsid w:val="001E58EF"/>
    <w:rsid w:val="001E59B9"/>
    <w:rsid w:val="001E5D92"/>
    <w:rsid w:val="001E61AC"/>
    <w:rsid w:val="001E6B15"/>
    <w:rsid w:val="001E6D0D"/>
    <w:rsid w:val="001E71F1"/>
    <w:rsid w:val="001E741C"/>
    <w:rsid w:val="001E76BD"/>
    <w:rsid w:val="001E7B1A"/>
    <w:rsid w:val="001E7BB9"/>
    <w:rsid w:val="001E7C7D"/>
    <w:rsid w:val="001E7F33"/>
    <w:rsid w:val="001F0090"/>
    <w:rsid w:val="001F0729"/>
    <w:rsid w:val="001F0B1D"/>
    <w:rsid w:val="001F12FA"/>
    <w:rsid w:val="001F1460"/>
    <w:rsid w:val="001F1582"/>
    <w:rsid w:val="001F1795"/>
    <w:rsid w:val="001F1D8F"/>
    <w:rsid w:val="001F1DD1"/>
    <w:rsid w:val="001F1F25"/>
    <w:rsid w:val="001F20E5"/>
    <w:rsid w:val="001F2C73"/>
    <w:rsid w:val="001F2F80"/>
    <w:rsid w:val="001F37AA"/>
    <w:rsid w:val="001F3994"/>
    <w:rsid w:val="001F3D89"/>
    <w:rsid w:val="001F41ED"/>
    <w:rsid w:val="001F41FF"/>
    <w:rsid w:val="001F42F4"/>
    <w:rsid w:val="001F4315"/>
    <w:rsid w:val="001F441E"/>
    <w:rsid w:val="001F4786"/>
    <w:rsid w:val="001F4A23"/>
    <w:rsid w:val="001F4D65"/>
    <w:rsid w:val="001F4D9E"/>
    <w:rsid w:val="001F5D17"/>
    <w:rsid w:val="001F5D5A"/>
    <w:rsid w:val="001F5D5E"/>
    <w:rsid w:val="001F618C"/>
    <w:rsid w:val="001F637D"/>
    <w:rsid w:val="001F63F0"/>
    <w:rsid w:val="001F6476"/>
    <w:rsid w:val="001F66B4"/>
    <w:rsid w:val="001F6B3C"/>
    <w:rsid w:val="001F6B64"/>
    <w:rsid w:val="001F71EE"/>
    <w:rsid w:val="001F735E"/>
    <w:rsid w:val="001F788A"/>
    <w:rsid w:val="001F7AF9"/>
    <w:rsid w:val="001F7CFF"/>
    <w:rsid w:val="001F7DDF"/>
    <w:rsid w:val="002001A3"/>
    <w:rsid w:val="00200432"/>
    <w:rsid w:val="00200B78"/>
    <w:rsid w:val="002013E5"/>
    <w:rsid w:val="00201A11"/>
    <w:rsid w:val="00201C34"/>
    <w:rsid w:val="00201F4F"/>
    <w:rsid w:val="002023B3"/>
    <w:rsid w:val="00202738"/>
    <w:rsid w:val="00202F8B"/>
    <w:rsid w:val="00203671"/>
    <w:rsid w:val="00203D9E"/>
    <w:rsid w:val="00203FAA"/>
    <w:rsid w:val="00204278"/>
    <w:rsid w:val="0020444B"/>
    <w:rsid w:val="00204B1D"/>
    <w:rsid w:val="00204D3C"/>
    <w:rsid w:val="00204E30"/>
    <w:rsid w:val="00205031"/>
    <w:rsid w:val="0020542F"/>
    <w:rsid w:val="00205D21"/>
    <w:rsid w:val="00205E47"/>
    <w:rsid w:val="002061DE"/>
    <w:rsid w:val="00206314"/>
    <w:rsid w:val="00206AB1"/>
    <w:rsid w:val="00207522"/>
    <w:rsid w:val="00207729"/>
    <w:rsid w:val="00207942"/>
    <w:rsid w:val="00207A4A"/>
    <w:rsid w:val="00207B51"/>
    <w:rsid w:val="00207B83"/>
    <w:rsid w:val="0021013D"/>
    <w:rsid w:val="0021050F"/>
    <w:rsid w:val="00210BC5"/>
    <w:rsid w:val="00210D25"/>
    <w:rsid w:val="002113A9"/>
    <w:rsid w:val="0021155B"/>
    <w:rsid w:val="00211AC6"/>
    <w:rsid w:val="00211D09"/>
    <w:rsid w:val="00211DE2"/>
    <w:rsid w:val="00211FA3"/>
    <w:rsid w:val="002129D6"/>
    <w:rsid w:val="00212B51"/>
    <w:rsid w:val="00212D3D"/>
    <w:rsid w:val="00212E5D"/>
    <w:rsid w:val="0021310D"/>
    <w:rsid w:val="002134A4"/>
    <w:rsid w:val="002142A5"/>
    <w:rsid w:val="002145BA"/>
    <w:rsid w:val="00214DE8"/>
    <w:rsid w:val="002151E8"/>
    <w:rsid w:val="00215583"/>
    <w:rsid w:val="0021592F"/>
    <w:rsid w:val="00215AC6"/>
    <w:rsid w:val="00215CC1"/>
    <w:rsid w:val="00215D1D"/>
    <w:rsid w:val="00215D9A"/>
    <w:rsid w:val="00216161"/>
    <w:rsid w:val="002164A0"/>
    <w:rsid w:val="00216834"/>
    <w:rsid w:val="0021713B"/>
    <w:rsid w:val="002175CD"/>
    <w:rsid w:val="0021764E"/>
    <w:rsid w:val="002178B1"/>
    <w:rsid w:val="00217962"/>
    <w:rsid w:val="00217A8B"/>
    <w:rsid w:val="00217B66"/>
    <w:rsid w:val="002202B1"/>
    <w:rsid w:val="002207CC"/>
    <w:rsid w:val="00220B3F"/>
    <w:rsid w:val="00220B84"/>
    <w:rsid w:val="002210FE"/>
    <w:rsid w:val="0022130E"/>
    <w:rsid w:val="002214A4"/>
    <w:rsid w:val="0022175F"/>
    <w:rsid w:val="00221DFF"/>
    <w:rsid w:val="002228A6"/>
    <w:rsid w:val="00222FAB"/>
    <w:rsid w:val="00223173"/>
    <w:rsid w:val="00223BC7"/>
    <w:rsid w:val="002240B4"/>
    <w:rsid w:val="00224502"/>
    <w:rsid w:val="00224584"/>
    <w:rsid w:val="00224AE6"/>
    <w:rsid w:val="00224B76"/>
    <w:rsid w:val="002251A0"/>
    <w:rsid w:val="0022595A"/>
    <w:rsid w:val="00226EE4"/>
    <w:rsid w:val="0022741F"/>
    <w:rsid w:val="002274A1"/>
    <w:rsid w:val="0022775C"/>
    <w:rsid w:val="00227F7B"/>
    <w:rsid w:val="002306D3"/>
    <w:rsid w:val="002307C3"/>
    <w:rsid w:val="0023088B"/>
    <w:rsid w:val="00230A44"/>
    <w:rsid w:val="00230B95"/>
    <w:rsid w:val="00230D3E"/>
    <w:rsid w:val="00230FB2"/>
    <w:rsid w:val="002310C1"/>
    <w:rsid w:val="00231CA2"/>
    <w:rsid w:val="0023216C"/>
    <w:rsid w:val="00232246"/>
    <w:rsid w:val="00232ABD"/>
    <w:rsid w:val="00232BD1"/>
    <w:rsid w:val="00233239"/>
    <w:rsid w:val="002333CA"/>
    <w:rsid w:val="00233425"/>
    <w:rsid w:val="0023375C"/>
    <w:rsid w:val="002339D8"/>
    <w:rsid w:val="00233B73"/>
    <w:rsid w:val="00233D05"/>
    <w:rsid w:val="00233D66"/>
    <w:rsid w:val="00234265"/>
    <w:rsid w:val="00234F0B"/>
    <w:rsid w:val="002353E9"/>
    <w:rsid w:val="00235991"/>
    <w:rsid w:val="002359B5"/>
    <w:rsid w:val="00235BF1"/>
    <w:rsid w:val="00235EB2"/>
    <w:rsid w:val="00236291"/>
    <w:rsid w:val="002365B6"/>
    <w:rsid w:val="0023721A"/>
    <w:rsid w:val="0023779E"/>
    <w:rsid w:val="00240158"/>
    <w:rsid w:val="00240987"/>
    <w:rsid w:val="00240AA1"/>
    <w:rsid w:val="002411C4"/>
    <w:rsid w:val="0024155A"/>
    <w:rsid w:val="002417F1"/>
    <w:rsid w:val="002418DE"/>
    <w:rsid w:val="00241B13"/>
    <w:rsid w:val="00241CAD"/>
    <w:rsid w:val="002425D2"/>
    <w:rsid w:val="00242738"/>
    <w:rsid w:val="00242D5F"/>
    <w:rsid w:val="00242ED7"/>
    <w:rsid w:val="0024309C"/>
    <w:rsid w:val="002433CD"/>
    <w:rsid w:val="00243485"/>
    <w:rsid w:val="00243725"/>
    <w:rsid w:val="00243C2B"/>
    <w:rsid w:val="00243D97"/>
    <w:rsid w:val="0024483B"/>
    <w:rsid w:val="00244C09"/>
    <w:rsid w:val="00244D1A"/>
    <w:rsid w:val="00244E0A"/>
    <w:rsid w:val="00244F3E"/>
    <w:rsid w:val="00244F80"/>
    <w:rsid w:val="002453CA"/>
    <w:rsid w:val="002455F8"/>
    <w:rsid w:val="00245C34"/>
    <w:rsid w:val="00246066"/>
    <w:rsid w:val="0024619E"/>
    <w:rsid w:val="00246835"/>
    <w:rsid w:val="002468C7"/>
    <w:rsid w:val="00246FAA"/>
    <w:rsid w:val="00247168"/>
    <w:rsid w:val="00247827"/>
    <w:rsid w:val="00247B88"/>
    <w:rsid w:val="00247FA3"/>
    <w:rsid w:val="002500C7"/>
    <w:rsid w:val="00250DA9"/>
    <w:rsid w:val="00250FFD"/>
    <w:rsid w:val="002511BD"/>
    <w:rsid w:val="00251555"/>
    <w:rsid w:val="00251766"/>
    <w:rsid w:val="00251808"/>
    <w:rsid w:val="00252512"/>
    <w:rsid w:val="002528B8"/>
    <w:rsid w:val="00252D9E"/>
    <w:rsid w:val="00253E54"/>
    <w:rsid w:val="00253F72"/>
    <w:rsid w:val="0025434B"/>
    <w:rsid w:val="00254867"/>
    <w:rsid w:val="00254E48"/>
    <w:rsid w:val="00254E90"/>
    <w:rsid w:val="00254EE6"/>
    <w:rsid w:val="002559E1"/>
    <w:rsid w:val="00255C39"/>
    <w:rsid w:val="002563F1"/>
    <w:rsid w:val="00256638"/>
    <w:rsid w:val="002567BF"/>
    <w:rsid w:val="00256B0D"/>
    <w:rsid w:val="00256C1D"/>
    <w:rsid w:val="0025749D"/>
    <w:rsid w:val="002575C2"/>
    <w:rsid w:val="00257CC3"/>
    <w:rsid w:val="00257F64"/>
    <w:rsid w:val="0026003F"/>
    <w:rsid w:val="0026028D"/>
    <w:rsid w:val="002605E3"/>
    <w:rsid w:val="0026073B"/>
    <w:rsid w:val="00260855"/>
    <w:rsid w:val="002616FB"/>
    <w:rsid w:val="00261C53"/>
    <w:rsid w:val="0026205B"/>
    <w:rsid w:val="00262F61"/>
    <w:rsid w:val="0026352B"/>
    <w:rsid w:val="00263679"/>
    <w:rsid w:val="002639C9"/>
    <w:rsid w:val="002639D2"/>
    <w:rsid w:val="00263B14"/>
    <w:rsid w:val="00263BFB"/>
    <w:rsid w:val="00264B7F"/>
    <w:rsid w:val="0026594D"/>
    <w:rsid w:val="00265FC6"/>
    <w:rsid w:val="0026661C"/>
    <w:rsid w:val="00266636"/>
    <w:rsid w:val="0026673A"/>
    <w:rsid w:val="00266907"/>
    <w:rsid w:val="00266DC5"/>
    <w:rsid w:val="0026723E"/>
    <w:rsid w:val="00267398"/>
    <w:rsid w:val="00267520"/>
    <w:rsid w:val="00267BB6"/>
    <w:rsid w:val="00267BE7"/>
    <w:rsid w:val="00267CEC"/>
    <w:rsid w:val="002703E3"/>
    <w:rsid w:val="0027053A"/>
    <w:rsid w:val="002706DD"/>
    <w:rsid w:val="0027091A"/>
    <w:rsid w:val="00270EF3"/>
    <w:rsid w:val="00271309"/>
    <w:rsid w:val="00271C27"/>
    <w:rsid w:val="00271D3A"/>
    <w:rsid w:val="00271FE1"/>
    <w:rsid w:val="00272441"/>
    <w:rsid w:val="0027290A"/>
    <w:rsid w:val="00272B4F"/>
    <w:rsid w:val="00272CE0"/>
    <w:rsid w:val="0027340B"/>
    <w:rsid w:val="0027377F"/>
    <w:rsid w:val="00273D09"/>
    <w:rsid w:val="00273F1A"/>
    <w:rsid w:val="002743B4"/>
    <w:rsid w:val="00274A6C"/>
    <w:rsid w:val="00274BA8"/>
    <w:rsid w:val="00274D48"/>
    <w:rsid w:val="00275513"/>
    <w:rsid w:val="00275637"/>
    <w:rsid w:val="00275AE0"/>
    <w:rsid w:val="00275DFC"/>
    <w:rsid w:val="00276A17"/>
    <w:rsid w:val="00276AED"/>
    <w:rsid w:val="00277078"/>
    <w:rsid w:val="0027725B"/>
    <w:rsid w:val="00277346"/>
    <w:rsid w:val="00277992"/>
    <w:rsid w:val="00277D9E"/>
    <w:rsid w:val="00280208"/>
    <w:rsid w:val="002802DF"/>
    <w:rsid w:val="00280D25"/>
    <w:rsid w:val="00280D77"/>
    <w:rsid w:val="00280F3D"/>
    <w:rsid w:val="0028115F"/>
    <w:rsid w:val="002812AF"/>
    <w:rsid w:val="0028175F"/>
    <w:rsid w:val="0028193D"/>
    <w:rsid w:val="00281D0C"/>
    <w:rsid w:val="002829CF"/>
    <w:rsid w:val="00282B97"/>
    <w:rsid w:val="00282D24"/>
    <w:rsid w:val="00282FE6"/>
    <w:rsid w:val="00283C46"/>
    <w:rsid w:val="00283CE2"/>
    <w:rsid w:val="00283FA2"/>
    <w:rsid w:val="0028445B"/>
    <w:rsid w:val="002847F9"/>
    <w:rsid w:val="00284B5C"/>
    <w:rsid w:val="00284D8E"/>
    <w:rsid w:val="00284EA2"/>
    <w:rsid w:val="00284EA9"/>
    <w:rsid w:val="00285141"/>
    <w:rsid w:val="0028546E"/>
    <w:rsid w:val="002854BD"/>
    <w:rsid w:val="002858E4"/>
    <w:rsid w:val="0028594A"/>
    <w:rsid w:val="00285B58"/>
    <w:rsid w:val="0028605F"/>
    <w:rsid w:val="002861CD"/>
    <w:rsid w:val="00286248"/>
    <w:rsid w:val="00286C13"/>
    <w:rsid w:val="00286E56"/>
    <w:rsid w:val="00286F6A"/>
    <w:rsid w:val="00286FE1"/>
    <w:rsid w:val="0028733D"/>
    <w:rsid w:val="0028766C"/>
    <w:rsid w:val="0028774E"/>
    <w:rsid w:val="00287ABD"/>
    <w:rsid w:val="00287C56"/>
    <w:rsid w:val="00287D58"/>
    <w:rsid w:val="0029011E"/>
    <w:rsid w:val="002902C7"/>
    <w:rsid w:val="002903CB"/>
    <w:rsid w:val="00290A0F"/>
    <w:rsid w:val="002914D3"/>
    <w:rsid w:val="00291970"/>
    <w:rsid w:val="00292015"/>
    <w:rsid w:val="0029250C"/>
    <w:rsid w:val="002926B3"/>
    <w:rsid w:val="00292FB4"/>
    <w:rsid w:val="00293849"/>
    <w:rsid w:val="00293BF2"/>
    <w:rsid w:val="002942A6"/>
    <w:rsid w:val="00294742"/>
    <w:rsid w:val="0029483E"/>
    <w:rsid w:val="0029485F"/>
    <w:rsid w:val="00294895"/>
    <w:rsid w:val="00294DB2"/>
    <w:rsid w:val="002950C5"/>
    <w:rsid w:val="002960AB"/>
    <w:rsid w:val="00297260"/>
    <w:rsid w:val="00297D97"/>
    <w:rsid w:val="00297E4F"/>
    <w:rsid w:val="00297EB8"/>
    <w:rsid w:val="00297FEF"/>
    <w:rsid w:val="002A0237"/>
    <w:rsid w:val="002A0686"/>
    <w:rsid w:val="002A07E9"/>
    <w:rsid w:val="002A09DE"/>
    <w:rsid w:val="002A0AB6"/>
    <w:rsid w:val="002A0FC8"/>
    <w:rsid w:val="002A11DA"/>
    <w:rsid w:val="002A151A"/>
    <w:rsid w:val="002A1559"/>
    <w:rsid w:val="002A162F"/>
    <w:rsid w:val="002A1766"/>
    <w:rsid w:val="002A19C0"/>
    <w:rsid w:val="002A1AA6"/>
    <w:rsid w:val="002A1CE1"/>
    <w:rsid w:val="002A1E5C"/>
    <w:rsid w:val="002A1FDB"/>
    <w:rsid w:val="002A23CC"/>
    <w:rsid w:val="002A27D5"/>
    <w:rsid w:val="002A2B80"/>
    <w:rsid w:val="002A2C2B"/>
    <w:rsid w:val="002A2F38"/>
    <w:rsid w:val="002A3029"/>
    <w:rsid w:val="002A319A"/>
    <w:rsid w:val="002A36BD"/>
    <w:rsid w:val="002A43B2"/>
    <w:rsid w:val="002A490F"/>
    <w:rsid w:val="002A4BC3"/>
    <w:rsid w:val="002A4CC4"/>
    <w:rsid w:val="002A5378"/>
    <w:rsid w:val="002A5387"/>
    <w:rsid w:val="002A5863"/>
    <w:rsid w:val="002A5B68"/>
    <w:rsid w:val="002A6037"/>
    <w:rsid w:val="002A6171"/>
    <w:rsid w:val="002A6318"/>
    <w:rsid w:val="002A6C03"/>
    <w:rsid w:val="002A7527"/>
    <w:rsid w:val="002A752B"/>
    <w:rsid w:val="002B02F9"/>
    <w:rsid w:val="002B07EB"/>
    <w:rsid w:val="002B0855"/>
    <w:rsid w:val="002B087D"/>
    <w:rsid w:val="002B0A05"/>
    <w:rsid w:val="002B0A47"/>
    <w:rsid w:val="002B0FE4"/>
    <w:rsid w:val="002B120E"/>
    <w:rsid w:val="002B13F1"/>
    <w:rsid w:val="002B1C67"/>
    <w:rsid w:val="002B1DD1"/>
    <w:rsid w:val="002B1FA5"/>
    <w:rsid w:val="002B22C3"/>
    <w:rsid w:val="002B2461"/>
    <w:rsid w:val="002B25FF"/>
    <w:rsid w:val="002B286D"/>
    <w:rsid w:val="002B287C"/>
    <w:rsid w:val="002B307C"/>
    <w:rsid w:val="002B38AC"/>
    <w:rsid w:val="002B3B73"/>
    <w:rsid w:val="002B3C70"/>
    <w:rsid w:val="002B3E38"/>
    <w:rsid w:val="002B4264"/>
    <w:rsid w:val="002B42D2"/>
    <w:rsid w:val="002B46DC"/>
    <w:rsid w:val="002B4C13"/>
    <w:rsid w:val="002B5153"/>
    <w:rsid w:val="002B5510"/>
    <w:rsid w:val="002B5602"/>
    <w:rsid w:val="002B5681"/>
    <w:rsid w:val="002B5B32"/>
    <w:rsid w:val="002B5C4B"/>
    <w:rsid w:val="002B5ED0"/>
    <w:rsid w:val="002B60A1"/>
    <w:rsid w:val="002B6116"/>
    <w:rsid w:val="002B68AA"/>
    <w:rsid w:val="002B7BAF"/>
    <w:rsid w:val="002B7C2F"/>
    <w:rsid w:val="002B7CBD"/>
    <w:rsid w:val="002C0303"/>
    <w:rsid w:val="002C0919"/>
    <w:rsid w:val="002C09F8"/>
    <w:rsid w:val="002C0BA9"/>
    <w:rsid w:val="002C0C8C"/>
    <w:rsid w:val="002C0CC8"/>
    <w:rsid w:val="002C11AF"/>
    <w:rsid w:val="002C12E5"/>
    <w:rsid w:val="002C1561"/>
    <w:rsid w:val="002C166E"/>
    <w:rsid w:val="002C18D4"/>
    <w:rsid w:val="002C19A5"/>
    <w:rsid w:val="002C1A31"/>
    <w:rsid w:val="002C1AA4"/>
    <w:rsid w:val="002C1AFE"/>
    <w:rsid w:val="002C1F23"/>
    <w:rsid w:val="002C1F8B"/>
    <w:rsid w:val="002C269E"/>
    <w:rsid w:val="002C2BB5"/>
    <w:rsid w:val="002C2DFB"/>
    <w:rsid w:val="002C2F53"/>
    <w:rsid w:val="002C3DE4"/>
    <w:rsid w:val="002C3EC0"/>
    <w:rsid w:val="002C41C0"/>
    <w:rsid w:val="002C4738"/>
    <w:rsid w:val="002C49F3"/>
    <w:rsid w:val="002C4AC6"/>
    <w:rsid w:val="002C4DAB"/>
    <w:rsid w:val="002C4DD6"/>
    <w:rsid w:val="002C5334"/>
    <w:rsid w:val="002C5A13"/>
    <w:rsid w:val="002C5AAD"/>
    <w:rsid w:val="002C5BD8"/>
    <w:rsid w:val="002C5C19"/>
    <w:rsid w:val="002C5EF9"/>
    <w:rsid w:val="002C64B3"/>
    <w:rsid w:val="002C673D"/>
    <w:rsid w:val="002C698A"/>
    <w:rsid w:val="002C6D23"/>
    <w:rsid w:val="002C6FBC"/>
    <w:rsid w:val="002C73BE"/>
    <w:rsid w:val="002C7852"/>
    <w:rsid w:val="002C7FE4"/>
    <w:rsid w:val="002D025C"/>
    <w:rsid w:val="002D1624"/>
    <w:rsid w:val="002D176D"/>
    <w:rsid w:val="002D19F3"/>
    <w:rsid w:val="002D1BDE"/>
    <w:rsid w:val="002D2129"/>
    <w:rsid w:val="002D2CC6"/>
    <w:rsid w:val="002D307C"/>
    <w:rsid w:val="002D3833"/>
    <w:rsid w:val="002D3FDF"/>
    <w:rsid w:val="002D405D"/>
    <w:rsid w:val="002D4063"/>
    <w:rsid w:val="002D40B8"/>
    <w:rsid w:val="002D47CC"/>
    <w:rsid w:val="002D4B0C"/>
    <w:rsid w:val="002D4B89"/>
    <w:rsid w:val="002D4CB9"/>
    <w:rsid w:val="002D510C"/>
    <w:rsid w:val="002D54BC"/>
    <w:rsid w:val="002D5D0A"/>
    <w:rsid w:val="002D65C4"/>
    <w:rsid w:val="002D68FE"/>
    <w:rsid w:val="002D692D"/>
    <w:rsid w:val="002D6D3A"/>
    <w:rsid w:val="002D6E29"/>
    <w:rsid w:val="002D7867"/>
    <w:rsid w:val="002D7B02"/>
    <w:rsid w:val="002D7C5D"/>
    <w:rsid w:val="002E0809"/>
    <w:rsid w:val="002E0F3C"/>
    <w:rsid w:val="002E1161"/>
    <w:rsid w:val="002E1445"/>
    <w:rsid w:val="002E1467"/>
    <w:rsid w:val="002E178A"/>
    <w:rsid w:val="002E17C8"/>
    <w:rsid w:val="002E18A3"/>
    <w:rsid w:val="002E1991"/>
    <w:rsid w:val="002E1AF2"/>
    <w:rsid w:val="002E1F83"/>
    <w:rsid w:val="002E2284"/>
    <w:rsid w:val="002E27CF"/>
    <w:rsid w:val="002E289C"/>
    <w:rsid w:val="002E28D4"/>
    <w:rsid w:val="002E2F75"/>
    <w:rsid w:val="002E2F84"/>
    <w:rsid w:val="002E3083"/>
    <w:rsid w:val="002E3717"/>
    <w:rsid w:val="002E3764"/>
    <w:rsid w:val="002E393E"/>
    <w:rsid w:val="002E3DD9"/>
    <w:rsid w:val="002E4348"/>
    <w:rsid w:val="002E4455"/>
    <w:rsid w:val="002E4666"/>
    <w:rsid w:val="002E4B15"/>
    <w:rsid w:val="002E5309"/>
    <w:rsid w:val="002E5807"/>
    <w:rsid w:val="002E5824"/>
    <w:rsid w:val="002E5A2B"/>
    <w:rsid w:val="002E5D1E"/>
    <w:rsid w:val="002E6281"/>
    <w:rsid w:val="002E62E8"/>
    <w:rsid w:val="002E64EB"/>
    <w:rsid w:val="002E6A36"/>
    <w:rsid w:val="002E6C3A"/>
    <w:rsid w:val="002E748C"/>
    <w:rsid w:val="002E7828"/>
    <w:rsid w:val="002E7A20"/>
    <w:rsid w:val="002F0711"/>
    <w:rsid w:val="002F0925"/>
    <w:rsid w:val="002F0CD9"/>
    <w:rsid w:val="002F0D7B"/>
    <w:rsid w:val="002F0F21"/>
    <w:rsid w:val="002F0F47"/>
    <w:rsid w:val="002F10AC"/>
    <w:rsid w:val="002F11B3"/>
    <w:rsid w:val="002F1580"/>
    <w:rsid w:val="002F1F23"/>
    <w:rsid w:val="002F2025"/>
    <w:rsid w:val="002F2606"/>
    <w:rsid w:val="002F2EAA"/>
    <w:rsid w:val="002F3197"/>
    <w:rsid w:val="002F31DE"/>
    <w:rsid w:val="002F3682"/>
    <w:rsid w:val="002F36DE"/>
    <w:rsid w:val="002F3738"/>
    <w:rsid w:val="002F3AB2"/>
    <w:rsid w:val="002F3AE8"/>
    <w:rsid w:val="002F3D47"/>
    <w:rsid w:val="002F3D9E"/>
    <w:rsid w:val="002F4179"/>
    <w:rsid w:val="002F41C2"/>
    <w:rsid w:val="002F4214"/>
    <w:rsid w:val="002F4444"/>
    <w:rsid w:val="002F4696"/>
    <w:rsid w:val="002F4B4E"/>
    <w:rsid w:val="002F4CFE"/>
    <w:rsid w:val="002F4D2F"/>
    <w:rsid w:val="002F54C6"/>
    <w:rsid w:val="002F55D1"/>
    <w:rsid w:val="002F590D"/>
    <w:rsid w:val="002F5C41"/>
    <w:rsid w:val="002F5E0D"/>
    <w:rsid w:val="002F652E"/>
    <w:rsid w:val="002F6A9A"/>
    <w:rsid w:val="002F706F"/>
    <w:rsid w:val="002F73E3"/>
    <w:rsid w:val="002F770F"/>
    <w:rsid w:val="002F7DEC"/>
    <w:rsid w:val="00300228"/>
    <w:rsid w:val="003003F2"/>
    <w:rsid w:val="00300412"/>
    <w:rsid w:val="003004DC"/>
    <w:rsid w:val="00300FA7"/>
    <w:rsid w:val="00301204"/>
    <w:rsid w:val="00301784"/>
    <w:rsid w:val="00301982"/>
    <w:rsid w:val="00301EC8"/>
    <w:rsid w:val="00302091"/>
    <w:rsid w:val="0030239D"/>
    <w:rsid w:val="00302495"/>
    <w:rsid w:val="00302764"/>
    <w:rsid w:val="00302B55"/>
    <w:rsid w:val="00302B94"/>
    <w:rsid w:val="00302FCE"/>
    <w:rsid w:val="00303088"/>
    <w:rsid w:val="0030366F"/>
    <w:rsid w:val="003038F7"/>
    <w:rsid w:val="00303F27"/>
    <w:rsid w:val="003041D3"/>
    <w:rsid w:val="003042EF"/>
    <w:rsid w:val="00304380"/>
    <w:rsid w:val="00304403"/>
    <w:rsid w:val="00304D76"/>
    <w:rsid w:val="003056FB"/>
    <w:rsid w:val="00305939"/>
    <w:rsid w:val="00305D50"/>
    <w:rsid w:val="00305E2D"/>
    <w:rsid w:val="00305EBD"/>
    <w:rsid w:val="0030657E"/>
    <w:rsid w:val="003069D8"/>
    <w:rsid w:val="00306AEC"/>
    <w:rsid w:val="00306C3C"/>
    <w:rsid w:val="00306F1A"/>
    <w:rsid w:val="003070DB"/>
    <w:rsid w:val="003072D1"/>
    <w:rsid w:val="003072F3"/>
    <w:rsid w:val="00307320"/>
    <w:rsid w:val="003075FD"/>
    <w:rsid w:val="00307D8E"/>
    <w:rsid w:val="00307E91"/>
    <w:rsid w:val="00307F09"/>
    <w:rsid w:val="00307FBA"/>
    <w:rsid w:val="00310BEC"/>
    <w:rsid w:val="00311220"/>
    <w:rsid w:val="003112F8"/>
    <w:rsid w:val="003116F9"/>
    <w:rsid w:val="0031270C"/>
    <w:rsid w:val="00312746"/>
    <w:rsid w:val="00312D82"/>
    <w:rsid w:val="00312E5D"/>
    <w:rsid w:val="0031327A"/>
    <w:rsid w:val="0031374C"/>
    <w:rsid w:val="00313886"/>
    <w:rsid w:val="00313CF5"/>
    <w:rsid w:val="00314597"/>
    <w:rsid w:val="00314C7E"/>
    <w:rsid w:val="00314D6E"/>
    <w:rsid w:val="00314EF9"/>
    <w:rsid w:val="00315098"/>
    <w:rsid w:val="003153AF"/>
    <w:rsid w:val="0031569E"/>
    <w:rsid w:val="0031584D"/>
    <w:rsid w:val="00315E82"/>
    <w:rsid w:val="00315F11"/>
    <w:rsid w:val="0031601C"/>
    <w:rsid w:val="003164F2"/>
    <w:rsid w:val="00316574"/>
    <w:rsid w:val="00316BD7"/>
    <w:rsid w:val="00317112"/>
    <w:rsid w:val="00317209"/>
    <w:rsid w:val="003178D6"/>
    <w:rsid w:val="00317D6C"/>
    <w:rsid w:val="00317DF1"/>
    <w:rsid w:val="003200C3"/>
    <w:rsid w:val="0032020C"/>
    <w:rsid w:val="00320348"/>
    <w:rsid w:val="003205C6"/>
    <w:rsid w:val="00320701"/>
    <w:rsid w:val="00320CEE"/>
    <w:rsid w:val="00320EFA"/>
    <w:rsid w:val="00321052"/>
    <w:rsid w:val="00321496"/>
    <w:rsid w:val="003216B9"/>
    <w:rsid w:val="003218FA"/>
    <w:rsid w:val="0032195A"/>
    <w:rsid w:val="00321AF3"/>
    <w:rsid w:val="0032370C"/>
    <w:rsid w:val="00323E2D"/>
    <w:rsid w:val="00323F2A"/>
    <w:rsid w:val="0032449C"/>
    <w:rsid w:val="003245E1"/>
    <w:rsid w:val="0032499B"/>
    <w:rsid w:val="00324C29"/>
    <w:rsid w:val="00324F01"/>
    <w:rsid w:val="00325119"/>
    <w:rsid w:val="00325C52"/>
    <w:rsid w:val="00325E0D"/>
    <w:rsid w:val="00326F86"/>
    <w:rsid w:val="003270FA"/>
    <w:rsid w:val="00327981"/>
    <w:rsid w:val="00327D0B"/>
    <w:rsid w:val="00327F9F"/>
    <w:rsid w:val="00330376"/>
    <w:rsid w:val="003303AA"/>
    <w:rsid w:val="00330487"/>
    <w:rsid w:val="003305A8"/>
    <w:rsid w:val="003305D7"/>
    <w:rsid w:val="00330970"/>
    <w:rsid w:val="00330C27"/>
    <w:rsid w:val="00330FA8"/>
    <w:rsid w:val="00331002"/>
    <w:rsid w:val="00331348"/>
    <w:rsid w:val="00331885"/>
    <w:rsid w:val="00331BB9"/>
    <w:rsid w:val="00332057"/>
    <w:rsid w:val="0033205D"/>
    <w:rsid w:val="003320C9"/>
    <w:rsid w:val="00332B4B"/>
    <w:rsid w:val="003330DF"/>
    <w:rsid w:val="00333454"/>
    <w:rsid w:val="00333A7A"/>
    <w:rsid w:val="00333AA8"/>
    <w:rsid w:val="00333D51"/>
    <w:rsid w:val="00333E95"/>
    <w:rsid w:val="00334347"/>
    <w:rsid w:val="00334679"/>
    <w:rsid w:val="0033493A"/>
    <w:rsid w:val="00334C63"/>
    <w:rsid w:val="0033503F"/>
    <w:rsid w:val="00335076"/>
    <w:rsid w:val="00335299"/>
    <w:rsid w:val="0033536D"/>
    <w:rsid w:val="003353F8"/>
    <w:rsid w:val="003355BC"/>
    <w:rsid w:val="003356BB"/>
    <w:rsid w:val="00335D24"/>
    <w:rsid w:val="0033614F"/>
    <w:rsid w:val="00336513"/>
    <w:rsid w:val="00336842"/>
    <w:rsid w:val="00336843"/>
    <w:rsid w:val="00336C21"/>
    <w:rsid w:val="00336E5B"/>
    <w:rsid w:val="00337442"/>
    <w:rsid w:val="00337BBA"/>
    <w:rsid w:val="00337D63"/>
    <w:rsid w:val="003400D2"/>
    <w:rsid w:val="0034023C"/>
    <w:rsid w:val="00340934"/>
    <w:rsid w:val="0034096F"/>
    <w:rsid w:val="003409B5"/>
    <w:rsid w:val="00340EFA"/>
    <w:rsid w:val="0034117F"/>
    <w:rsid w:val="00341428"/>
    <w:rsid w:val="00341869"/>
    <w:rsid w:val="00341C4C"/>
    <w:rsid w:val="0034210A"/>
    <w:rsid w:val="003421C1"/>
    <w:rsid w:val="0034271B"/>
    <w:rsid w:val="00342748"/>
    <w:rsid w:val="003430D7"/>
    <w:rsid w:val="00343173"/>
    <w:rsid w:val="0034326E"/>
    <w:rsid w:val="00343DDB"/>
    <w:rsid w:val="00343ED7"/>
    <w:rsid w:val="00344188"/>
    <w:rsid w:val="00344790"/>
    <w:rsid w:val="00344A71"/>
    <w:rsid w:val="00345706"/>
    <w:rsid w:val="00346370"/>
    <w:rsid w:val="0034666F"/>
    <w:rsid w:val="0034679A"/>
    <w:rsid w:val="0034694D"/>
    <w:rsid w:val="00346B26"/>
    <w:rsid w:val="00346D3B"/>
    <w:rsid w:val="00347037"/>
    <w:rsid w:val="0034760B"/>
    <w:rsid w:val="003476B2"/>
    <w:rsid w:val="003479AC"/>
    <w:rsid w:val="003479BF"/>
    <w:rsid w:val="00347DC7"/>
    <w:rsid w:val="0035076D"/>
    <w:rsid w:val="003509B8"/>
    <w:rsid w:val="00350F75"/>
    <w:rsid w:val="0035124B"/>
    <w:rsid w:val="00352335"/>
    <w:rsid w:val="00352544"/>
    <w:rsid w:val="003529DD"/>
    <w:rsid w:val="00352AA2"/>
    <w:rsid w:val="00352B52"/>
    <w:rsid w:val="00352D0D"/>
    <w:rsid w:val="00352D35"/>
    <w:rsid w:val="00352E76"/>
    <w:rsid w:val="0035351F"/>
    <w:rsid w:val="00353E74"/>
    <w:rsid w:val="00353FF9"/>
    <w:rsid w:val="00354231"/>
    <w:rsid w:val="0035425B"/>
    <w:rsid w:val="003544B7"/>
    <w:rsid w:val="003547BE"/>
    <w:rsid w:val="003549F5"/>
    <w:rsid w:val="00354B6B"/>
    <w:rsid w:val="00354F5F"/>
    <w:rsid w:val="003556BD"/>
    <w:rsid w:val="003556F6"/>
    <w:rsid w:val="00355FBD"/>
    <w:rsid w:val="00356275"/>
    <w:rsid w:val="0035647A"/>
    <w:rsid w:val="00356EEC"/>
    <w:rsid w:val="003576DD"/>
    <w:rsid w:val="00357AFE"/>
    <w:rsid w:val="00357FD9"/>
    <w:rsid w:val="003606D4"/>
    <w:rsid w:val="003607B2"/>
    <w:rsid w:val="00360B94"/>
    <w:rsid w:val="00360E10"/>
    <w:rsid w:val="00361066"/>
    <w:rsid w:val="003613A1"/>
    <w:rsid w:val="0036145E"/>
    <w:rsid w:val="00361980"/>
    <w:rsid w:val="00362714"/>
    <w:rsid w:val="00362826"/>
    <w:rsid w:val="00362AD6"/>
    <w:rsid w:val="00362B7F"/>
    <w:rsid w:val="00365553"/>
    <w:rsid w:val="00365978"/>
    <w:rsid w:val="00365AAE"/>
    <w:rsid w:val="00365BEE"/>
    <w:rsid w:val="00365CE2"/>
    <w:rsid w:val="00365CF8"/>
    <w:rsid w:val="0036662F"/>
    <w:rsid w:val="0036669C"/>
    <w:rsid w:val="00366730"/>
    <w:rsid w:val="003669B3"/>
    <w:rsid w:val="003671EF"/>
    <w:rsid w:val="00367234"/>
    <w:rsid w:val="0036723E"/>
    <w:rsid w:val="00367940"/>
    <w:rsid w:val="00370C70"/>
    <w:rsid w:val="00370D72"/>
    <w:rsid w:val="00370EF2"/>
    <w:rsid w:val="00371BC5"/>
    <w:rsid w:val="00371C2B"/>
    <w:rsid w:val="00371D43"/>
    <w:rsid w:val="003723F1"/>
    <w:rsid w:val="0037288E"/>
    <w:rsid w:val="003728E1"/>
    <w:rsid w:val="00372B55"/>
    <w:rsid w:val="00372DC5"/>
    <w:rsid w:val="00372E79"/>
    <w:rsid w:val="00372F03"/>
    <w:rsid w:val="00373787"/>
    <w:rsid w:val="0037387A"/>
    <w:rsid w:val="00373954"/>
    <w:rsid w:val="00373B6B"/>
    <w:rsid w:val="00373EAD"/>
    <w:rsid w:val="00374206"/>
    <w:rsid w:val="00374286"/>
    <w:rsid w:val="003745AD"/>
    <w:rsid w:val="00374900"/>
    <w:rsid w:val="00374992"/>
    <w:rsid w:val="00374DE6"/>
    <w:rsid w:val="00374E1B"/>
    <w:rsid w:val="00375207"/>
    <w:rsid w:val="0037520D"/>
    <w:rsid w:val="003753BE"/>
    <w:rsid w:val="00375D6D"/>
    <w:rsid w:val="00375DBE"/>
    <w:rsid w:val="00375F2F"/>
    <w:rsid w:val="003760DF"/>
    <w:rsid w:val="003762BE"/>
    <w:rsid w:val="0037666E"/>
    <w:rsid w:val="003766F8"/>
    <w:rsid w:val="00376B13"/>
    <w:rsid w:val="00376BDC"/>
    <w:rsid w:val="003775C5"/>
    <w:rsid w:val="0037778B"/>
    <w:rsid w:val="00377853"/>
    <w:rsid w:val="00377DB4"/>
    <w:rsid w:val="00377DEA"/>
    <w:rsid w:val="003802E2"/>
    <w:rsid w:val="0038033D"/>
    <w:rsid w:val="00380438"/>
    <w:rsid w:val="00380488"/>
    <w:rsid w:val="00380689"/>
    <w:rsid w:val="00380845"/>
    <w:rsid w:val="00380B2B"/>
    <w:rsid w:val="00380C34"/>
    <w:rsid w:val="00380C3D"/>
    <w:rsid w:val="00380D49"/>
    <w:rsid w:val="00381D99"/>
    <w:rsid w:val="003825EE"/>
    <w:rsid w:val="003827C6"/>
    <w:rsid w:val="003828F4"/>
    <w:rsid w:val="0038299C"/>
    <w:rsid w:val="00382BAF"/>
    <w:rsid w:val="00382C24"/>
    <w:rsid w:val="00382C38"/>
    <w:rsid w:val="00383105"/>
    <w:rsid w:val="00383552"/>
    <w:rsid w:val="00383D79"/>
    <w:rsid w:val="003841BF"/>
    <w:rsid w:val="003843E3"/>
    <w:rsid w:val="00384840"/>
    <w:rsid w:val="0038486F"/>
    <w:rsid w:val="00384996"/>
    <w:rsid w:val="003849D2"/>
    <w:rsid w:val="00385710"/>
    <w:rsid w:val="0038649A"/>
    <w:rsid w:val="00386778"/>
    <w:rsid w:val="00386AC4"/>
    <w:rsid w:val="00386D53"/>
    <w:rsid w:val="00387260"/>
    <w:rsid w:val="003873EE"/>
    <w:rsid w:val="00387D3D"/>
    <w:rsid w:val="003901C3"/>
    <w:rsid w:val="003903ED"/>
    <w:rsid w:val="00390448"/>
    <w:rsid w:val="00390928"/>
    <w:rsid w:val="00390EFF"/>
    <w:rsid w:val="00391340"/>
    <w:rsid w:val="003917DE"/>
    <w:rsid w:val="00391826"/>
    <w:rsid w:val="00392322"/>
    <w:rsid w:val="003925E0"/>
    <w:rsid w:val="00392A39"/>
    <w:rsid w:val="00392FC7"/>
    <w:rsid w:val="003934C0"/>
    <w:rsid w:val="003935FD"/>
    <w:rsid w:val="0039438B"/>
    <w:rsid w:val="003946A1"/>
    <w:rsid w:val="003948A9"/>
    <w:rsid w:val="00394947"/>
    <w:rsid w:val="00394983"/>
    <w:rsid w:val="00394D12"/>
    <w:rsid w:val="00394D42"/>
    <w:rsid w:val="00394F47"/>
    <w:rsid w:val="00395071"/>
    <w:rsid w:val="003958ED"/>
    <w:rsid w:val="00395BA6"/>
    <w:rsid w:val="00395BB3"/>
    <w:rsid w:val="00396889"/>
    <w:rsid w:val="00396999"/>
    <w:rsid w:val="003969D5"/>
    <w:rsid w:val="00396FC2"/>
    <w:rsid w:val="00397372"/>
    <w:rsid w:val="00397523"/>
    <w:rsid w:val="00397DBF"/>
    <w:rsid w:val="003A03F8"/>
    <w:rsid w:val="003A05E6"/>
    <w:rsid w:val="003A064E"/>
    <w:rsid w:val="003A0E7C"/>
    <w:rsid w:val="003A1009"/>
    <w:rsid w:val="003A16D2"/>
    <w:rsid w:val="003A184A"/>
    <w:rsid w:val="003A1944"/>
    <w:rsid w:val="003A1AB6"/>
    <w:rsid w:val="003A1B04"/>
    <w:rsid w:val="003A1BCD"/>
    <w:rsid w:val="003A1CC8"/>
    <w:rsid w:val="003A1ECD"/>
    <w:rsid w:val="003A1F1D"/>
    <w:rsid w:val="003A2301"/>
    <w:rsid w:val="003A3127"/>
    <w:rsid w:val="003A335E"/>
    <w:rsid w:val="003A3665"/>
    <w:rsid w:val="003A36B4"/>
    <w:rsid w:val="003A380D"/>
    <w:rsid w:val="003A3C5F"/>
    <w:rsid w:val="003A4213"/>
    <w:rsid w:val="003A4C69"/>
    <w:rsid w:val="003A4D8E"/>
    <w:rsid w:val="003A50C0"/>
    <w:rsid w:val="003A51BE"/>
    <w:rsid w:val="003A5B25"/>
    <w:rsid w:val="003A5EAD"/>
    <w:rsid w:val="003A5F8F"/>
    <w:rsid w:val="003A61B4"/>
    <w:rsid w:val="003A66CD"/>
    <w:rsid w:val="003A6872"/>
    <w:rsid w:val="003A6EBF"/>
    <w:rsid w:val="003A74D7"/>
    <w:rsid w:val="003A75DD"/>
    <w:rsid w:val="003A7A00"/>
    <w:rsid w:val="003A7C94"/>
    <w:rsid w:val="003B0435"/>
    <w:rsid w:val="003B0485"/>
    <w:rsid w:val="003B062B"/>
    <w:rsid w:val="003B09BD"/>
    <w:rsid w:val="003B1018"/>
    <w:rsid w:val="003B1309"/>
    <w:rsid w:val="003B24FF"/>
    <w:rsid w:val="003B26FA"/>
    <w:rsid w:val="003B3982"/>
    <w:rsid w:val="003B3F5E"/>
    <w:rsid w:val="003B46D8"/>
    <w:rsid w:val="003B4DB0"/>
    <w:rsid w:val="003B4E1E"/>
    <w:rsid w:val="003B5024"/>
    <w:rsid w:val="003B50E7"/>
    <w:rsid w:val="003B514F"/>
    <w:rsid w:val="003B5634"/>
    <w:rsid w:val="003B572B"/>
    <w:rsid w:val="003B57DB"/>
    <w:rsid w:val="003B585D"/>
    <w:rsid w:val="003B5D54"/>
    <w:rsid w:val="003B6474"/>
    <w:rsid w:val="003B65C4"/>
    <w:rsid w:val="003B6847"/>
    <w:rsid w:val="003B68D4"/>
    <w:rsid w:val="003B68D7"/>
    <w:rsid w:val="003B6BAB"/>
    <w:rsid w:val="003B6D74"/>
    <w:rsid w:val="003B7FC6"/>
    <w:rsid w:val="003C062D"/>
    <w:rsid w:val="003C06FE"/>
    <w:rsid w:val="003C092C"/>
    <w:rsid w:val="003C0B52"/>
    <w:rsid w:val="003C0C91"/>
    <w:rsid w:val="003C0E50"/>
    <w:rsid w:val="003C1212"/>
    <w:rsid w:val="003C16B8"/>
    <w:rsid w:val="003C1AE4"/>
    <w:rsid w:val="003C1D07"/>
    <w:rsid w:val="003C2105"/>
    <w:rsid w:val="003C2266"/>
    <w:rsid w:val="003C2642"/>
    <w:rsid w:val="003C2756"/>
    <w:rsid w:val="003C279D"/>
    <w:rsid w:val="003C28A7"/>
    <w:rsid w:val="003C2DB5"/>
    <w:rsid w:val="003C31C1"/>
    <w:rsid w:val="003C386A"/>
    <w:rsid w:val="003C3BFB"/>
    <w:rsid w:val="003C4072"/>
    <w:rsid w:val="003C4462"/>
    <w:rsid w:val="003C518F"/>
    <w:rsid w:val="003C551B"/>
    <w:rsid w:val="003C596F"/>
    <w:rsid w:val="003C5D11"/>
    <w:rsid w:val="003C6378"/>
    <w:rsid w:val="003C6A7D"/>
    <w:rsid w:val="003C6CB6"/>
    <w:rsid w:val="003C6F2C"/>
    <w:rsid w:val="003C757B"/>
    <w:rsid w:val="003C7FCB"/>
    <w:rsid w:val="003D0958"/>
    <w:rsid w:val="003D097B"/>
    <w:rsid w:val="003D0A7A"/>
    <w:rsid w:val="003D0AD9"/>
    <w:rsid w:val="003D0CC4"/>
    <w:rsid w:val="003D11FC"/>
    <w:rsid w:val="003D12D5"/>
    <w:rsid w:val="003D14A5"/>
    <w:rsid w:val="003D158F"/>
    <w:rsid w:val="003D184E"/>
    <w:rsid w:val="003D1A26"/>
    <w:rsid w:val="003D1B0D"/>
    <w:rsid w:val="003D256A"/>
    <w:rsid w:val="003D2C04"/>
    <w:rsid w:val="003D2EA2"/>
    <w:rsid w:val="003D347A"/>
    <w:rsid w:val="003D37DC"/>
    <w:rsid w:val="003D3DEC"/>
    <w:rsid w:val="003D3F6B"/>
    <w:rsid w:val="003D3F72"/>
    <w:rsid w:val="003D4429"/>
    <w:rsid w:val="003D46FF"/>
    <w:rsid w:val="003D488A"/>
    <w:rsid w:val="003D4E28"/>
    <w:rsid w:val="003D4E54"/>
    <w:rsid w:val="003D4EA9"/>
    <w:rsid w:val="003D513D"/>
    <w:rsid w:val="003D5150"/>
    <w:rsid w:val="003D5561"/>
    <w:rsid w:val="003D57C3"/>
    <w:rsid w:val="003D6079"/>
    <w:rsid w:val="003D6179"/>
    <w:rsid w:val="003D62E3"/>
    <w:rsid w:val="003D6580"/>
    <w:rsid w:val="003D6642"/>
    <w:rsid w:val="003D69A4"/>
    <w:rsid w:val="003D71A1"/>
    <w:rsid w:val="003D7A23"/>
    <w:rsid w:val="003D7A3C"/>
    <w:rsid w:val="003D7B5C"/>
    <w:rsid w:val="003D7DC1"/>
    <w:rsid w:val="003E0335"/>
    <w:rsid w:val="003E0390"/>
    <w:rsid w:val="003E0B13"/>
    <w:rsid w:val="003E0E27"/>
    <w:rsid w:val="003E1094"/>
    <w:rsid w:val="003E10D4"/>
    <w:rsid w:val="003E115B"/>
    <w:rsid w:val="003E1E9B"/>
    <w:rsid w:val="003E2051"/>
    <w:rsid w:val="003E328B"/>
    <w:rsid w:val="003E335D"/>
    <w:rsid w:val="003E339B"/>
    <w:rsid w:val="003E37B0"/>
    <w:rsid w:val="003E3AE8"/>
    <w:rsid w:val="003E47E0"/>
    <w:rsid w:val="003E4937"/>
    <w:rsid w:val="003E498D"/>
    <w:rsid w:val="003E49C6"/>
    <w:rsid w:val="003E4CC9"/>
    <w:rsid w:val="003E5247"/>
    <w:rsid w:val="003E5700"/>
    <w:rsid w:val="003E6529"/>
    <w:rsid w:val="003E6B8C"/>
    <w:rsid w:val="003E70D5"/>
    <w:rsid w:val="003E76F8"/>
    <w:rsid w:val="003E7C1D"/>
    <w:rsid w:val="003F0A48"/>
    <w:rsid w:val="003F0D75"/>
    <w:rsid w:val="003F0DBE"/>
    <w:rsid w:val="003F144D"/>
    <w:rsid w:val="003F16AA"/>
    <w:rsid w:val="003F1B26"/>
    <w:rsid w:val="003F21AD"/>
    <w:rsid w:val="003F23D6"/>
    <w:rsid w:val="003F2904"/>
    <w:rsid w:val="003F2E8C"/>
    <w:rsid w:val="003F339A"/>
    <w:rsid w:val="003F3588"/>
    <w:rsid w:val="003F3596"/>
    <w:rsid w:val="003F3B22"/>
    <w:rsid w:val="003F3BE3"/>
    <w:rsid w:val="003F3DA1"/>
    <w:rsid w:val="003F3EC5"/>
    <w:rsid w:val="003F4322"/>
    <w:rsid w:val="003F4B6E"/>
    <w:rsid w:val="003F5116"/>
    <w:rsid w:val="003F5D64"/>
    <w:rsid w:val="003F5E68"/>
    <w:rsid w:val="003F62C6"/>
    <w:rsid w:val="003F671E"/>
    <w:rsid w:val="003F6792"/>
    <w:rsid w:val="003F6799"/>
    <w:rsid w:val="003F6A48"/>
    <w:rsid w:val="003F6DA1"/>
    <w:rsid w:val="003F70C1"/>
    <w:rsid w:val="003F715F"/>
    <w:rsid w:val="003F786A"/>
    <w:rsid w:val="003F7A21"/>
    <w:rsid w:val="003F7B26"/>
    <w:rsid w:val="00400513"/>
    <w:rsid w:val="00400703"/>
    <w:rsid w:val="0040084E"/>
    <w:rsid w:val="00400A59"/>
    <w:rsid w:val="00401AF5"/>
    <w:rsid w:val="00402A28"/>
    <w:rsid w:val="00402AD9"/>
    <w:rsid w:val="004032A3"/>
    <w:rsid w:val="004033E5"/>
    <w:rsid w:val="00403B7C"/>
    <w:rsid w:val="00403BAB"/>
    <w:rsid w:val="00403DE8"/>
    <w:rsid w:val="004048B8"/>
    <w:rsid w:val="0040497E"/>
    <w:rsid w:val="00404CBC"/>
    <w:rsid w:val="00404FFC"/>
    <w:rsid w:val="0040507A"/>
    <w:rsid w:val="00405209"/>
    <w:rsid w:val="0040529B"/>
    <w:rsid w:val="0040566B"/>
    <w:rsid w:val="0040599F"/>
    <w:rsid w:val="004063A3"/>
    <w:rsid w:val="004064DC"/>
    <w:rsid w:val="00406703"/>
    <w:rsid w:val="00406E43"/>
    <w:rsid w:val="00407227"/>
    <w:rsid w:val="004073BC"/>
    <w:rsid w:val="0040795F"/>
    <w:rsid w:val="00407A05"/>
    <w:rsid w:val="00407ADA"/>
    <w:rsid w:val="00410350"/>
    <w:rsid w:val="00410B3C"/>
    <w:rsid w:val="00410DD1"/>
    <w:rsid w:val="00410E70"/>
    <w:rsid w:val="00411327"/>
    <w:rsid w:val="004115A0"/>
    <w:rsid w:val="00411C3E"/>
    <w:rsid w:val="0041268F"/>
    <w:rsid w:val="0041284F"/>
    <w:rsid w:val="004129AF"/>
    <w:rsid w:val="00412C7A"/>
    <w:rsid w:val="00413085"/>
    <w:rsid w:val="004137B2"/>
    <w:rsid w:val="004138E5"/>
    <w:rsid w:val="00413914"/>
    <w:rsid w:val="00413CAA"/>
    <w:rsid w:val="00413D82"/>
    <w:rsid w:val="00413FD4"/>
    <w:rsid w:val="004144E8"/>
    <w:rsid w:val="004149B4"/>
    <w:rsid w:val="00414E3E"/>
    <w:rsid w:val="00415E1B"/>
    <w:rsid w:val="00416126"/>
    <w:rsid w:val="00416600"/>
    <w:rsid w:val="00417011"/>
    <w:rsid w:val="004171E1"/>
    <w:rsid w:val="00417528"/>
    <w:rsid w:val="004178DF"/>
    <w:rsid w:val="00417A31"/>
    <w:rsid w:val="00417CA6"/>
    <w:rsid w:val="00420846"/>
    <w:rsid w:val="00420D30"/>
    <w:rsid w:val="004210AE"/>
    <w:rsid w:val="004214E2"/>
    <w:rsid w:val="00421A3A"/>
    <w:rsid w:val="00421A85"/>
    <w:rsid w:val="00421C98"/>
    <w:rsid w:val="00422093"/>
    <w:rsid w:val="00422391"/>
    <w:rsid w:val="0042259E"/>
    <w:rsid w:val="004225B2"/>
    <w:rsid w:val="004225FF"/>
    <w:rsid w:val="00423597"/>
    <w:rsid w:val="00423AD3"/>
    <w:rsid w:val="00423D5D"/>
    <w:rsid w:val="00423E45"/>
    <w:rsid w:val="00423F2D"/>
    <w:rsid w:val="00424013"/>
    <w:rsid w:val="0042431A"/>
    <w:rsid w:val="004245C5"/>
    <w:rsid w:val="0042462B"/>
    <w:rsid w:val="00424AE1"/>
    <w:rsid w:val="00424B5C"/>
    <w:rsid w:val="00424C1F"/>
    <w:rsid w:val="00424EC3"/>
    <w:rsid w:val="0042521E"/>
    <w:rsid w:val="00425362"/>
    <w:rsid w:val="0042540F"/>
    <w:rsid w:val="00425487"/>
    <w:rsid w:val="0042548A"/>
    <w:rsid w:val="00425C88"/>
    <w:rsid w:val="00425F73"/>
    <w:rsid w:val="00426022"/>
    <w:rsid w:val="00426308"/>
    <w:rsid w:val="00426930"/>
    <w:rsid w:val="00426AC1"/>
    <w:rsid w:val="00426F30"/>
    <w:rsid w:val="0042754D"/>
    <w:rsid w:val="00427B43"/>
    <w:rsid w:val="00430406"/>
    <w:rsid w:val="00430674"/>
    <w:rsid w:val="004308D0"/>
    <w:rsid w:val="00430A58"/>
    <w:rsid w:val="00430C2B"/>
    <w:rsid w:val="00431059"/>
    <w:rsid w:val="0043160B"/>
    <w:rsid w:val="00431668"/>
    <w:rsid w:val="0043168F"/>
    <w:rsid w:val="00431841"/>
    <w:rsid w:val="00431B19"/>
    <w:rsid w:val="004321AF"/>
    <w:rsid w:val="0043227F"/>
    <w:rsid w:val="0043283A"/>
    <w:rsid w:val="00432AF1"/>
    <w:rsid w:val="00432B48"/>
    <w:rsid w:val="00432C53"/>
    <w:rsid w:val="00433606"/>
    <w:rsid w:val="0043367C"/>
    <w:rsid w:val="00433812"/>
    <w:rsid w:val="00433991"/>
    <w:rsid w:val="00433A31"/>
    <w:rsid w:val="00433CF8"/>
    <w:rsid w:val="00433F9B"/>
    <w:rsid w:val="00433FB0"/>
    <w:rsid w:val="004347AB"/>
    <w:rsid w:val="00434B1E"/>
    <w:rsid w:val="0043571D"/>
    <w:rsid w:val="004357C2"/>
    <w:rsid w:val="00435A42"/>
    <w:rsid w:val="00436992"/>
    <w:rsid w:val="00436AF1"/>
    <w:rsid w:val="00436E71"/>
    <w:rsid w:val="00437441"/>
    <w:rsid w:val="00437E4D"/>
    <w:rsid w:val="0044016C"/>
    <w:rsid w:val="00440190"/>
    <w:rsid w:val="00440383"/>
    <w:rsid w:val="0044060F"/>
    <w:rsid w:val="004408AB"/>
    <w:rsid w:val="0044137C"/>
    <w:rsid w:val="004417E1"/>
    <w:rsid w:val="00441A7D"/>
    <w:rsid w:val="00442006"/>
    <w:rsid w:val="00442031"/>
    <w:rsid w:val="00442786"/>
    <w:rsid w:val="004427B1"/>
    <w:rsid w:val="00442C02"/>
    <w:rsid w:val="004433B2"/>
    <w:rsid w:val="0044385F"/>
    <w:rsid w:val="00443998"/>
    <w:rsid w:val="00443BC6"/>
    <w:rsid w:val="00443EE2"/>
    <w:rsid w:val="00443F1B"/>
    <w:rsid w:val="0044442D"/>
    <w:rsid w:val="0044480D"/>
    <w:rsid w:val="00444A63"/>
    <w:rsid w:val="00444DBA"/>
    <w:rsid w:val="00444DEC"/>
    <w:rsid w:val="00444EF1"/>
    <w:rsid w:val="00444F85"/>
    <w:rsid w:val="004458A7"/>
    <w:rsid w:val="00445C21"/>
    <w:rsid w:val="00445E7B"/>
    <w:rsid w:val="0044626D"/>
    <w:rsid w:val="004462A5"/>
    <w:rsid w:val="0044676E"/>
    <w:rsid w:val="004468DF"/>
    <w:rsid w:val="00446999"/>
    <w:rsid w:val="00446B7A"/>
    <w:rsid w:val="00446C2C"/>
    <w:rsid w:val="004472F9"/>
    <w:rsid w:val="0044739D"/>
    <w:rsid w:val="004474D0"/>
    <w:rsid w:val="00447692"/>
    <w:rsid w:val="00447979"/>
    <w:rsid w:val="00447997"/>
    <w:rsid w:val="00447DA0"/>
    <w:rsid w:val="00447FAE"/>
    <w:rsid w:val="0045005D"/>
    <w:rsid w:val="0045058D"/>
    <w:rsid w:val="00450847"/>
    <w:rsid w:val="004508BC"/>
    <w:rsid w:val="00450B2D"/>
    <w:rsid w:val="00450E9F"/>
    <w:rsid w:val="00451064"/>
    <w:rsid w:val="004510AF"/>
    <w:rsid w:val="004514C9"/>
    <w:rsid w:val="004517C0"/>
    <w:rsid w:val="00451AAF"/>
    <w:rsid w:val="00451FA6"/>
    <w:rsid w:val="00452B1D"/>
    <w:rsid w:val="00453A6C"/>
    <w:rsid w:val="004540A1"/>
    <w:rsid w:val="004543CB"/>
    <w:rsid w:val="00454463"/>
    <w:rsid w:val="0045457F"/>
    <w:rsid w:val="00454DB9"/>
    <w:rsid w:val="0045594A"/>
    <w:rsid w:val="00455C53"/>
    <w:rsid w:val="0045636C"/>
    <w:rsid w:val="00456D5A"/>
    <w:rsid w:val="0045773F"/>
    <w:rsid w:val="004577A8"/>
    <w:rsid w:val="00457922"/>
    <w:rsid w:val="00457AB1"/>
    <w:rsid w:val="00457B1A"/>
    <w:rsid w:val="00460083"/>
    <w:rsid w:val="004605C5"/>
    <w:rsid w:val="004605E5"/>
    <w:rsid w:val="0046081A"/>
    <w:rsid w:val="004609D8"/>
    <w:rsid w:val="00460C5F"/>
    <w:rsid w:val="0046125C"/>
    <w:rsid w:val="00461624"/>
    <w:rsid w:val="004616BF"/>
    <w:rsid w:val="00461703"/>
    <w:rsid w:val="0046192F"/>
    <w:rsid w:val="00461A24"/>
    <w:rsid w:val="00461B2A"/>
    <w:rsid w:val="00461B74"/>
    <w:rsid w:val="00461E3C"/>
    <w:rsid w:val="0046277A"/>
    <w:rsid w:val="00462827"/>
    <w:rsid w:val="0046292E"/>
    <w:rsid w:val="004629A9"/>
    <w:rsid w:val="0046307E"/>
    <w:rsid w:val="00463456"/>
    <w:rsid w:val="00463A4B"/>
    <w:rsid w:val="00463C59"/>
    <w:rsid w:val="00463F3F"/>
    <w:rsid w:val="0046405C"/>
    <w:rsid w:val="004642B6"/>
    <w:rsid w:val="004642F5"/>
    <w:rsid w:val="00464E7A"/>
    <w:rsid w:val="00465B09"/>
    <w:rsid w:val="00466027"/>
    <w:rsid w:val="0046617E"/>
    <w:rsid w:val="004661AD"/>
    <w:rsid w:val="00466262"/>
    <w:rsid w:val="0046658F"/>
    <w:rsid w:val="00466B1E"/>
    <w:rsid w:val="00466B24"/>
    <w:rsid w:val="00467225"/>
    <w:rsid w:val="004674D7"/>
    <w:rsid w:val="004674DE"/>
    <w:rsid w:val="00467678"/>
    <w:rsid w:val="0046790E"/>
    <w:rsid w:val="00467E00"/>
    <w:rsid w:val="00467FE6"/>
    <w:rsid w:val="004704BC"/>
    <w:rsid w:val="004706ED"/>
    <w:rsid w:val="00470C91"/>
    <w:rsid w:val="0047110C"/>
    <w:rsid w:val="0047150D"/>
    <w:rsid w:val="00471748"/>
    <w:rsid w:val="0047192A"/>
    <w:rsid w:val="00471946"/>
    <w:rsid w:val="00471B35"/>
    <w:rsid w:val="00471D1E"/>
    <w:rsid w:val="00471F89"/>
    <w:rsid w:val="00472148"/>
    <w:rsid w:val="004721F9"/>
    <w:rsid w:val="004725BF"/>
    <w:rsid w:val="004726C9"/>
    <w:rsid w:val="00472AB9"/>
    <w:rsid w:val="00473165"/>
    <w:rsid w:val="00473C37"/>
    <w:rsid w:val="00473CD6"/>
    <w:rsid w:val="0047450F"/>
    <w:rsid w:val="00474A97"/>
    <w:rsid w:val="00474D8C"/>
    <w:rsid w:val="004751FE"/>
    <w:rsid w:val="00475874"/>
    <w:rsid w:val="00475997"/>
    <w:rsid w:val="0047606C"/>
    <w:rsid w:val="004769E0"/>
    <w:rsid w:val="00476AF7"/>
    <w:rsid w:val="00476C0E"/>
    <w:rsid w:val="004771A2"/>
    <w:rsid w:val="0047720F"/>
    <w:rsid w:val="0047765A"/>
    <w:rsid w:val="004776A4"/>
    <w:rsid w:val="00477ED5"/>
    <w:rsid w:val="00480246"/>
    <w:rsid w:val="00480333"/>
    <w:rsid w:val="00480DDC"/>
    <w:rsid w:val="00481716"/>
    <w:rsid w:val="004819A1"/>
    <w:rsid w:val="00481DE1"/>
    <w:rsid w:val="004822CE"/>
    <w:rsid w:val="00482568"/>
    <w:rsid w:val="004828C4"/>
    <w:rsid w:val="00482B86"/>
    <w:rsid w:val="00482D95"/>
    <w:rsid w:val="004830EC"/>
    <w:rsid w:val="004830FD"/>
    <w:rsid w:val="0048326D"/>
    <w:rsid w:val="004833B6"/>
    <w:rsid w:val="0048392C"/>
    <w:rsid w:val="00483B3C"/>
    <w:rsid w:val="00483CF2"/>
    <w:rsid w:val="00483F75"/>
    <w:rsid w:val="004842AD"/>
    <w:rsid w:val="00484598"/>
    <w:rsid w:val="00484859"/>
    <w:rsid w:val="00484CCB"/>
    <w:rsid w:val="00484F7F"/>
    <w:rsid w:val="00484FD4"/>
    <w:rsid w:val="00484FDA"/>
    <w:rsid w:val="00485342"/>
    <w:rsid w:val="00485426"/>
    <w:rsid w:val="0048559E"/>
    <w:rsid w:val="0048577B"/>
    <w:rsid w:val="004857C2"/>
    <w:rsid w:val="004857D5"/>
    <w:rsid w:val="00485A4B"/>
    <w:rsid w:val="00485CC4"/>
    <w:rsid w:val="004864EF"/>
    <w:rsid w:val="00486551"/>
    <w:rsid w:val="004865DD"/>
    <w:rsid w:val="00486664"/>
    <w:rsid w:val="00486A5E"/>
    <w:rsid w:val="00486B8C"/>
    <w:rsid w:val="00486DA7"/>
    <w:rsid w:val="0048704B"/>
    <w:rsid w:val="0048708B"/>
    <w:rsid w:val="00487672"/>
    <w:rsid w:val="00487728"/>
    <w:rsid w:val="00487BF4"/>
    <w:rsid w:val="00487DA0"/>
    <w:rsid w:val="004905E2"/>
    <w:rsid w:val="00490631"/>
    <w:rsid w:val="00490722"/>
    <w:rsid w:val="00490A30"/>
    <w:rsid w:val="00490AA1"/>
    <w:rsid w:val="00490E97"/>
    <w:rsid w:val="004913C5"/>
    <w:rsid w:val="004918C1"/>
    <w:rsid w:val="00491AAA"/>
    <w:rsid w:val="00491F82"/>
    <w:rsid w:val="004922AB"/>
    <w:rsid w:val="004923B6"/>
    <w:rsid w:val="004923F0"/>
    <w:rsid w:val="0049246E"/>
    <w:rsid w:val="00492626"/>
    <w:rsid w:val="00492684"/>
    <w:rsid w:val="00492F79"/>
    <w:rsid w:val="00492FF4"/>
    <w:rsid w:val="00493174"/>
    <w:rsid w:val="00493517"/>
    <w:rsid w:val="0049369A"/>
    <w:rsid w:val="004947CC"/>
    <w:rsid w:val="00494A6B"/>
    <w:rsid w:val="00495C94"/>
    <w:rsid w:val="00495E3D"/>
    <w:rsid w:val="00495E6F"/>
    <w:rsid w:val="00496736"/>
    <w:rsid w:val="00496779"/>
    <w:rsid w:val="00496871"/>
    <w:rsid w:val="00496A48"/>
    <w:rsid w:val="00496EA1"/>
    <w:rsid w:val="0049770C"/>
    <w:rsid w:val="00497899"/>
    <w:rsid w:val="00497913"/>
    <w:rsid w:val="00497A54"/>
    <w:rsid w:val="00497CF8"/>
    <w:rsid w:val="004A0038"/>
    <w:rsid w:val="004A046E"/>
    <w:rsid w:val="004A0563"/>
    <w:rsid w:val="004A065D"/>
    <w:rsid w:val="004A0E67"/>
    <w:rsid w:val="004A10F8"/>
    <w:rsid w:val="004A2386"/>
    <w:rsid w:val="004A27A8"/>
    <w:rsid w:val="004A2966"/>
    <w:rsid w:val="004A2A81"/>
    <w:rsid w:val="004A2AC0"/>
    <w:rsid w:val="004A2DA0"/>
    <w:rsid w:val="004A36D2"/>
    <w:rsid w:val="004A376D"/>
    <w:rsid w:val="004A40DA"/>
    <w:rsid w:val="004A4C11"/>
    <w:rsid w:val="004A4C28"/>
    <w:rsid w:val="004A4E39"/>
    <w:rsid w:val="004A51DA"/>
    <w:rsid w:val="004A5383"/>
    <w:rsid w:val="004A53EB"/>
    <w:rsid w:val="004A585F"/>
    <w:rsid w:val="004A5B84"/>
    <w:rsid w:val="004A5F53"/>
    <w:rsid w:val="004A621F"/>
    <w:rsid w:val="004A63EC"/>
    <w:rsid w:val="004A6EE8"/>
    <w:rsid w:val="004A75FB"/>
    <w:rsid w:val="004A7A8F"/>
    <w:rsid w:val="004A7D26"/>
    <w:rsid w:val="004A7F87"/>
    <w:rsid w:val="004B030C"/>
    <w:rsid w:val="004B04AC"/>
    <w:rsid w:val="004B0D5A"/>
    <w:rsid w:val="004B1165"/>
    <w:rsid w:val="004B12A3"/>
    <w:rsid w:val="004B17BF"/>
    <w:rsid w:val="004B1DE6"/>
    <w:rsid w:val="004B2013"/>
    <w:rsid w:val="004B2675"/>
    <w:rsid w:val="004B2C52"/>
    <w:rsid w:val="004B2C6C"/>
    <w:rsid w:val="004B33F9"/>
    <w:rsid w:val="004B34F6"/>
    <w:rsid w:val="004B3DB6"/>
    <w:rsid w:val="004B3E07"/>
    <w:rsid w:val="004B3EF4"/>
    <w:rsid w:val="004B3F83"/>
    <w:rsid w:val="004B415B"/>
    <w:rsid w:val="004B42BB"/>
    <w:rsid w:val="004B4409"/>
    <w:rsid w:val="004B4D4C"/>
    <w:rsid w:val="004B4F91"/>
    <w:rsid w:val="004B5BE9"/>
    <w:rsid w:val="004B6237"/>
    <w:rsid w:val="004B6B57"/>
    <w:rsid w:val="004B6D66"/>
    <w:rsid w:val="004B7388"/>
    <w:rsid w:val="004B7408"/>
    <w:rsid w:val="004B7A6C"/>
    <w:rsid w:val="004B7B55"/>
    <w:rsid w:val="004B7CEB"/>
    <w:rsid w:val="004C0EEA"/>
    <w:rsid w:val="004C0F99"/>
    <w:rsid w:val="004C1131"/>
    <w:rsid w:val="004C1967"/>
    <w:rsid w:val="004C1DA4"/>
    <w:rsid w:val="004C1E44"/>
    <w:rsid w:val="004C2093"/>
    <w:rsid w:val="004C21A9"/>
    <w:rsid w:val="004C293F"/>
    <w:rsid w:val="004C2D13"/>
    <w:rsid w:val="004C3020"/>
    <w:rsid w:val="004C355E"/>
    <w:rsid w:val="004C3F23"/>
    <w:rsid w:val="004C4274"/>
    <w:rsid w:val="004C4415"/>
    <w:rsid w:val="004C4504"/>
    <w:rsid w:val="004C48FB"/>
    <w:rsid w:val="004C4A4C"/>
    <w:rsid w:val="004C4F1C"/>
    <w:rsid w:val="004C5073"/>
    <w:rsid w:val="004C64AC"/>
    <w:rsid w:val="004C65E3"/>
    <w:rsid w:val="004C7108"/>
    <w:rsid w:val="004C728B"/>
    <w:rsid w:val="004C7D6E"/>
    <w:rsid w:val="004D0A9A"/>
    <w:rsid w:val="004D0D03"/>
    <w:rsid w:val="004D1283"/>
    <w:rsid w:val="004D16C5"/>
    <w:rsid w:val="004D1A58"/>
    <w:rsid w:val="004D1C07"/>
    <w:rsid w:val="004D1DE9"/>
    <w:rsid w:val="004D1DF3"/>
    <w:rsid w:val="004D1FCD"/>
    <w:rsid w:val="004D1FFE"/>
    <w:rsid w:val="004D208B"/>
    <w:rsid w:val="004D2600"/>
    <w:rsid w:val="004D2C83"/>
    <w:rsid w:val="004D2DD5"/>
    <w:rsid w:val="004D38E2"/>
    <w:rsid w:val="004D3EE7"/>
    <w:rsid w:val="004D486E"/>
    <w:rsid w:val="004D4A6A"/>
    <w:rsid w:val="004D4ADA"/>
    <w:rsid w:val="004D4C70"/>
    <w:rsid w:val="004D4CDE"/>
    <w:rsid w:val="004D5210"/>
    <w:rsid w:val="004D54B8"/>
    <w:rsid w:val="004D5A03"/>
    <w:rsid w:val="004D5C06"/>
    <w:rsid w:val="004D5EA8"/>
    <w:rsid w:val="004D61AA"/>
    <w:rsid w:val="004D6606"/>
    <w:rsid w:val="004D6FF9"/>
    <w:rsid w:val="004D7570"/>
    <w:rsid w:val="004D79C5"/>
    <w:rsid w:val="004D7BD4"/>
    <w:rsid w:val="004D7D2B"/>
    <w:rsid w:val="004E00F1"/>
    <w:rsid w:val="004E0B97"/>
    <w:rsid w:val="004E0BBD"/>
    <w:rsid w:val="004E0F77"/>
    <w:rsid w:val="004E126B"/>
    <w:rsid w:val="004E157D"/>
    <w:rsid w:val="004E17DC"/>
    <w:rsid w:val="004E1EEE"/>
    <w:rsid w:val="004E2265"/>
    <w:rsid w:val="004E265D"/>
    <w:rsid w:val="004E4285"/>
    <w:rsid w:val="004E4C5D"/>
    <w:rsid w:val="004E50F8"/>
    <w:rsid w:val="004E5401"/>
    <w:rsid w:val="004E5EBA"/>
    <w:rsid w:val="004E5FBE"/>
    <w:rsid w:val="004E65B0"/>
    <w:rsid w:val="004E6727"/>
    <w:rsid w:val="004E73E4"/>
    <w:rsid w:val="004E7D8F"/>
    <w:rsid w:val="004E7DF3"/>
    <w:rsid w:val="004F01DD"/>
    <w:rsid w:val="004F06CC"/>
    <w:rsid w:val="004F0CC4"/>
    <w:rsid w:val="004F0DD1"/>
    <w:rsid w:val="004F1143"/>
    <w:rsid w:val="004F131C"/>
    <w:rsid w:val="004F1555"/>
    <w:rsid w:val="004F1A3C"/>
    <w:rsid w:val="004F1D6B"/>
    <w:rsid w:val="004F1FE3"/>
    <w:rsid w:val="004F22EC"/>
    <w:rsid w:val="004F2334"/>
    <w:rsid w:val="004F272F"/>
    <w:rsid w:val="004F28D8"/>
    <w:rsid w:val="004F29F2"/>
    <w:rsid w:val="004F2C34"/>
    <w:rsid w:val="004F2CB9"/>
    <w:rsid w:val="004F45F2"/>
    <w:rsid w:val="004F4AD6"/>
    <w:rsid w:val="004F5715"/>
    <w:rsid w:val="004F5A5A"/>
    <w:rsid w:val="004F5AD8"/>
    <w:rsid w:val="004F5B53"/>
    <w:rsid w:val="004F5D99"/>
    <w:rsid w:val="004F5D9F"/>
    <w:rsid w:val="004F6107"/>
    <w:rsid w:val="004F67A6"/>
    <w:rsid w:val="004F6A3E"/>
    <w:rsid w:val="004F6FB6"/>
    <w:rsid w:val="004F7D40"/>
    <w:rsid w:val="00500CBF"/>
    <w:rsid w:val="005013C4"/>
    <w:rsid w:val="00501457"/>
    <w:rsid w:val="00501594"/>
    <w:rsid w:val="00501C65"/>
    <w:rsid w:val="00501DA3"/>
    <w:rsid w:val="005023A4"/>
    <w:rsid w:val="0050252A"/>
    <w:rsid w:val="00502545"/>
    <w:rsid w:val="00502EE0"/>
    <w:rsid w:val="00502F51"/>
    <w:rsid w:val="00503768"/>
    <w:rsid w:val="00503A8D"/>
    <w:rsid w:val="00504202"/>
    <w:rsid w:val="005044F0"/>
    <w:rsid w:val="005045DE"/>
    <w:rsid w:val="005047A2"/>
    <w:rsid w:val="005048A3"/>
    <w:rsid w:val="00504AC3"/>
    <w:rsid w:val="00504C05"/>
    <w:rsid w:val="00504EF9"/>
    <w:rsid w:val="005051C3"/>
    <w:rsid w:val="005057E1"/>
    <w:rsid w:val="00506758"/>
    <w:rsid w:val="005069F9"/>
    <w:rsid w:val="00506D83"/>
    <w:rsid w:val="00506DD5"/>
    <w:rsid w:val="00506EA8"/>
    <w:rsid w:val="00506FC6"/>
    <w:rsid w:val="005079B8"/>
    <w:rsid w:val="00507E9E"/>
    <w:rsid w:val="00507F29"/>
    <w:rsid w:val="00510232"/>
    <w:rsid w:val="0051073F"/>
    <w:rsid w:val="0051087F"/>
    <w:rsid w:val="0051168A"/>
    <w:rsid w:val="005116D4"/>
    <w:rsid w:val="00511705"/>
    <w:rsid w:val="00511E6E"/>
    <w:rsid w:val="00511F60"/>
    <w:rsid w:val="00512710"/>
    <w:rsid w:val="00512AFF"/>
    <w:rsid w:val="00513036"/>
    <w:rsid w:val="005137F1"/>
    <w:rsid w:val="00513F77"/>
    <w:rsid w:val="0051413E"/>
    <w:rsid w:val="0051473E"/>
    <w:rsid w:val="00514841"/>
    <w:rsid w:val="00514B23"/>
    <w:rsid w:val="005150D0"/>
    <w:rsid w:val="005151E8"/>
    <w:rsid w:val="00515B5A"/>
    <w:rsid w:val="00515CDD"/>
    <w:rsid w:val="005160FE"/>
    <w:rsid w:val="005166F4"/>
    <w:rsid w:val="00516B82"/>
    <w:rsid w:val="00517058"/>
    <w:rsid w:val="0051765D"/>
    <w:rsid w:val="00517DC9"/>
    <w:rsid w:val="00520117"/>
    <w:rsid w:val="00520553"/>
    <w:rsid w:val="00520826"/>
    <w:rsid w:val="00521341"/>
    <w:rsid w:val="0052136F"/>
    <w:rsid w:val="00521D7B"/>
    <w:rsid w:val="00521D81"/>
    <w:rsid w:val="00521F92"/>
    <w:rsid w:val="00522761"/>
    <w:rsid w:val="00522EE9"/>
    <w:rsid w:val="005232B9"/>
    <w:rsid w:val="005234BF"/>
    <w:rsid w:val="0052396C"/>
    <w:rsid w:val="00523BBA"/>
    <w:rsid w:val="00523C70"/>
    <w:rsid w:val="00523E10"/>
    <w:rsid w:val="00524208"/>
    <w:rsid w:val="00524449"/>
    <w:rsid w:val="0052446A"/>
    <w:rsid w:val="005244D5"/>
    <w:rsid w:val="005247C1"/>
    <w:rsid w:val="00524824"/>
    <w:rsid w:val="005248E6"/>
    <w:rsid w:val="00524970"/>
    <w:rsid w:val="00524E38"/>
    <w:rsid w:val="005250C7"/>
    <w:rsid w:val="005251E5"/>
    <w:rsid w:val="005252E9"/>
    <w:rsid w:val="0052593A"/>
    <w:rsid w:val="00525BB5"/>
    <w:rsid w:val="00525FE4"/>
    <w:rsid w:val="00526E87"/>
    <w:rsid w:val="0052710A"/>
    <w:rsid w:val="00527AFE"/>
    <w:rsid w:val="00527F08"/>
    <w:rsid w:val="0053014B"/>
    <w:rsid w:val="005307F4"/>
    <w:rsid w:val="00530B67"/>
    <w:rsid w:val="00530C27"/>
    <w:rsid w:val="00530E23"/>
    <w:rsid w:val="00531E23"/>
    <w:rsid w:val="00531E7E"/>
    <w:rsid w:val="00532204"/>
    <w:rsid w:val="00532250"/>
    <w:rsid w:val="0053234B"/>
    <w:rsid w:val="005323CD"/>
    <w:rsid w:val="005325F3"/>
    <w:rsid w:val="00532D2B"/>
    <w:rsid w:val="005330BE"/>
    <w:rsid w:val="005331F3"/>
    <w:rsid w:val="005333A0"/>
    <w:rsid w:val="005333B0"/>
    <w:rsid w:val="005333B4"/>
    <w:rsid w:val="00533418"/>
    <w:rsid w:val="00533D6B"/>
    <w:rsid w:val="00533DDF"/>
    <w:rsid w:val="005344D0"/>
    <w:rsid w:val="005346A4"/>
    <w:rsid w:val="00534D89"/>
    <w:rsid w:val="00534E63"/>
    <w:rsid w:val="00534F17"/>
    <w:rsid w:val="005354DA"/>
    <w:rsid w:val="00535BEC"/>
    <w:rsid w:val="00535D17"/>
    <w:rsid w:val="005361CF"/>
    <w:rsid w:val="005362AD"/>
    <w:rsid w:val="005362C0"/>
    <w:rsid w:val="005367B5"/>
    <w:rsid w:val="005367D9"/>
    <w:rsid w:val="00536F09"/>
    <w:rsid w:val="00536FE9"/>
    <w:rsid w:val="00537079"/>
    <w:rsid w:val="00537273"/>
    <w:rsid w:val="005372DD"/>
    <w:rsid w:val="00537375"/>
    <w:rsid w:val="00537473"/>
    <w:rsid w:val="0053749D"/>
    <w:rsid w:val="00537AE6"/>
    <w:rsid w:val="0054060C"/>
    <w:rsid w:val="0054086D"/>
    <w:rsid w:val="005408A8"/>
    <w:rsid w:val="005408B1"/>
    <w:rsid w:val="005408E5"/>
    <w:rsid w:val="00540EBC"/>
    <w:rsid w:val="005410A2"/>
    <w:rsid w:val="00541216"/>
    <w:rsid w:val="005413D1"/>
    <w:rsid w:val="00541582"/>
    <w:rsid w:val="0054177A"/>
    <w:rsid w:val="005419E4"/>
    <w:rsid w:val="00542BD2"/>
    <w:rsid w:val="00542EDB"/>
    <w:rsid w:val="00543637"/>
    <w:rsid w:val="00544720"/>
    <w:rsid w:val="00544B37"/>
    <w:rsid w:val="00544CBB"/>
    <w:rsid w:val="00544E59"/>
    <w:rsid w:val="00544E6E"/>
    <w:rsid w:val="00544F6B"/>
    <w:rsid w:val="0054510A"/>
    <w:rsid w:val="00545607"/>
    <w:rsid w:val="005457F9"/>
    <w:rsid w:val="00545C1A"/>
    <w:rsid w:val="00545ECF"/>
    <w:rsid w:val="005465BF"/>
    <w:rsid w:val="00546B72"/>
    <w:rsid w:val="00547501"/>
    <w:rsid w:val="0054752A"/>
    <w:rsid w:val="0054765E"/>
    <w:rsid w:val="00547888"/>
    <w:rsid w:val="00547A66"/>
    <w:rsid w:val="00550A68"/>
    <w:rsid w:val="00550D42"/>
    <w:rsid w:val="00550EB8"/>
    <w:rsid w:val="0055117A"/>
    <w:rsid w:val="005515F9"/>
    <w:rsid w:val="00551748"/>
    <w:rsid w:val="005518AF"/>
    <w:rsid w:val="00551BD7"/>
    <w:rsid w:val="00552057"/>
    <w:rsid w:val="005523A4"/>
    <w:rsid w:val="0055296E"/>
    <w:rsid w:val="00552C05"/>
    <w:rsid w:val="00552FE2"/>
    <w:rsid w:val="005530FD"/>
    <w:rsid w:val="00553474"/>
    <w:rsid w:val="005538A5"/>
    <w:rsid w:val="00553AF9"/>
    <w:rsid w:val="00553BB0"/>
    <w:rsid w:val="00553EA6"/>
    <w:rsid w:val="00553F81"/>
    <w:rsid w:val="00554128"/>
    <w:rsid w:val="005547A5"/>
    <w:rsid w:val="0055510C"/>
    <w:rsid w:val="005553F6"/>
    <w:rsid w:val="0055559C"/>
    <w:rsid w:val="00555A9B"/>
    <w:rsid w:val="00555C55"/>
    <w:rsid w:val="00555CF3"/>
    <w:rsid w:val="005567CB"/>
    <w:rsid w:val="00556888"/>
    <w:rsid w:val="005575CD"/>
    <w:rsid w:val="0055792B"/>
    <w:rsid w:val="00557A84"/>
    <w:rsid w:val="00557BA8"/>
    <w:rsid w:val="00560222"/>
    <w:rsid w:val="00560433"/>
    <w:rsid w:val="0056072E"/>
    <w:rsid w:val="0056076C"/>
    <w:rsid w:val="00560CFE"/>
    <w:rsid w:val="00560ED1"/>
    <w:rsid w:val="0056157C"/>
    <w:rsid w:val="0056177D"/>
    <w:rsid w:val="0056182C"/>
    <w:rsid w:val="00561B79"/>
    <w:rsid w:val="00561D7B"/>
    <w:rsid w:val="005623D8"/>
    <w:rsid w:val="005625AA"/>
    <w:rsid w:val="00562618"/>
    <w:rsid w:val="005628CA"/>
    <w:rsid w:val="0056294C"/>
    <w:rsid w:val="00562E5A"/>
    <w:rsid w:val="00563444"/>
    <w:rsid w:val="005639D6"/>
    <w:rsid w:val="00563E57"/>
    <w:rsid w:val="005643B3"/>
    <w:rsid w:val="0056460E"/>
    <w:rsid w:val="00564E29"/>
    <w:rsid w:val="00565585"/>
    <w:rsid w:val="005658DD"/>
    <w:rsid w:val="00565920"/>
    <w:rsid w:val="00565B17"/>
    <w:rsid w:val="00565CA5"/>
    <w:rsid w:val="00565F76"/>
    <w:rsid w:val="0056622C"/>
    <w:rsid w:val="005662CC"/>
    <w:rsid w:val="0056649E"/>
    <w:rsid w:val="0056683E"/>
    <w:rsid w:val="00566B27"/>
    <w:rsid w:val="00566CEA"/>
    <w:rsid w:val="005670CE"/>
    <w:rsid w:val="0056713F"/>
    <w:rsid w:val="0056741D"/>
    <w:rsid w:val="0056747F"/>
    <w:rsid w:val="00567903"/>
    <w:rsid w:val="00570006"/>
    <w:rsid w:val="0057099A"/>
    <w:rsid w:val="00570C35"/>
    <w:rsid w:val="0057146C"/>
    <w:rsid w:val="0057165D"/>
    <w:rsid w:val="00571B4E"/>
    <w:rsid w:val="00571C54"/>
    <w:rsid w:val="00571EC9"/>
    <w:rsid w:val="0057270D"/>
    <w:rsid w:val="00573171"/>
    <w:rsid w:val="0057332E"/>
    <w:rsid w:val="005735B9"/>
    <w:rsid w:val="00573698"/>
    <w:rsid w:val="00573832"/>
    <w:rsid w:val="0057394A"/>
    <w:rsid w:val="005739E3"/>
    <w:rsid w:val="00573B93"/>
    <w:rsid w:val="00573C29"/>
    <w:rsid w:val="00573E19"/>
    <w:rsid w:val="00574414"/>
    <w:rsid w:val="005747EC"/>
    <w:rsid w:val="0057512F"/>
    <w:rsid w:val="00575324"/>
    <w:rsid w:val="00575705"/>
    <w:rsid w:val="0057591E"/>
    <w:rsid w:val="00575956"/>
    <w:rsid w:val="00575CAD"/>
    <w:rsid w:val="00575E18"/>
    <w:rsid w:val="00576034"/>
    <w:rsid w:val="005768F5"/>
    <w:rsid w:val="0057698A"/>
    <w:rsid w:val="00576D45"/>
    <w:rsid w:val="00576D92"/>
    <w:rsid w:val="00577196"/>
    <w:rsid w:val="005772A7"/>
    <w:rsid w:val="005772EB"/>
    <w:rsid w:val="005776A9"/>
    <w:rsid w:val="00577B13"/>
    <w:rsid w:val="005801F7"/>
    <w:rsid w:val="0058075A"/>
    <w:rsid w:val="00580836"/>
    <w:rsid w:val="00580971"/>
    <w:rsid w:val="0058102F"/>
    <w:rsid w:val="00581452"/>
    <w:rsid w:val="005816FB"/>
    <w:rsid w:val="00582288"/>
    <w:rsid w:val="00582AA4"/>
    <w:rsid w:val="00583061"/>
    <w:rsid w:val="00583180"/>
    <w:rsid w:val="00583476"/>
    <w:rsid w:val="00583666"/>
    <w:rsid w:val="00583A20"/>
    <w:rsid w:val="00584012"/>
    <w:rsid w:val="00584245"/>
    <w:rsid w:val="005843A4"/>
    <w:rsid w:val="00584C2C"/>
    <w:rsid w:val="00584C4C"/>
    <w:rsid w:val="00584DE2"/>
    <w:rsid w:val="00585480"/>
    <w:rsid w:val="00586449"/>
    <w:rsid w:val="005865A5"/>
    <w:rsid w:val="005867A6"/>
    <w:rsid w:val="00586F4A"/>
    <w:rsid w:val="00586FEB"/>
    <w:rsid w:val="00587171"/>
    <w:rsid w:val="00587CED"/>
    <w:rsid w:val="00590B72"/>
    <w:rsid w:val="0059104D"/>
    <w:rsid w:val="0059123C"/>
    <w:rsid w:val="00591911"/>
    <w:rsid w:val="00592328"/>
    <w:rsid w:val="00592A18"/>
    <w:rsid w:val="00592A3F"/>
    <w:rsid w:val="00592C1E"/>
    <w:rsid w:val="00592D2B"/>
    <w:rsid w:val="00592D64"/>
    <w:rsid w:val="00592F04"/>
    <w:rsid w:val="005934A1"/>
    <w:rsid w:val="00593F84"/>
    <w:rsid w:val="0059444B"/>
    <w:rsid w:val="005944A6"/>
    <w:rsid w:val="005955BC"/>
    <w:rsid w:val="00595888"/>
    <w:rsid w:val="00596895"/>
    <w:rsid w:val="005969C8"/>
    <w:rsid w:val="00596C1A"/>
    <w:rsid w:val="00597DBD"/>
    <w:rsid w:val="00597FD7"/>
    <w:rsid w:val="005A02F4"/>
    <w:rsid w:val="005A0B04"/>
    <w:rsid w:val="005A1258"/>
    <w:rsid w:val="005A1928"/>
    <w:rsid w:val="005A2060"/>
    <w:rsid w:val="005A22B3"/>
    <w:rsid w:val="005A28B3"/>
    <w:rsid w:val="005A2CCF"/>
    <w:rsid w:val="005A2E64"/>
    <w:rsid w:val="005A2F91"/>
    <w:rsid w:val="005A3AB4"/>
    <w:rsid w:val="005A3DFC"/>
    <w:rsid w:val="005A4720"/>
    <w:rsid w:val="005A49F5"/>
    <w:rsid w:val="005A4A93"/>
    <w:rsid w:val="005A4C7C"/>
    <w:rsid w:val="005A5CCC"/>
    <w:rsid w:val="005A5E45"/>
    <w:rsid w:val="005A5E60"/>
    <w:rsid w:val="005A603C"/>
    <w:rsid w:val="005A623E"/>
    <w:rsid w:val="005A6245"/>
    <w:rsid w:val="005A650F"/>
    <w:rsid w:val="005A6656"/>
    <w:rsid w:val="005A66B7"/>
    <w:rsid w:val="005A6E2D"/>
    <w:rsid w:val="005A7088"/>
    <w:rsid w:val="005A7E56"/>
    <w:rsid w:val="005B09B0"/>
    <w:rsid w:val="005B0A8C"/>
    <w:rsid w:val="005B0FCE"/>
    <w:rsid w:val="005B1058"/>
    <w:rsid w:val="005B13F9"/>
    <w:rsid w:val="005B164D"/>
    <w:rsid w:val="005B17E0"/>
    <w:rsid w:val="005B1920"/>
    <w:rsid w:val="005B231C"/>
    <w:rsid w:val="005B23C0"/>
    <w:rsid w:val="005B25C3"/>
    <w:rsid w:val="005B26CA"/>
    <w:rsid w:val="005B2F91"/>
    <w:rsid w:val="005B30F9"/>
    <w:rsid w:val="005B3AE8"/>
    <w:rsid w:val="005B3E81"/>
    <w:rsid w:val="005B40F3"/>
    <w:rsid w:val="005B4530"/>
    <w:rsid w:val="005B4649"/>
    <w:rsid w:val="005B48A1"/>
    <w:rsid w:val="005B4A27"/>
    <w:rsid w:val="005B4DDA"/>
    <w:rsid w:val="005B59E4"/>
    <w:rsid w:val="005B61A2"/>
    <w:rsid w:val="005B61AA"/>
    <w:rsid w:val="005B6BBF"/>
    <w:rsid w:val="005B6C71"/>
    <w:rsid w:val="005B6D5F"/>
    <w:rsid w:val="005B7790"/>
    <w:rsid w:val="005B797C"/>
    <w:rsid w:val="005C05E7"/>
    <w:rsid w:val="005C0A22"/>
    <w:rsid w:val="005C0AC1"/>
    <w:rsid w:val="005C0D30"/>
    <w:rsid w:val="005C0E51"/>
    <w:rsid w:val="005C0EFA"/>
    <w:rsid w:val="005C14BE"/>
    <w:rsid w:val="005C2078"/>
    <w:rsid w:val="005C2154"/>
    <w:rsid w:val="005C236B"/>
    <w:rsid w:val="005C24F1"/>
    <w:rsid w:val="005C2510"/>
    <w:rsid w:val="005C2544"/>
    <w:rsid w:val="005C2EED"/>
    <w:rsid w:val="005C3137"/>
    <w:rsid w:val="005C3141"/>
    <w:rsid w:val="005C36A0"/>
    <w:rsid w:val="005C36C1"/>
    <w:rsid w:val="005C3AC4"/>
    <w:rsid w:val="005C3D00"/>
    <w:rsid w:val="005C3D27"/>
    <w:rsid w:val="005C3F29"/>
    <w:rsid w:val="005C4645"/>
    <w:rsid w:val="005C480E"/>
    <w:rsid w:val="005C48A1"/>
    <w:rsid w:val="005C4BF8"/>
    <w:rsid w:val="005C519F"/>
    <w:rsid w:val="005C51C8"/>
    <w:rsid w:val="005C585D"/>
    <w:rsid w:val="005C5A51"/>
    <w:rsid w:val="005C5B92"/>
    <w:rsid w:val="005C632E"/>
    <w:rsid w:val="005C651C"/>
    <w:rsid w:val="005C6569"/>
    <w:rsid w:val="005C678A"/>
    <w:rsid w:val="005C6AB1"/>
    <w:rsid w:val="005C6C8D"/>
    <w:rsid w:val="005C6E5A"/>
    <w:rsid w:val="005C7087"/>
    <w:rsid w:val="005C7C7D"/>
    <w:rsid w:val="005C7EE5"/>
    <w:rsid w:val="005D04B9"/>
    <w:rsid w:val="005D0DE8"/>
    <w:rsid w:val="005D0F9C"/>
    <w:rsid w:val="005D1207"/>
    <w:rsid w:val="005D1AD8"/>
    <w:rsid w:val="005D1B0E"/>
    <w:rsid w:val="005D1C1D"/>
    <w:rsid w:val="005D2239"/>
    <w:rsid w:val="005D223D"/>
    <w:rsid w:val="005D2909"/>
    <w:rsid w:val="005D3361"/>
    <w:rsid w:val="005D3897"/>
    <w:rsid w:val="005D3B21"/>
    <w:rsid w:val="005D3C0A"/>
    <w:rsid w:val="005D3C47"/>
    <w:rsid w:val="005D4600"/>
    <w:rsid w:val="005D4966"/>
    <w:rsid w:val="005D4971"/>
    <w:rsid w:val="005D4A14"/>
    <w:rsid w:val="005D4A57"/>
    <w:rsid w:val="005D4EB4"/>
    <w:rsid w:val="005D4FD7"/>
    <w:rsid w:val="005D5473"/>
    <w:rsid w:val="005D54D9"/>
    <w:rsid w:val="005D584F"/>
    <w:rsid w:val="005D5A6E"/>
    <w:rsid w:val="005D5A84"/>
    <w:rsid w:val="005D5AEE"/>
    <w:rsid w:val="005D5F7A"/>
    <w:rsid w:val="005D6B05"/>
    <w:rsid w:val="005D6B2F"/>
    <w:rsid w:val="005D7199"/>
    <w:rsid w:val="005D71A4"/>
    <w:rsid w:val="005D726C"/>
    <w:rsid w:val="005D749A"/>
    <w:rsid w:val="005D754E"/>
    <w:rsid w:val="005D7A65"/>
    <w:rsid w:val="005D7DCA"/>
    <w:rsid w:val="005D7F0C"/>
    <w:rsid w:val="005D7F8B"/>
    <w:rsid w:val="005E03FF"/>
    <w:rsid w:val="005E07C7"/>
    <w:rsid w:val="005E09B5"/>
    <w:rsid w:val="005E0EDD"/>
    <w:rsid w:val="005E0F47"/>
    <w:rsid w:val="005E12EA"/>
    <w:rsid w:val="005E1458"/>
    <w:rsid w:val="005E1796"/>
    <w:rsid w:val="005E19C8"/>
    <w:rsid w:val="005E1E3F"/>
    <w:rsid w:val="005E216F"/>
    <w:rsid w:val="005E252C"/>
    <w:rsid w:val="005E2A1F"/>
    <w:rsid w:val="005E2A64"/>
    <w:rsid w:val="005E2AE3"/>
    <w:rsid w:val="005E2B29"/>
    <w:rsid w:val="005E2B2E"/>
    <w:rsid w:val="005E2B82"/>
    <w:rsid w:val="005E2C43"/>
    <w:rsid w:val="005E32F3"/>
    <w:rsid w:val="005E4124"/>
    <w:rsid w:val="005E419D"/>
    <w:rsid w:val="005E424C"/>
    <w:rsid w:val="005E465A"/>
    <w:rsid w:val="005E49ED"/>
    <w:rsid w:val="005E4E85"/>
    <w:rsid w:val="005E4F80"/>
    <w:rsid w:val="005E50AD"/>
    <w:rsid w:val="005E5456"/>
    <w:rsid w:val="005E5542"/>
    <w:rsid w:val="005E5BAB"/>
    <w:rsid w:val="005E5C88"/>
    <w:rsid w:val="005E5DC3"/>
    <w:rsid w:val="005E5E37"/>
    <w:rsid w:val="005E611C"/>
    <w:rsid w:val="005E63B0"/>
    <w:rsid w:val="005E6A0C"/>
    <w:rsid w:val="005E7157"/>
    <w:rsid w:val="005E71A5"/>
    <w:rsid w:val="005E7423"/>
    <w:rsid w:val="005E77A2"/>
    <w:rsid w:val="005E78B1"/>
    <w:rsid w:val="005E7973"/>
    <w:rsid w:val="005E7AC8"/>
    <w:rsid w:val="005E7E45"/>
    <w:rsid w:val="005E7EAD"/>
    <w:rsid w:val="005E7F2B"/>
    <w:rsid w:val="005F0079"/>
    <w:rsid w:val="005F017C"/>
    <w:rsid w:val="005F026B"/>
    <w:rsid w:val="005F0CED"/>
    <w:rsid w:val="005F101D"/>
    <w:rsid w:val="005F1341"/>
    <w:rsid w:val="005F13C1"/>
    <w:rsid w:val="005F18A6"/>
    <w:rsid w:val="005F1945"/>
    <w:rsid w:val="005F1C2A"/>
    <w:rsid w:val="005F2289"/>
    <w:rsid w:val="005F2690"/>
    <w:rsid w:val="005F26DC"/>
    <w:rsid w:val="005F2760"/>
    <w:rsid w:val="005F2771"/>
    <w:rsid w:val="005F30D1"/>
    <w:rsid w:val="005F3A97"/>
    <w:rsid w:val="005F4099"/>
    <w:rsid w:val="005F4197"/>
    <w:rsid w:val="005F45BD"/>
    <w:rsid w:val="005F4874"/>
    <w:rsid w:val="005F48A9"/>
    <w:rsid w:val="005F4989"/>
    <w:rsid w:val="005F4A86"/>
    <w:rsid w:val="005F4C09"/>
    <w:rsid w:val="005F4CF2"/>
    <w:rsid w:val="005F4E4B"/>
    <w:rsid w:val="005F51D7"/>
    <w:rsid w:val="005F5428"/>
    <w:rsid w:val="005F57CA"/>
    <w:rsid w:val="005F57E1"/>
    <w:rsid w:val="005F5D75"/>
    <w:rsid w:val="005F5FB8"/>
    <w:rsid w:val="005F6F5E"/>
    <w:rsid w:val="005F6FFB"/>
    <w:rsid w:val="005F7483"/>
    <w:rsid w:val="005F7B5A"/>
    <w:rsid w:val="005F7F90"/>
    <w:rsid w:val="00600033"/>
    <w:rsid w:val="0060010E"/>
    <w:rsid w:val="006002A9"/>
    <w:rsid w:val="00600361"/>
    <w:rsid w:val="00600366"/>
    <w:rsid w:val="0060050B"/>
    <w:rsid w:val="006010A8"/>
    <w:rsid w:val="006014BE"/>
    <w:rsid w:val="0060154A"/>
    <w:rsid w:val="00601963"/>
    <w:rsid w:val="00601E4C"/>
    <w:rsid w:val="0060260A"/>
    <w:rsid w:val="006026E9"/>
    <w:rsid w:val="00603414"/>
    <w:rsid w:val="00603E38"/>
    <w:rsid w:val="00604094"/>
    <w:rsid w:val="0060462E"/>
    <w:rsid w:val="00604779"/>
    <w:rsid w:val="00604DBD"/>
    <w:rsid w:val="00605686"/>
    <w:rsid w:val="0060568E"/>
    <w:rsid w:val="006057A4"/>
    <w:rsid w:val="00605814"/>
    <w:rsid w:val="006058B0"/>
    <w:rsid w:val="006059A2"/>
    <w:rsid w:val="00605BF5"/>
    <w:rsid w:val="00607557"/>
    <w:rsid w:val="006076C0"/>
    <w:rsid w:val="006076C5"/>
    <w:rsid w:val="00607791"/>
    <w:rsid w:val="00607864"/>
    <w:rsid w:val="006078A5"/>
    <w:rsid w:val="00607A3E"/>
    <w:rsid w:val="00607DC6"/>
    <w:rsid w:val="006106E9"/>
    <w:rsid w:val="0061254B"/>
    <w:rsid w:val="00612973"/>
    <w:rsid w:val="00612986"/>
    <w:rsid w:val="00612A4B"/>
    <w:rsid w:val="00612BDC"/>
    <w:rsid w:val="00612CDD"/>
    <w:rsid w:val="00612F64"/>
    <w:rsid w:val="0061318B"/>
    <w:rsid w:val="00613AF9"/>
    <w:rsid w:val="00613D5A"/>
    <w:rsid w:val="00613F61"/>
    <w:rsid w:val="00613FCD"/>
    <w:rsid w:val="00614738"/>
    <w:rsid w:val="006153F0"/>
    <w:rsid w:val="006158D2"/>
    <w:rsid w:val="00616177"/>
    <w:rsid w:val="00616E2F"/>
    <w:rsid w:val="00616FD6"/>
    <w:rsid w:val="0061743E"/>
    <w:rsid w:val="00617B53"/>
    <w:rsid w:val="00617DE4"/>
    <w:rsid w:val="00617F77"/>
    <w:rsid w:val="0062018F"/>
    <w:rsid w:val="006202B1"/>
    <w:rsid w:val="006204E0"/>
    <w:rsid w:val="006206E5"/>
    <w:rsid w:val="00620ADA"/>
    <w:rsid w:val="0062144B"/>
    <w:rsid w:val="0062146D"/>
    <w:rsid w:val="006216FF"/>
    <w:rsid w:val="006218BF"/>
    <w:rsid w:val="00621CE1"/>
    <w:rsid w:val="00621FF5"/>
    <w:rsid w:val="00622311"/>
    <w:rsid w:val="0062276E"/>
    <w:rsid w:val="00622C1C"/>
    <w:rsid w:val="00622EF4"/>
    <w:rsid w:val="006233BA"/>
    <w:rsid w:val="006238AE"/>
    <w:rsid w:val="00624597"/>
    <w:rsid w:val="00624E83"/>
    <w:rsid w:val="00625081"/>
    <w:rsid w:val="006255AD"/>
    <w:rsid w:val="006258A4"/>
    <w:rsid w:val="00625D0D"/>
    <w:rsid w:val="00625DDB"/>
    <w:rsid w:val="00625FAC"/>
    <w:rsid w:val="006260AB"/>
    <w:rsid w:val="00626A48"/>
    <w:rsid w:val="006272CB"/>
    <w:rsid w:val="00627320"/>
    <w:rsid w:val="0062791F"/>
    <w:rsid w:val="00627B69"/>
    <w:rsid w:val="00627CDB"/>
    <w:rsid w:val="00630172"/>
    <w:rsid w:val="00630176"/>
    <w:rsid w:val="006303DD"/>
    <w:rsid w:val="00630A85"/>
    <w:rsid w:val="00630B01"/>
    <w:rsid w:val="00630F83"/>
    <w:rsid w:val="006311BF"/>
    <w:rsid w:val="006314A7"/>
    <w:rsid w:val="00631560"/>
    <w:rsid w:val="0063179D"/>
    <w:rsid w:val="0063188A"/>
    <w:rsid w:val="006323C8"/>
    <w:rsid w:val="00632436"/>
    <w:rsid w:val="006324CC"/>
    <w:rsid w:val="006324EA"/>
    <w:rsid w:val="00632D1C"/>
    <w:rsid w:val="00632E8A"/>
    <w:rsid w:val="00632FCE"/>
    <w:rsid w:val="00633065"/>
    <w:rsid w:val="00633501"/>
    <w:rsid w:val="006335CD"/>
    <w:rsid w:val="0063364F"/>
    <w:rsid w:val="00633794"/>
    <w:rsid w:val="006339AE"/>
    <w:rsid w:val="00633C52"/>
    <w:rsid w:val="00633EA9"/>
    <w:rsid w:val="00634678"/>
    <w:rsid w:val="006346FB"/>
    <w:rsid w:val="00634A11"/>
    <w:rsid w:val="00634E03"/>
    <w:rsid w:val="00636077"/>
    <w:rsid w:val="006363FA"/>
    <w:rsid w:val="00636741"/>
    <w:rsid w:val="00636C19"/>
    <w:rsid w:val="00636D81"/>
    <w:rsid w:val="00636D91"/>
    <w:rsid w:val="006373E7"/>
    <w:rsid w:val="006375BA"/>
    <w:rsid w:val="006377DF"/>
    <w:rsid w:val="0064007D"/>
    <w:rsid w:val="00640254"/>
    <w:rsid w:val="006410AF"/>
    <w:rsid w:val="00641737"/>
    <w:rsid w:val="006417EA"/>
    <w:rsid w:val="00641A54"/>
    <w:rsid w:val="00641AF2"/>
    <w:rsid w:val="00642391"/>
    <w:rsid w:val="00642598"/>
    <w:rsid w:val="00642706"/>
    <w:rsid w:val="00642725"/>
    <w:rsid w:val="006427FF"/>
    <w:rsid w:val="00642894"/>
    <w:rsid w:val="0064293E"/>
    <w:rsid w:val="00642B22"/>
    <w:rsid w:val="00642F84"/>
    <w:rsid w:val="006430D8"/>
    <w:rsid w:val="00643BF8"/>
    <w:rsid w:val="006440CE"/>
    <w:rsid w:val="00644A1A"/>
    <w:rsid w:val="00644A5B"/>
    <w:rsid w:val="00644B73"/>
    <w:rsid w:val="00644FAB"/>
    <w:rsid w:val="00645E2A"/>
    <w:rsid w:val="00646155"/>
    <w:rsid w:val="00646519"/>
    <w:rsid w:val="00646A01"/>
    <w:rsid w:val="00647173"/>
    <w:rsid w:val="00647D45"/>
    <w:rsid w:val="006502A2"/>
    <w:rsid w:val="0065097E"/>
    <w:rsid w:val="00650D8E"/>
    <w:rsid w:val="00650E67"/>
    <w:rsid w:val="00651961"/>
    <w:rsid w:val="00652017"/>
    <w:rsid w:val="0065270D"/>
    <w:rsid w:val="00652785"/>
    <w:rsid w:val="00652868"/>
    <w:rsid w:val="006530ED"/>
    <w:rsid w:val="006532DB"/>
    <w:rsid w:val="00653A90"/>
    <w:rsid w:val="00653BD8"/>
    <w:rsid w:val="00653BE0"/>
    <w:rsid w:val="00653E3D"/>
    <w:rsid w:val="00653EAE"/>
    <w:rsid w:val="006545E9"/>
    <w:rsid w:val="00654A15"/>
    <w:rsid w:val="00654EB2"/>
    <w:rsid w:val="006550F4"/>
    <w:rsid w:val="0065525F"/>
    <w:rsid w:val="006557A8"/>
    <w:rsid w:val="00655A18"/>
    <w:rsid w:val="00655A1F"/>
    <w:rsid w:val="00655D78"/>
    <w:rsid w:val="00656215"/>
    <w:rsid w:val="0065628F"/>
    <w:rsid w:val="0065666C"/>
    <w:rsid w:val="0065679D"/>
    <w:rsid w:val="006567A8"/>
    <w:rsid w:val="00656814"/>
    <w:rsid w:val="00656D00"/>
    <w:rsid w:val="006572D2"/>
    <w:rsid w:val="006574B9"/>
    <w:rsid w:val="00657505"/>
    <w:rsid w:val="00657C94"/>
    <w:rsid w:val="00657CB0"/>
    <w:rsid w:val="00657F59"/>
    <w:rsid w:val="00660087"/>
    <w:rsid w:val="0066059A"/>
    <w:rsid w:val="00660D2D"/>
    <w:rsid w:val="00660E4E"/>
    <w:rsid w:val="00661075"/>
    <w:rsid w:val="00661BA7"/>
    <w:rsid w:val="00661C0D"/>
    <w:rsid w:val="00661C1C"/>
    <w:rsid w:val="00661CB9"/>
    <w:rsid w:val="00661E40"/>
    <w:rsid w:val="00661FDC"/>
    <w:rsid w:val="00662187"/>
    <w:rsid w:val="0066222F"/>
    <w:rsid w:val="00662483"/>
    <w:rsid w:val="00662561"/>
    <w:rsid w:val="00662D57"/>
    <w:rsid w:val="00662E19"/>
    <w:rsid w:val="00663472"/>
    <w:rsid w:val="006634ED"/>
    <w:rsid w:val="00663755"/>
    <w:rsid w:val="00663888"/>
    <w:rsid w:val="006638B8"/>
    <w:rsid w:val="00663A9E"/>
    <w:rsid w:val="00663B8B"/>
    <w:rsid w:val="00663F79"/>
    <w:rsid w:val="006641D0"/>
    <w:rsid w:val="00664601"/>
    <w:rsid w:val="00664BBE"/>
    <w:rsid w:val="00665B9A"/>
    <w:rsid w:val="00666171"/>
    <w:rsid w:val="00666228"/>
    <w:rsid w:val="00666554"/>
    <w:rsid w:val="006665AD"/>
    <w:rsid w:val="006668C7"/>
    <w:rsid w:val="00666AC3"/>
    <w:rsid w:val="00666D89"/>
    <w:rsid w:val="00666DE3"/>
    <w:rsid w:val="00666E40"/>
    <w:rsid w:val="006672E2"/>
    <w:rsid w:val="0066796A"/>
    <w:rsid w:val="00667A1B"/>
    <w:rsid w:val="00667BC1"/>
    <w:rsid w:val="00667CC1"/>
    <w:rsid w:val="00667E11"/>
    <w:rsid w:val="00670198"/>
    <w:rsid w:val="0067055C"/>
    <w:rsid w:val="00670936"/>
    <w:rsid w:val="006709D5"/>
    <w:rsid w:val="00670A48"/>
    <w:rsid w:val="00670C07"/>
    <w:rsid w:val="00670CFF"/>
    <w:rsid w:val="0067138A"/>
    <w:rsid w:val="006715E5"/>
    <w:rsid w:val="00671917"/>
    <w:rsid w:val="006724B1"/>
    <w:rsid w:val="006725D7"/>
    <w:rsid w:val="0067269A"/>
    <w:rsid w:val="006731C1"/>
    <w:rsid w:val="006733BB"/>
    <w:rsid w:val="006740E9"/>
    <w:rsid w:val="00674144"/>
    <w:rsid w:val="00674616"/>
    <w:rsid w:val="0067482C"/>
    <w:rsid w:val="00674A1A"/>
    <w:rsid w:val="00674CA4"/>
    <w:rsid w:val="0067531D"/>
    <w:rsid w:val="006756BA"/>
    <w:rsid w:val="006758C6"/>
    <w:rsid w:val="00676805"/>
    <w:rsid w:val="00676971"/>
    <w:rsid w:val="00676AE6"/>
    <w:rsid w:val="00676AF8"/>
    <w:rsid w:val="00676DAA"/>
    <w:rsid w:val="00676E8E"/>
    <w:rsid w:val="00677834"/>
    <w:rsid w:val="006779E4"/>
    <w:rsid w:val="00677A85"/>
    <w:rsid w:val="006803C5"/>
    <w:rsid w:val="006803DB"/>
    <w:rsid w:val="006806C9"/>
    <w:rsid w:val="006808D2"/>
    <w:rsid w:val="00680B38"/>
    <w:rsid w:val="00680D25"/>
    <w:rsid w:val="00681296"/>
    <w:rsid w:val="00681901"/>
    <w:rsid w:val="00681CE5"/>
    <w:rsid w:val="00681F79"/>
    <w:rsid w:val="0068293C"/>
    <w:rsid w:val="00682ADB"/>
    <w:rsid w:val="00682CB2"/>
    <w:rsid w:val="00682D2A"/>
    <w:rsid w:val="00682DF0"/>
    <w:rsid w:val="006834B4"/>
    <w:rsid w:val="00683A09"/>
    <w:rsid w:val="006841CD"/>
    <w:rsid w:val="006842B5"/>
    <w:rsid w:val="006842EB"/>
    <w:rsid w:val="00684C63"/>
    <w:rsid w:val="00684E9B"/>
    <w:rsid w:val="006853AB"/>
    <w:rsid w:val="006870EF"/>
    <w:rsid w:val="00687266"/>
    <w:rsid w:val="00687362"/>
    <w:rsid w:val="006873C4"/>
    <w:rsid w:val="00687561"/>
    <w:rsid w:val="00687564"/>
    <w:rsid w:val="00687E03"/>
    <w:rsid w:val="006900B9"/>
    <w:rsid w:val="006902F7"/>
    <w:rsid w:val="006915CE"/>
    <w:rsid w:val="00691898"/>
    <w:rsid w:val="00691EC7"/>
    <w:rsid w:val="00692671"/>
    <w:rsid w:val="00692A38"/>
    <w:rsid w:val="00692B6C"/>
    <w:rsid w:val="00692B70"/>
    <w:rsid w:val="00692D99"/>
    <w:rsid w:val="00692D9B"/>
    <w:rsid w:val="00692E66"/>
    <w:rsid w:val="00692E69"/>
    <w:rsid w:val="006932FA"/>
    <w:rsid w:val="006934FD"/>
    <w:rsid w:val="006936E2"/>
    <w:rsid w:val="00693B71"/>
    <w:rsid w:val="00694600"/>
    <w:rsid w:val="00694979"/>
    <w:rsid w:val="00694A21"/>
    <w:rsid w:val="00694EA1"/>
    <w:rsid w:val="00694FD5"/>
    <w:rsid w:val="00695114"/>
    <w:rsid w:val="00695557"/>
    <w:rsid w:val="00696431"/>
    <w:rsid w:val="006969C0"/>
    <w:rsid w:val="00696E1C"/>
    <w:rsid w:val="00697217"/>
    <w:rsid w:val="0069785E"/>
    <w:rsid w:val="006978A0"/>
    <w:rsid w:val="00697C0F"/>
    <w:rsid w:val="00697D1C"/>
    <w:rsid w:val="00697EA3"/>
    <w:rsid w:val="00697FCB"/>
    <w:rsid w:val="006A071F"/>
    <w:rsid w:val="006A08C5"/>
    <w:rsid w:val="006A0A79"/>
    <w:rsid w:val="006A0AD1"/>
    <w:rsid w:val="006A1090"/>
    <w:rsid w:val="006A1181"/>
    <w:rsid w:val="006A1B13"/>
    <w:rsid w:val="006A21E9"/>
    <w:rsid w:val="006A24F8"/>
    <w:rsid w:val="006A2785"/>
    <w:rsid w:val="006A29E7"/>
    <w:rsid w:val="006A2BA1"/>
    <w:rsid w:val="006A2E3F"/>
    <w:rsid w:val="006A384C"/>
    <w:rsid w:val="006A3A02"/>
    <w:rsid w:val="006A470B"/>
    <w:rsid w:val="006A4A8A"/>
    <w:rsid w:val="006A4B70"/>
    <w:rsid w:val="006A4B86"/>
    <w:rsid w:val="006A4FD6"/>
    <w:rsid w:val="006A510B"/>
    <w:rsid w:val="006A5266"/>
    <w:rsid w:val="006A5A21"/>
    <w:rsid w:val="006A5C7D"/>
    <w:rsid w:val="006A5FC5"/>
    <w:rsid w:val="006A64F8"/>
    <w:rsid w:val="006A68F1"/>
    <w:rsid w:val="006A6BC9"/>
    <w:rsid w:val="006A6DFB"/>
    <w:rsid w:val="006A72FF"/>
    <w:rsid w:val="006A7377"/>
    <w:rsid w:val="006A73B5"/>
    <w:rsid w:val="006B01FB"/>
    <w:rsid w:val="006B06A5"/>
    <w:rsid w:val="006B0837"/>
    <w:rsid w:val="006B0B8A"/>
    <w:rsid w:val="006B0F4E"/>
    <w:rsid w:val="006B12EF"/>
    <w:rsid w:val="006B1851"/>
    <w:rsid w:val="006B1B27"/>
    <w:rsid w:val="006B1C85"/>
    <w:rsid w:val="006B26C4"/>
    <w:rsid w:val="006B26D4"/>
    <w:rsid w:val="006B28F1"/>
    <w:rsid w:val="006B29EE"/>
    <w:rsid w:val="006B2D7D"/>
    <w:rsid w:val="006B3116"/>
    <w:rsid w:val="006B3235"/>
    <w:rsid w:val="006B4138"/>
    <w:rsid w:val="006B41CB"/>
    <w:rsid w:val="006B4446"/>
    <w:rsid w:val="006B4563"/>
    <w:rsid w:val="006B4EA6"/>
    <w:rsid w:val="006B4FF7"/>
    <w:rsid w:val="006B5397"/>
    <w:rsid w:val="006B59B2"/>
    <w:rsid w:val="006B5D9F"/>
    <w:rsid w:val="006B61F7"/>
    <w:rsid w:val="006B6202"/>
    <w:rsid w:val="006B6630"/>
    <w:rsid w:val="006B6774"/>
    <w:rsid w:val="006B67DE"/>
    <w:rsid w:val="006B6D25"/>
    <w:rsid w:val="006B72F4"/>
    <w:rsid w:val="006B7837"/>
    <w:rsid w:val="006B7861"/>
    <w:rsid w:val="006B7ABF"/>
    <w:rsid w:val="006B7CD8"/>
    <w:rsid w:val="006C00B4"/>
    <w:rsid w:val="006C02A6"/>
    <w:rsid w:val="006C05F5"/>
    <w:rsid w:val="006C080C"/>
    <w:rsid w:val="006C0BC4"/>
    <w:rsid w:val="006C0D26"/>
    <w:rsid w:val="006C0DBF"/>
    <w:rsid w:val="006C124E"/>
    <w:rsid w:val="006C1323"/>
    <w:rsid w:val="006C154D"/>
    <w:rsid w:val="006C1631"/>
    <w:rsid w:val="006C1B52"/>
    <w:rsid w:val="006C1D73"/>
    <w:rsid w:val="006C1FAF"/>
    <w:rsid w:val="006C2D00"/>
    <w:rsid w:val="006C2E27"/>
    <w:rsid w:val="006C2F77"/>
    <w:rsid w:val="006C3159"/>
    <w:rsid w:val="006C31AA"/>
    <w:rsid w:val="006C32D8"/>
    <w:rsid w:val="006C32EE"/>
    <w:rsid w:val="006C36F1"/>
    <w:rsid w:val="006C3939"/>
    <w:rsid w:val="006C3A9F"/>
    <w:rsid w:val="006C3C9D"/>
    <w:rsid w:val="006C429E"/>
    <w:rsid w:val="006C4CF2"/>
    <w:rsid w:val="006C4D0C"/>
    <w:rsid w:val="006C5395"/>
    <w:rsid w:val="006C5728"/>
    <w:rsid w:val="006C6038"/>
    <w:rsid w:val="006C6268"/>
    <w:rsid w:val="006C6593"/>
    <w:rsid w:val="006C66AA"/>
    <w:rsid w:val="006C6877"/>
    <w:rsid w:val="006C69A7"/>
    <w:rsid w:val="006C69C2"/>
    <w:rsid w:val="006C7803"/>
    <w:rsid w:val="006C7A0E"/>
    <w:rsid w:val="006C7EBE"/>
    <w:rsid w:val="006D0A61"/>
    <w:rsid w:val="006D12BB"/>
    <w:rsid w:val="006D2546"/>
    <w:rsid w:val="006D25C2"/>
    <w:rsid w:val="006D27B6"/>
    <w:rsid w:val="006D2B30"/>
    <w:rsid w:val="006D2CB4"/>
    <w:rsid w:val="006D2DA9"/>
    <w:rsid w:val="006D302F"/>
    <w:rsid w:val="006D3124"/>
    <w:rsid w:val="006D3960"/>
    <w:rsid w:val="006D3D3F"/>
    <w:rsid w:val="006D406D"/>
    <w:rsid w:val="006D4199"/>
    <w:rsid w:val="006D4379"/>
    <w:rsid w:val="006D44E1"/>
    <w:rsid w:val="006D49AB"/>
    <w:rsid w:val="006D5216"/>
    <w:rsid w:val="006D53E1"/>
    <w:rsid w:val="006D55EA"/>
    <w:rsid w:val="006D56CD"/>
    <w:rsid w:val="006D5A32"/>
    <w:rsid w:val="006D5EDE"/>
    <w:rsid w:val="006D5F39"/>
    <w:rsid w:val="006D60B0"/>
    <w:rsid w:val="006D64AE"/>
    <w:rsid w:val="006D66A1"/>
    <w:rsid w:val="006D6720"/>
    <w:rsid w:val="006D6D51"/>
    <w:rsid w:val="006D70FE"/>
    <w:rsid w:val="006D7296"/>
    <w:rsid w:val="006D78BA"/>
    <w:rsid w:val="006D7FFD"/>
    <w:rsid w:val="006E0257"/>
    <w:rsid w:val="006E0452"/>
    <w:rsid w:val="006E066C"/>
    <w:rsid w:val="006E069B"/>
    <w:rsid w:val="006E070F"/>
    <w:rsid w:val="006E0A86"/>
    <w:rsid w:val="006E0BC0"/>
    <w:rsid w:val="006E0EA2"/>
    <w:rsid w:val="006E0EAD"/>
    <w:rsid w:val="006E10C6"/>
    <w:rsid w:val="006E1911"/>
    <w:rsid w:val="006E198C"/>
    <w:rsid w:val="006E1E3C"/>
    <w:rsid w:val="006E1F10"/>
    <w:rsid w:val="006E2759"/>
    <w:rsid w:val="006E28F2"/>
    <w:rsid w:val="006E2F10"/>
    <w:rsid w:val="006E3084"/>
    <w:rsid w:val="006E30B5"/>
    <w:rsid w:val="006E344B"/>
    <w:rsid w:val="006E3D16"/>
    <w:rsid w:val="006E4220"/>
    <w:rsid w:val="006E43BE"/>
    <w:rsid w:val="006E540D"/>
    <w:rsid w:val="006E5701"/>
    <w:rsid w:val="006E5A39"/>
    <w:rsid w:val="006E5AE3"/>
    <w:rsid w:val="006E5BDB"/>
    <w:rsid w:val="006E652B"/>
    <w:rsid w:val="006E68A0"/>
    <w:rsid w:val="006E6AA8"/>
    <w:rsid w:val="006E6B5F"/>
    <w:rsid w:val="006E6D70"/>
    <w:rsid w:val="006E701C"/>
    <w:rsid w:val="006E79F1"/>
    <w:rsid w:val="006F00CF"/>
    <w:rsid w:val="006F0456"/>
    <w:rsid w:val="006F0904"/>
    <w:rsid w:val="006F0E4D"/>
    <w:rsid w:val="006F1120"/>
    <w:rsid w:val="006F18CE"/>
    <w:rsid w:val="006F1E10"/>
    <w:rsid w:val="006F28D7"/>
    <w:rsid w:val="006F293A"/>
    <w:rsid w:val="006F2A7C"/>
    <w:rsid w:val="006F2AEF"/>
    <w:rsid w:val="006F2BD5"/>
    <w:rsid w:val="006F2C62"/>
    <w:rsid w:val="006F2F26"/>
    <w:rsid w:val="006F326F"/>
    <w:rsid w:val="006F34B2"/>
    <w:rsid w:val="006F4332"/>
    <w:rsid w:val="006F46CB"/>
    <w:rsid w:val="006F499C"/>
    <w:rsid w:val="006F4DA0"/>
    <w:rsid w:val="006F4EBD"/>
    <w:rsid w:val="006F542D"/>
    <w:rsid w:val="006F5495"/>
    <w:rsid w:val="006F551B"/>
    <w:rsid w:val="006F561C"/>
    <w:rsid w:val="006F5911"/>
    <w:rsid w:val="006F5A2A"/>
    <w:rsid w:val="006F5C74"/>
    <w:rsid w:val="006F636F"/>
    <w:rsid w:val="006F65BA"/>
    <w:rsid w:val="006F6CD5"/>
    <w:rsid w:val="006F6F30"/>
    <w:rsid w:val="006F6F3F"/>
    <w:rsid w:val="006F740F"/>
    <w:rsid w:val="00700471"/>
    <w:rsid w:val="007004E6"/>
    <w:rsid w:val="007005EA"/>
    <w:rsid w:val="00700624"/>
    <w:rsid w:val="00700A3D"/>
    <w:rsid w:val="00700E73"/>
    <w:rsid w:val="007013D8"/>
    <w:rsid w:val="007014BA"/>
    <w:rsid w:val="00701954"/>
    <w:rsid w:val="00701A2A"/>
    <w:rsid w:val="007024F8"/>
    <w:rsid w:val="007025FF"/>
    <w:rsid w:val="00702F41"/>
    <w:rsid w:val="007033C5"/>
    <w:rsid w:val="00703794"/>
    <w:rsid w:val="00703DF8"/>
    <w:rsid w:val="00704BB7"/>
    <w:rsid w:val="00704D5A"/>
    <w:rsid w:val="0070527F"/>
    <w:rsid w:val="00705918"/>
    <w:rsid w:val="00705B6D"/>
    <w:rsid w:val="00705DA0"/>
    <w:rsid w:val="007067FF"/>
    <w:rsid w:val="00706967"/>
    <w:rsid w:val="00707164"/>
    <w:rsid w:val="007072D8"/>
    <w:rsid w:val="00707321"/>
    <w:rsid w:val="00707475"/>
    <w:rsid w:val="007075CE"/>
    <w:rsid w:val="00707D82"/>
    <w:rsid w:val="00707DC6"/>
    <w:rsid w:val="0071002A"/>
    <w:rsid w:val="007100AB"/>
    <w:rsid w:val="007107C4"/>
    <w:rsid w:val="00710A75"/>
    <w:rsid w:val="00710D90"/>
    <w:rsid w:val="00710F6F"/>
    <w:rsid w:val="007111F6"/>
    <w:rsid w:val="00711562"/>
    <w:rsid w:val="00711B9F"/>
    <w:rsid w:val="00711FF7"/>
    <w:rsid w:val="007123BE"/>
    <w:rsid w:val="00712B61"/>
    <w:rsid w:val="00712B68"/>
    <w:rsid w:val="00713156"/>
    <w:rsid w:val="0071348B"/>
    <w:rsid w:val="00713612"/>
    <w:rsid w:val="00713E8D"/>
    <w:rsid w:val="00714216"/>
    <w:rsid w:val="00714501"/>
    <w:rsid w:val="00714D68"/>
    <w:rsid w:val="007157EB"/>
    <w:rsid w:val="00715E91"/>
    <w:rsid w:val="00715F64"/>
    <w:rsid w:val="007160FB"/>
    <w:rsid w:val="00716B34"/>
    <w:rsid w:val="007173BC"/>
    <w:rsid w:val="00717EDD"/>
    <w:rsid w:val="00720412"/>
    <w:rsid w:val="00720560"/>
    <w:rsid w:val="00720643"/>
    <w:rsid w:val="00720B8C"/>
    <w:rsid w:val="00720BC2"/>
    <w:rsid w:val="00720BE9"/>
    <w:rsid w:val="00721960"/>
    <w:rsid w:val="00721AE3"/>
    <w:rsid w:val="00721B97"/>
    <w:rsid w:val="00721D1A"/>
    <w:rsid w:val="007220B0"/>
    <w:rsid w:val="00722108"/>
    <w:rsid w:val="0072227B"/>
    <w:rsid w:val="0072258F"/>
    <w:rsid w:val="00722840"/>
    <w:rsid w:val="00722976"/>
    <w:rsid w:val="00722BD1"/>
    <w:rsid w:val="00723200"/>
    <w:rsid w:val="007232AF"/>
    <w:rsid w:val="0072338B"/>
    <w:rsid w:val="0072372F"/>
    <w:rsid w:val="007237A3"/>
    <w:rsid w:val="00723915"/>
    <w:rsid w:val="0072398A"/>
    <w:rsid w:val="00723FA0"/>
    <w:rsid w:val="0072434B"/>
    <w:rsid w:val="007243CF"/>
    <w:rsid w:val="0072447A"/>
    <w:rsid w:val="00725135"/>
    <w:rsid w:val="00725376"/>
    <w:rsid w:val="00725774"/>
    <w:rsid w:val="00725957"/>
    <w:rsid w:val="00726155"/>
    <w:rsid w:val="00726DD1"/>
    <w:rsid w:val="007273E6"/>
    <w:rsid w:val="007277DD"/>
    <w:rsid w:val="00727B60"/>
    <w:rsid w:val="00727C6E"/>
    <w:rsid w:val="0073024E"/>
    <w:rsid w:val="0073025D"/>
    <w:rsid w:val="0073095A"/>
    <w:rsid w:val="00730A08"/>
    <w:rsid w:val="00730CC4"/>
    <w:rsid w:val="00730E9D"/>
    <w:rsid w:val="007311F0"/>
    <w:rsid w:val="007314C6"/>
    <w:rsid w:val="007315B4"/>
    <w:rsid w:val="0073174B"/>
    <w:rsid w:val="00731C47"/>
    <w:rsid w:val="00731E17"/>
    <w:rsid w:val="00731E5F"/>
    <w:rsid w:val="00731F85"/>
    <w:rsid w:val="00732216"/>
    <w:rsid w:val="007324C3"/>
    <w:rsid w:val="007326F1"/>
    <w:rsid w:val="00732B77"/>
    <w:rsid w:val="00732C1D"/>
    <w:rsid w:val="00733294"/>
    <w:rsid w:val="00733466"/>
    <w:rsid w:val="007334F7"/>
    <w:rsid w:val="00733D6F"/>
    <w:rsid w:val="00734B5B"/>
    <w:rsid w:val="007353D6"/>
    <w:rsid w:val="00735479"/>
    <w:rsid w:val="00735D63"/>
    <w:rsid w:val="007361BB"/>
    <w:rsid w:val="007363A0"/>
    <w:rsid w:val="007367A4"/>
    <w:rsid w:val="00736AAA"/>
    <w:rsid w:val="00736D60"/>
    <w:rsid w:val="0073754C"/>
    <w:rsid w:val="00740705"/>
    <w:rsid w:val="00740830"/>
    <w:rsid w:val="00741017"/>
    <w:rsid w:val="00741220"/>
    <w:rsid w:val="0074146C"/>
    <w:rsid w:val="00741542"/>
    <w:rsid w:val="0074182A"/>
    <w:rsid w:val="00741887"/>
    <w:rsid w:val="00741920"/>
    <w:rsid w:val="00741F74"/>
    <w:rsid w:val="007422A5"/>
    <w:rsid w:val="007429A3"/>
    <w:rsid w:val="00742FC5"/>
    <w:rsid w:val="00743556"/>
    <w:rsid w:val="00743567"/>
    <w:rsid w:val="00743A6D"/>
    <w:rsid w:val="00743F16"/>
    <w:rsid w:val="007440B8"/>
    <w:rsid w:val="00744373"/>
    <w:rsid w:val="00744E6A"/>
    <w:rsid w:val="00745338"/>
    <w:rsid w:val="007456A4"/>
    <w:rsid w:val="00745927"/>
    <w:rsid w:val="00745C0D"/>
    <w:rsid w:val="00746CB7"/>
    <w:rsid w:val="00746FC7"/>
    <w:rsid w:val="007477A0"/>
    <w:rsid w:val="007478F3"/>
    <w:rsid w:val="007500CC"/>
    <w:rsid w:val="00750105"/>
    <w:rsid w:val="00750188"/>
    <w:rsid w:val="00750439"/>
    <w:rsid w:val="00750518"/>
    <w:rsid w:val="0075059A"/>
    <w:rsid w:val="00750687"/>
    <w:rsid w:val="00750835"/>
    <w:rsid w:val="007509EE"/>
    <w:rsid w:val="00750E4F"/>
    <w:rsid w:val="00750F1A"/>
    <w:rsid w:val="007510FF"/>
    <w:rsid w:val="00751A46"/>
    <w:rsid w:val="00751D17"/>
    <w:rsid w:val="007525BD"/>
    <w:rsid w:val="0075293D"/>
    <w:rsid w:val="0075294C"/>
    <w:rsid w:val="0075318C"/>
    <w:rsid w:val="007533CB"/>
    <w:rsid w:val="007536B1"/>
    <w:rsid w:val="007542EA"/>
    <w:rsid w:val="0075472E"/>
    <w:rsid w:val="00754A0E"/>
    <w:rsid w:val="00754A63"/>
    <w:rsid w:val="00754FAF"/>
    <w:rsid w:val="0075540A"/>
    <w:rsid w:val="00755829"/>
    <w:rsid w:val="007558A5"/>
    <w:rsid w:val="007558F6"/>
    <w:rsid w:val="007558FA"/>
    <w:rsid w:val="00755D21"/>
    <w:rsid w:val="007568FB"/>
    <w:rsid w:val="0075691D"/>
    <w:rsid w:val="00756CB5"/>
    <w:rsid w:val="007571AE"/>
    <w:rsid w:val="00757601"/>
    <w:rsid w:val="00757C84"/>
    <w:rsid w:val="00757C92"/>
    <w:rsid w:val="00757E32"/>
    <w:rsid w:val="0076068F"/>
    <w:rsid w:val="00760FA2"/>
    <w:rsid w:val="0076165C"/>
    <w:rsid w:val="007617EE"/>
    <w:rsid w:val="00762188"/>
    <w:rsid w:val="00762A07"/>
    <w:rsid w:val="00762C5B"/>
    <w:rsid w:val="00763117"/>
    <w:rsid w:val="007634D7"/>
    <w:rsid w:val="00763AD9"/>
    <w:rsid w:val="0076426A"/>
    <w:rsid w:val="00764286"/>
    <w:rsid w:val="007644DC"/>
    <w:rsid w:val="007650AF"/>
    <w:rsid w:val="007653D2"/>
    <w:rsid w:val="00765473"/>
    <w:rsid w:val="00765619"/>
    <w:rsid w:val="00765762"/>
    <w:rsid w:val="00765F42"/>
    <w:rsid w:val="00765FE1"/>
    <w:rsid w:val="00766C81"/>
    <w:rsid w:val="00766D31"/>
    <w:rsid w:val="00766F5B"/>
    <w:rsid w:val="00767012"/>
    <w:rsid w:val="007676FC"/>
    <w:rsid w:val="0076774D"/>
    <w:rsid w:val="007677D6"/>
    <w:rsid w:val="007679CE"/>
    <w:rsid w:val="00767B52"/>
    <w:rsid w:val="00767F64"/>
    <w:rsid w:val="0077021F"/>
    <w:rsid w:val="00770325"/>
    <w:rsid w:val="00770585"/>
    <w:rsid w:val="00770749"/>
    <w:rsid w:val="007710A3"/>
    <w:rsid w:val="00771587"/>
    <w:rsid w:val="0077180A"/>
    <w:rsid w:val="00771ABC"/>
    <w:rsid w:val="007723E2"/>
    <w:rsid w:val="007724BD"/>
    <w:rsid w:val="0077252F"/>
    <w:rsid w:val="007726C3"/>
    <w:rsid w:val="00772A52"/>
    <w:rsid w:val="00772CFE"/>
    <w:rsid w:val="007733D2"/>
    <w:rsid w:val="007734F8"/>
    <w:rsid w:val="0077356D"/>
    <w:rsid w:val="00773927"/>
    <w:rsid w:val="00773DE6"/>
    <w:rsid w:val="00774570"/>
    <w:rsid w:val="0077488B"/>
    <w:rsid w:val="00774E1B"/>
    <w:rsid w:val="00774E52"/>
    <w:rsid w:val="0077506F"/>
    <w:rsid w:val="0077520E"/>
    <w:rsid w:val="00775798"/>
    <w:rsid w:val="00775821"/>
    <w:rsid w:val="00776161"/>
    <w:rsid w:val="00776FA2"/>
    <w:rsid w:val="007773D5"/>
    <w:rsid w:val="007773EC"/>
    <w:rsid w:val="007776A1"/>
    <w:rsid w:val="007779BD"/>
    <w:rsid w:val="00777D02"/>
    <w:rsid w:val="00777DA3"/>
    <w:rsid w:val="00777E39"/>
    <w:rsid w:val="007800C9"/>
    <w:rsid w:val="00780443"/>
    <w:rsid w:val="0078064D"/>
    <w:rsid w:val="0078069A"/>
    <w:rsid w:val="00780916"/>
    <w:rsid w:val="00780A06"/>
    <w:rsid w:val="00780D11"/>
    <w:rsid w:val="00780E99"/>
    <w:rsid w:val="0078101B"/>
    <w:rsid w:val="00781040"/>
    <w:rsid w:val="0078107F"/>
    <w:rsid w:val="007815DF"/>
    <w:rsid w:val="0078188A"/>
    <w:rsid w:val="00781E28"/>
    <w:rsid w:val="00782199"/>
    <w:rsid w:val="00782420"/>
    <w:rsid w:val="00782517"/>
    <w:rsid w:val="00782A8F"/>
    <w:rsid w:val="00782AB3"/>
    <w:rsid w:val="00782B4A"/>
    <w:rsid w:val="00782F4B"/>
    <w:rsid w:val="00783285"/>
    <w:rsid w:val="00783487"/>
    <w:rsid w:val="0078367D"/>
    <w:rsid w:val="0078382C"/>
    <w:rsid w:val="007839E7"/>
    <w:rsid w:val="007841D3"/>
    <w:rsid w:val="00784324"/>
    <w:rsid w:val="007843BC"/>
    <w:rsid w:val="007845E6"/>
    <w:rsid w:val="00784699"/>
    <w:rsid w:val="007848E2"/>
    <w:rsid w:val="00784CE6"/>
    <w:rsid w:val="007853B8"/>
    <w:rsid w:val="007853CE"/>
    <w:rsid w:val="0078541A"/>
    <w:rsid w:val="007855AE"/>
    <w:rsid w:val="0078564E"/>
    <w:rsid w:val="00785880"/>
    <w:rsid w:val="007858B1"/>
    <w:rsid w:val="00785A61"/>
    <w:rsid w:val="00785F3E"/>
    <w:rsid w:val="007864A8"/>
    <w:rsid w:val="00786AB4"/>
    <w:rsid w:val="00786FDE"/>
    <w:rsid w:val="007874D2"/>
    <w:rsid w:val="00787578"/>
    <w:rsid w:val="007878B6"/>
    <w:rsid w:val="00787B77"/>
    <w:rsid w:val="00787F42"/>
    <w:rsid w:val="0079033C"/>
    <w:rsid w:val="007906F8"/>
    <w:rsid w:val="007907E7"/>
    <w:rsid w:val="00790B5C"/>
    <w:rsid w:val="00790C85"/>
    <w:rsid w:val="00791444"/>
    <w:rsid w:val="00791782"/>
    <w:rsid w:val="007917B9"/>
    <w:rsid w:val="00791D9E"/>
    <w:rsid w:val="00791F63"/>
    <w:rsid w:val="00792521"/>
    <w:rsid w:val="00792E9A"/>
    <w:rsid w:val="00793887"/>
    <w:rsid w:val="00793E13"/>
    <w:rsid w:val="0079401D"/>
    <w:rsid w:val="0079402B"/>
    <w:rsid w:val="00794135"/>
    <w:rsid w:val="007944FF"/>
    <w:rsid w:val="00794893"/>
    <w:rsid w:val="00794D45"/>
    <w:rsid w:val="0079516C"/>
    <w:rsid w:val="0079574D"/>
    <w:rsid w:val="00795A3A"/>
    <w:rsid w:val="00795AEC"/>
    <w:rsid w:val="00795C1A"/>
    <w:rsid w:val="00795EB0"/>
    <w:rsid w:val="00796174"/>
    <w:rsid w:val="007962D7"/>
    <w:rsid w:val="007963A1"/>
    <w:rsid w:val="0079651E"/>
    <w:rsid w:val="00796618"/>
    <w:rsid w:val="0079691A"/>
    <w:rsid w:val="00796954"/>
    <w:rsid w:val="00796C59"/>
    <w:rsid w:val="00797159"/>
    <w:rsid w:val="007972F9"/>
    <w:rsid w:val="007979DD"/>
    <w:rsid w:val="00797B32"/>
    <w:rsid w:val="007A011C"/>
    <w:rsid w:val="007A01C8"/>
    <w:rsid w:val="007A039B"/>
    <w:rsid w:val="007A06E0"/>
    <w:rsid w:val="007A102B"/>
    <w:rsid w:val="007A131F"/>
    <w:rsid w:val="007A19E2"/>
    <w:rsid w:val="007A1FDB"/>
    <w:rsid w:val="007A2279"/>
    <w:rsid w:val="007A270B"/>
    <w:rsid w:val="007A28EC"/>
    <w:rsid w:val="007A2C5D"/>
    <w:rsid w:val="007A2F91"/>
    <w:rsid w:val="007A33E0"/>
    <w:rsid w:val="007A35A3"/>
    <w:rsid w:val="007A3731"/>
    <w:rsid w:val="007A3EF7"/>
    <w:rsid w:val="007A438B"/>
    <w:rsid w:val="007A43EF"/>
    <w:rsid w:val="007A450B"/>
    <w:rsid w:val="007A45E0"/>
    <w:rsid w:val="007A4684"/>
    <w:rsid w:val="007A4829"/>
    <w:rsid w:val="007A484F"/>
    <w:rsid w:val="007A4E04"/>
    <w:rsid w:val="007A52E5"/>
    <w:rsid w:val="007A54C2"/>
    <w:rsid w:val="007A5835"/>
    <w:rsid w:val="007A5878"/>
    <w:rsid w:val="007A59B6"/>
    <w:rsid w:val="007A5EA3"/>
    <w:rsid w:val="007A67BC"/>
    <w:rsid w:val="007A6C0A"/>
    <w:rsid w:val="007A7058"/>
    <w:rsid w:val="007A7105"/>
    <w:rsid w:val="007A7288"/>
    <w:rsid w:val="007A7673"/>
    <w:rsid w:val="007A783D"/>
    <w:rsid w:val="007A7D04"/>
    <w:rsid w:val="007A7FE4"/>
    <w:rsid w:val="007B0041"/>
    <w:rsid w:val="007B0096"/>
    <w:rsid w:val="007B0989"/>
    <w:rsid w:val="007B0C22"/>
    <w:rsid w:val="007B0C50"/>
    <w:rsid w:val="007B0F40"/>
    <w:rsid w:val="007B10D8"/>
    <w:rsid w:val="007B1117"/>
    <w:rsid w:val="007B1125"/>
    <w:rsid w:val="007B136F"/>
    <w:rsid w:val="007B1734"/>
    <w:rsid w:val="007B1ADA"/>
    <w:rsid w:val="007B1C7F"/>
    <w:rsid w:val="007B1DA4"/>
    <w:rsid w:val="007B1DDF"/>
    <w:rsid w:val="007B230B"/>
    <w:rsid w:val="007B2334"/>
    <w:rsid w:val="007B275C"/>
    <w:rsid w:val="007B2A19"/>
    <w:rsid w:val="007B2B16"/>
    <w:rsid w:val="007B2B9F"/>
    <w:rsid w:val="007B2D67"/>
    <w:rsid w:val="007B318C"/>
    <w:rsid w:val="007B32DE"/>
    <w:rsid w:val="007B3F94"/>
    <w:rsid w:val="007B409B"/>
    <w:rsid w:val="007B41F6"/>
    <w:rsid w:val="007B42A1"/>
    <w:rsid w:val="007B470E"/>
    <w:rsid w:val="007B49FB"/>
    <w:rsid w:val="007B4EB2"/>
    <w:rsid w:val="007B4F6F"/>
    <w:rsid w:val="007B5026"/>
    <w:rsid w:val="007B505D"/>
    <w:rsid w:val="007B51A0"/>
    <w:rsid w:val="007B51F9"/>
    <w:rsid w:val="007B54E1"/>
    <w:rsid w:val="007B54F8"/>
    <w:rsid w:val="007B57AA"/>
    <w:rsid w:val="007B5979"/>
    <w:rsid w:val="007B5A26"/>
    <w:rsid w:val="007B5F1F"/>
    <w:rsid w:val="007B664A"/>
    <w:rsid w:val="007B6E6F"/>
    <w:rsid w:val="007B71C7"/>
    <w:rsid w:val="007B7227"/>
    <w:rsid w:val="007B749D"/>
    <w:rsid w:val="007B78FC"/>
    <w:rsid w:val="007B7AD5"/>
    <w:rsid w:val="007C05C1"/>
    <w:rsid w:val="007C0D25"/>
    <w:rsid w:val="007C141E"/>
    <w:rsid w:val="007C1B89"/>
    <w:rsid w:val="007C2772"/>
    <w:rsid w:val="007C2929"/>
    <w:rsid w:val="007C29A6"/>
    <w:rsid w:val="007C2A07"/>
    <w:rsid w:val="007C2B4A"/>
    <w:rsid w:val="007C2CF3"/>
    <w:rsid w:val="007C2F3A"/>
    <w:rsid w:val="007C31D2"/>
    <w:rsid w:val="007C38DF"/>
    <w:rsid w:val="007C3C52"/>
    <w:rsid w:val="007C4158"/>
    <w:rsid w:val="007C461A"/>
    <w:rsid w:val="007C470D"/>
    <w:rsid w:val="007C4F0C"/>
    <w:rsid w:val="007C4FF7"/>
    <w:rsid w:val="007C50F9"/>
    <w:rsid w:val="007C527B"/>
    <w:rsid w:val="007C564E"/>
    <w:rsid w:val="007C590E"/>
    <w:rsid w:val="007C59BE"/>
    <w:rsid w:val="007C59C4"/>
    <w:rsid w:val="007C5BCA"/>
    <w:rsid w:val="007C5EC2"/>
    <w:rsid w:val="007C606C"/>
    <w:rsid w:val="007C6A50"/>
    <w:rsid w:val="007C7BD7"/>
    <w:rsid w:val="007C7F13"/>
    <w:rsid w:val="007D0926"/>
    <w:rsid w:val="007D0A96"/>
    <w:rsid w:val="007D0D19"/>
    <w:rsid w:val="007D1658"/>
    <w:rsid w:val="007D175C"/>
    <w:rsid w:val="007D18EA"/>
    <w:rsid w:val="007D1A3D"/>
    <w:rsid w:val="007D1CEA"/>
    <w:rsid w:val="007D25B7"/>
    <w:rsid w:val="007D289A"/>
    <w:rsid w:val="007D2E03"/>
    <w:rsid w:val="007D2E4B"/>
    <w:rsid w:val="007D374C"/>
    <w:rsid w:val="007D3939"/>
    <w:rsid w:val="007D3CAB"/>
    <w:rsid w:val="007D3FE6"/>
    <w:rsid w:val="007D4148"/>
    <w:rsid w:val="007D4188"/>
    <w:rsid w:val="007D41F5"/>
    <w:rsid w:val="007D48F7"/>
    <w:rsid w:val="007D49C5"/>
    <w:rsid w:val="007D4A42"/>
    <w:rsid w:val="007D4EDF"/>
    <w:rsid w:val="007D55FB"/>
    <w:rsid w:val="007D5978"/>
    <w:rsid w:val="007D66E5"/>
    <w:rsid w:val="007D6C83"/>
    <w:rsid w:val="007D6D31"/>
    <w:rsid w:val="007D714D"/>
    <w:rsid w:val="007D7191"/>
    <w:rsid w:val="007D72F9"/>
    <w:rsid w:val="007D74BB"/>
    <w:rsid w:val="007D797A"/>
    <w:rsid w:val="007D7DF1"/>
    <w:rsid w:val="007D7FD1"/>
    <w:rsid w:val="007E0192"/>
    <w:rsid w:val="007E0436"/>
    <w:rsid w:val="007E0452"/>
    <w:rsid w:val="007E0752"/>
    <w:rsid w:val="007E133F"/>
    <w:rsid w:val="007E147E"/>
    <w:rsid w:val="007E14E0"/>
    <w:rsid w:val="007E1584"/>
    <w:rsid w:val="007E1A9F"/>
    <w:rsid w:val="007E1EE8"/>
    <w:rsid w:val="007E24DA"/>
    <w:rsid w:val="007E2A3A"/>
    <w:rsid w:val="007E2AEF"/>
    <w:rsid w:val="007E2B54"/>
    <w:rsid w:val="007E3046"/>
    <w:rsid w:val="007E314F"/>
    <w:rsid w:val="007E3526"/>
    <w:rsid w:val="007E3AE1"/>
    <w:rsid w:val="007E4372"/>
    <w:rsid w:val="007E44E3"/>
    <w:rsid w:val="007E4D41"/>
    <w:rsid w:val="007E4EA9"/>
    <w:rsid w:val="007E5099"/>
    <w:rsid w:val="007E5653"/>
    <w:rsid w:val="007E5A81"/>
    <w:rsid w:val="007E5C40"/>
    <w:rsid w:val="007E665A"/>
    <w:rsid w:val="007E695E"/>
    <w:rsid w:val="007E6BEF"/>
    <w:rsid w:val="007E6CF0"/>
    <w:rsid w:val="007E6EE6"/>
    <w:rsid w:val="007E71BF"/>
    <w:rsid w:val="007E7246"/>
    <w:rsid w:val="007E73AA"/>
    <w:rsid w:val="007E7A34"/>
    <w:rsid w:val="007F0187"/>
    <w:rsid w:val="007F0B94"/>
    <w:rsid w:val="007F134C"/>
    <w:rsid w:val="007F17FF"/>
    <w:rsid w:val="007F1908"/>
    <w:rsid w:val="007F1B63"/>
    <w:rsid w:val="007F2223"/>
    <w:rsid w:val="007F22C8"/>
    <w:rsid w:val="007F2B31"/>
    <w:rsid w:val="007F2FA8"/>
    <w:rsid w:val="007F3AE4"/>
    <w:rsid w:val="007F3D8F"/>
    <w:rsid w:val="007F3F0B"/>
    <w:rsid w:val="007F3FBF"/>
    <w:rsid w:val="007F4032"/>
    <w:rsid w:val="007F4853"/>
    <w:rsid w:val="007F5024"/>
    <w:rsid w:val="007F52AA"/>
    <w:rsid w:val="007F57A3"/>
    <w:rsid w:val="007F5F93"/>
    <w:rsid w:val="007F5FAF"/>
    <w:rsid w:val="007F7402"/>
    <w:rsid w:val="007F7A41"/>
    <w:rsid w:val="007F7DB4"/>
    <w:rsid w:val="007F7EE2"/>
    <w:rsid w:val="008003BC"/>
    <w:rsid w:val="0080044E"/>
    <w:rsid w:val="00800781"/>
    <w:rsid w:val="00800832"/>
    <w:rsid w:val="008009AE"/>
    <w:rsid w:val="00800B43"/>
    <w:rsid w:val="00800C19"/>
    <w:rsid w:val="00801781"/>
    <w:rsid w:val="00801794"/>
    <w:rsid w:val="008019CC"/>
    <w:rsid w:val="0080208D"/>
    <w:rsid w:val="00802BF0"/>
    <w:rsid w:val="00802EC0"/>
    <w:rsid w:val="00803171"/>
    <w:rsid w:val="0080347A"/>
    <w:rsid w:val="00803616"/>
    <w:rsid w:val="00803D2B"/>
    <w:rsid w:val="008042DC"/>
    <w:rsid w:val="0080498A"/>
    <w:rsid w:val="00804C96"/>
    <w:rsid w:val="00806271"/>
    <w:rsid w:val="008062FD"/>
    <w:rsid w:val="00806D8A"/>
    <w:rsid w:val="00807D0E"/>
    <w:rsid w:val="008100BB"/>
    <w:rsid w:val="00810201"/>
    <w:rsid w:val="00810270"/>
    <w:rsid w:val="008105DE"/>
    <w:rsid w:val="00810732"/>
    <w:rsid w:val="00810749"/>
    <w:rsid w:val="00811093"/>
    <w:rsid w:val="0081191E"/>
    <w:rsid w:val="00811968"/>
    <w:rsid w:val="00811A6B"/>
    <w:rsid w:val="00811B6D"/>
    <w:rsid w:val="00811D97"/>
    <w:rsid w:val="00811FFF"/>
    <w:rsid w:val="00812A2F"/>
    <w:rsid w:val="00812FB9"/>
    <w:rsid w:val="0081351B"/>
    <w:rsid w:val="00814185"/>
    <w:rsid w:val="0081454A"/>
    <w:rsid w:val="00814835"/>
    <w:rsid w:val="00814CCE"/>
    <w:rsid w:val="0081538B"/>
    <w:rsid w:val="00815886"/>
    <w:rsid w:val="00815CD4"/>
    <w:rsid w:val="00815DCF"/>
    <w:rsid w:val="00816601"/>
    <w:rsid w:val="00816AC7"/>
    <w:rsid w:val="00816AFB"/>
    <w:rsid w:val="008173E4"/>
    <w:rsid w:val="00817431"/>
    <w:rsid w:val="00817716"/>
    <w:rsid w:val="00817903"/>
    <w:rsid w:val="00817921"/>
    <w:rsid w:val="008200E8"/>
    <w:rsid w:val="008200FB"/>
    <w:rsid w:val="008203AC"/>
    <w:rsid w:val="00820CB7"/>
    <w:rsid w:val="00820DF3"/>
    <w:rsid w:val="00820EEA"/>
    <w:rsid w:val="00820FC8"/>
    <w:rsid w:val="00821415"/>
    <w:rsid w:val="00821988"/>
    <w:rsid w:val="00821C84"/>
    <w:rsid w:val="00821F3A"/>
    <w:rsid w:val="008223A2"/>
    <w:rsid w:val="00822995"/>
    <w:rsid w:val="00822AFC"/>
    <w:rsid w:val="00822C01"/>
    <w:rsid w:val="00822F8C"/>
    <w:rsid w:val="008232C5"/>
    <w:rsid w:val="00823318"/>
    <w:rsid w:val="00823598"/>
    <w:rsid w:val="008239DD"/>
    <w:rsid w:val="00823EBD"/>
    <w:rsid w:val="008240E0"/>
    <w:rsid w:val="008245F6"/>
    <w:rsid w:val="00824887"/>
    <w:rsid w:val="008249AD"/>
    <w:rsid w:val="00824A1C"/>
    <w:rsid w:val="008250CA"/>
    <w:rsid w:val="00825837"/>
    <w:rsid w:val="0082660C"/>
    <w:rsid w:val="00826AA7"/>
    <w:rsid w:val="0082775B"/>
    <w:rsid w:val="008278FF"/>
    <w:rsid w:val="00827DED"/>
    <w:rsid w:val="008303F6"/>
    <w:rsid w:val="00830535"/>
    <w:rsid w:val="00830FCA"/>
    <w:rsid w:val="008316A6"/>
    <w:rsid w:val="00831755"/>
    <w:rsid w:val="00831D40"/>
    <w:rsid w:val="00831E2B"/>
    <w:rsid w:val="00832FA9"/>
    <w:rsid w:val="008336A1"/>
    <w:rsid w:val="008336B2"/>
    <w:rsid w:val="0083374B"/>
    <w:rsid w:val="00833B0C"/>
    <w:rsid w:val="00834269"/>
    <w:rsid w:val="00834312"/>
    <w:rsid w:val="00834512"/>
    <w:rsid w:val="00834671"/>
    <w:rsid w:val="00834929"/>
    <w:rsid w:val="008349C1"/>
    <w:rsid w:val="008349D6"/>
    <w:rsid w:val="00834A53"/>
    <w:rsid w:val="0083524F"/>
    <w:rsid w:val="0083563A"/>
    <w:rsid w:val="008363C6"/>
    <w:rsid w:val="008363F1"/>
    <w:rsid w:val="0083658A"/>
    <w:rsid w:val="00836A04"/>
    <w:rsid w:val="00837046"/>
    <w:rsid w:val="00837645"/>
    <w:rsid w:val="00837671"/>
    <w:rsid w:val="00837A7B"/>
    <w:rsid w:val="008401D3"/>
    <w:rsid w:val="00840498"/>
    <w:rsid w:val="00840607"/>
    <w:rsid w:val="0084075C"/>
    <w:rsid w:val="008408D7"/>
    <w:rsid w:val="00840CC5"/>
    <w:rsid w:val="0084121F"/>
    <w:rsid w:val="008415E0"/>
    <w:rsid w:val="00841C58"/>
    <w:rsid w:val="00841E4E"/>
    <w:rsid w:val="00842204"/>
    <w:rsid w:val="00842292"/>
    <w:rsid w:val="008422A2"/>
    <w:rsid w:val="00842529"/>
    <w:rsid w:val="008427BC"/>
    <w:rsid w:val="008428E5"/>
    <w:rsid w:val="00842A22"/>
    <w:rsid w:val="00843178"/>
    <w:rsid w:val="008431CD"/>
    <w:rsid w:val="008436FC"/>
    <w:rsid w:val="008437BE"/>
    <w:rsid w:val="00843B29"/>
    <w:rsid w:val="00843D44"/>
    <w:rsid w:val="00843E1B"/>
    <w:rsid w:val="00843EC3"/>
    <w:rsid w:val="008440B6"/>
    <w:rsid w:val="0084416A"/>
    <w:rsid w:val="00844330"/>
    <w:rsid w:val="0084501E"/>
    <w:rsid w:val="00845775"/>
    <w:rsid w:val="00845DB1"/>
    <w:rsid w:val="00846EAB"/>
    <w:rsid w:val="00847428"/>
    <w:rsid w:val="008474E5"/>
    <w:rsid w:val="00847C55"/>
    <w:rsid w:val="0085011D"/>
    <w:rsid w:val="00850671"/>
    <w:rsid w:val="00850749"/>
    <w:rsid w:val="00850BD5"/>
    <w:rsid w:val="00850F8D"/>
    <w:rsid w:val="008512A0"/>
    <w:rsid w:val="00851309"/>
    <w:rsid w:val="00851634"/>
    <w:rsid w:val="00851899"/>
    <w:rsid w:val="00851A8B"/>
    <w:rsid w:val="00852193"/>
    <w:rsid w:val="00852203"/>
    <w:rsid w:val="00852366"/>
    <w:rsid w:val="0085271E"/>
    <w:rsid w:val="008527A9"/>
    <w:rsid w:val="00852D68"/>
    <w:rsid w:val="00852DB1"/>
    <w:rsid w:val="00853150"/>
    <w:rsid w:val="00853193"/>
    <w:rsid w:val="0085349B"/>
    <w:rsid w:val="00853554"/>
    <w:rsid w:val="00853654"/>
    <w:rsid w:val="0085376E"/>
    <w:rsid w:val="00853832"/>
    <w:rsid w:val="00853B61"/>
    <w:rsid w:val="00853E1C"/>
    <w:rsid w:val="00853F13"/>
    <w:rsid w:val="008540D2"/>
    <w:rsid w:val="0085444B"/>
    <w:rsid w:val="008544CC"/>
    <w:rsid w:val="00854BCF"/>
    <w:rsid w:val="00855050"/>
    <w:rsid w:val="00855439"/>
    <w:rsid w:val="00855985"/>
    <w:rsid w:val="00855F02"/>
    <w:rsid w:val="008560D5"/>
    <w:rsid w:val="008567E9"/>
    <w:rsid w:val="00857008"/>
    <w:rsid w:val="00857567"/>
    <w:rsid w:val="00857677"/>
    <w:rsid w:val="00857CE8"/>
    <w:rsid w:val="00860640"/>
    <w:rsid w:val="008607B8"/>
    <w:rsid w:val="00860892"/>
    <w:rsid w:val="00861378"/>
    <w:rsid w:val="0086172E"/>
    <w:rsid w:val="00861874"/>
    <w:rsid w:val="0086196F"/>
    <w:rsid w:val="008619BD"/>
    <w:rsid w:val="00861D1D"/>
    <w:rsid w:val="0086223E"/>
    <w:rsid w:val="00862272"/>
    <w:rsid w:val="008624E1"/>
    <w:rsid w:val="00862A7B"/>
    <w:rsid w:val="00862BDD"/>
    <w:rsid w:val="00862C77"/>
    <w:rsid w:val="0086367E"/>
    <w:rsid w:val="008640E3"/>
    <w:rsid w:val="008641D6"/>
    <w:rsid w:val="00864518"/>
    <w:rsid w:val="008645FE"/>
    <w:rsid w:val="008647F1"/>
    <w:rsid w:val="00864817"/>
    <w:rsid w:val="008649F3"/>
    <w:rsid w:val="00864D35"/>
    <w:rsid w:val="0086521E"/>
    <w:rsid w:val="0086523F"/>
    <w:rsid w:val="008652A7"/>
    <w:rsid w:val="00865387"/>
    <w:rsid w:val="0086548F"/>
    <w:rsid w:val="00865845"/>
    <w:rsid w:val="00866333"/>
    <w:rsid w:val="00867E3A"/>
    <w:rsid w:val="0087052E"/>
    <w:rsid w:val="0087065B"/>
    <w:rsid w:val="00870A87"/>
    <w:rsid w:val="00870C8D"/>
    <w:rsid w:val="00870FA2"/>
    <w:rsid w:val="00871063"/>
    <w:rsid w:val="008710D7"/>
    <w:rsid w:val="008712AF"/>
    <w:rsid w:val="0087151D"/>
    <w:rsid w:val="008717F3"/>
    <w:rsid w:val="008722AA"/>
    <w:rsid w:val="008729BC"/>
    <w:rsid w:val="00872C10"/>
    <w:rsid w:val="00872EF8"/>
    <w:rsid w:val="008731D6"/>
    <w:rsid w:val="0087337D"/>
    <w:rsid w:val="00873702"/>
    <w:rsid w:val="00873F54"/>
    <w:rsid w:val="00874016"/>
    <w:rsid w:val="0087413B"/>
    <w:rsid w:val="00874229"/>
    <w:rsid w:val="00874834"/>
    <w:rsid w:val="008748F4"/>
    <w:rsid w:val="00874CDE"/>
    <w:rsid w:val="00874F75"/>
    <w:rsid w:val="00874F7A"/>
    <w:rsid w:val="0087553A"/>
    <w:rsid w:val="00875577"/>
    <w:rsid w:val="00875C14"/>
    <w:rsid w:val="00875CC2"/>
    <w:rsid w:val="008760D5"/>
    <w:rsid w:val="008762DC"/>
    <w:rsid w:val="00876414"/>
    <w:rsid w:val="0087650A"/>
    <w:rsid w:val="0087672C"/>
    <w:rsid w:val="00876AB0"/>
    <w:rsid w:val="00876AC1"/>
    <w:rsid w:val="00876D63"/>
    <w:rsid w:val="0087757D"/>
    <w:rsid w:val="00877941"/>
    <w:rsid w:val="00877A1C"/>
    <w:rsid w:val="00877BDD"/>
    <w:rsid w:val="00877D89"/>
    <w:rsid w:val="00877E95"/>
    <w:rsid w:val="0088064C"/>
    <w:rsid w:val="008806F1"/>
    <w:rsid w:val="00881225"/>
    <w:rsid w:val="0088145F"/>
    <w:rsid w:val="00881746"/>
    <w:rsid w:val="00881836"/>
    <w:rsid w:val="00881A0A"/>
    <w:rsid w:val="00881B7D"/>
    <w:rsid w:val="00882872"/>
    <w:rsid w:val="00882DA0"/>
    <w:rsid w:val="00882EB8"/>
    <w:rsid w:val="00883447"/>
    <w:rsid w:val="0088366D"/>
    <w:rsid w:val="008839A0"/>
    <w:rsid w:val="008839D1"/>
    <w:rsid w:val="00883BA9"/>
    <w:rsid w:val="00883DCB"/>
    <w:rsid w:val="0088434A"/>
    <w:rsid w:val="00884459"/>
    <w:rsid w:val="00884FFA"/>
    <w:rsid w:val="00885180"/>
    <w:rsid w:val="00885287"/>
    <w:rsid w:val="00885920"/>
    <w:rsid w:val="00885B8A"/>
    <w:rsid w:val="00885D0F"/>
    <w:rsid w:val="00886062"/>
    <w:rsid w:val="00886140"/>
    <w:rsid w:val="00886653"/>
    <w:rsid w:val="008868CF"/>
    <w:rsid w:val="00886A1F"/>
    <w:rsid w:val="00886EC0"/>
    <w:rsid w:val="00886F71"/>
    <w:rsid w:val="00887345"/>
    <w:rsid w:val="008874F6"/>
    <w:rsid w:val="00890693"/>
    <w:rsid w:val="00890727"/>
    <w:rsid w:val="008909C9"/>
    <w:rsid w:val="00890B10"/>
    <w:rsid w:val="00890BFB"/>
    <w:rsid w:val="00890E74"/>
    <w:rsid w:val="008912EA"/>
    <w:rsid w:val="008914A0"/>
    <w:rsid w:val="008916C2"/>
    <w:rsid w:val="00891874"/>
    <w:rsid w:val="0089200B"/>
    <w:rsid w:val="00892709"/>
    <w:rsid w:val="00892DAD"/>
    <w:rsid w:val="008930A3"/>
    <w:rsid w:val="008936A1"/>
    <w:rsid w:val="008939D2"/>
    <w:rsid w:val="00893D33"/>
    <w:rsid w:val="00893DB1"/>
    <w:rsid w:val="00893EE8"/>
    <w:rsid w:val="0089403F"/>
    <w:rsid w:val="008940DE"/>
    <w:rsid w:val="00894669"/>
    <w:rsid w:val="00894C0E"/>
    <w:rsid w:val="00894C5C"/>
    <w:rsid w:val="0089533E"/>
    <w:rsid w:val="00895554"/>
    <w:rsid w:val="0089559E"/>
    <w:rsid w:val="008958FF"/>
    <w:rsid w:val="00895E6C"/>
    <w:rsid w:val="00895EA3"/>
    <w:rsid w:val="00895EF8"/>
    <w:rsid w:val="00896053"/>
    <w:rsid w:val="00896308"/>
    <w:rsid w:val="00896810"/>
    <w:rsid w:val="00896AE9"/>
    <w:rsid w:val="00896FB5"/>
    <w:rsid w:val="00896FC9"/>
    <w:rsid w:val="00897275"/>
    <w:rsid w:val="00897C19"/>
    <w:rsid w:val="00897CDD"/>
    <w:rsid w:val="00897D11"/>
    <w:rsid w:val="00897D84"/>
    <w:rsid w:val="008A0038"/>
    <w:rsid w:val="008A046C"/>
    <w:rsid w:val="008A06CC"/>
    <w:rsid w:val="008A0760"/>
    <w:rsid w:val="008A0974"/>
    <w:rsid w:val="008A0AED"/>
    <w:rsid w:val="008A140B"/>
    <w:rsid w:val="008A1738"/>
    <w:rsid w:val="008A1818"/>
    <w:rsid w:val="008A18B6"/>
    <w:rsid w:val="008A19ED"/>
    <w:rsid w:val="008A1D0F"/>
    <w:rsid w:val="008A1E7D"/>
    <w:rsid w:val="008A1EDC"/>
    <w:rsid w:val="008A1F4C"/>
    <w:rsid w:val="008A200E"/>
    <w:rsid w:val="008A213C"/>
    <w:rsid w:val="008A2366"/>
    <w:rsid w:val="008A28D5"/>
    <w:rsid w:val="008A2C78"/>
    <w:rsid w:val="008A3674"/>
    <w:rsid w:val="008A3718"/>
    <w:rsid w:val="008A41AD"/>
    <w:rsid w:val="008A483A"/>
    <w:rsid w:val="008A4AD9"/>
    <w:rsid w:val="008A562C"/>
    <w:rsid w:val="008A5D98"/>
    <w:rsid w:val="008A5FA1"/>
    <w:rsid w:val="008A6885"/>
    <w:rsid w:val="008A68BE"/>
    <w:rsid w:val="008A6AC2"/>
    <w:rsid w:val="008A6F81"/>
    <w:rsid w:val="008A72E2"/>
    <w:rsid w:val="008A7548"/>
    <w:rsid w:val="008A756E"/>
    <w:rsid w:val="008A75E2"/>
    <w:rsid w:val="008A7682"/>
    <w:rsid w:val="008A7793"/>
    <w:rsid w:val="008A78F7"/>
    <w:rsid w:val="008A7F4C"/>
    <w:rsid w:val="008B009C"/>
    <w:rsid w:val="008B0362"/>
    <w:rsid w:val="008B0B4D"/>
    <w:rsid w:val="008B0DC3"/>
    <w:rsid w:val="008B164B"/>
    <w:rsid w:val="008B1926"/>
    <w:rsid w:val="008B1950"/>
    <w:rsid w:val="008B1EC3"/>
    <w:rsid w:val="008B1F4E"/>
    <w:rsid w:val="008B20C3"/>
    <w:rsid w:val="008B236E"/>
    <w:rsid w:val="008B2382"/>
    <w:rsid w:val="008B29E1"/>
    <w:rsid w:val="008B2C2D"/>
    <w:rsid w:val="008B2C5E"/>
    <w:rsid w:val="008B2E39"/>
    <w:rsid w:val="008B30DC"/>
    <w:rsid w:val="008B34C2"/>
    <w:rsid w:val="008B3690"/>
    <w:rsid w:val="008B3706"/>
    <w:rsid w:val="008B3A61"/>
    <w:rsid w:val="008B3BA8"/>
    <w:rsid w:val="008B4853"/>
    <w:rsid w:val="008B4B3A"/>
    <w:rsid w:val="008B4D45"/>
    <w:rsid w:val="008B4E06"/>
    <w:rsid w:val="008B4E72"/>
    <w:rsid w:val="008B5440"/>
    <w:rsid w:val="008B55C3"/>
    <w:rsid w:val="008B5A6A"/>
    <w:rsid w:val="008B5AF6"/>
    <w:rsid w:val="008B6194"/>
    <w:rsid w:val="008B66E9"/>
    <w:rsid w:val="008B6731"/>
    <w:rsid w:val="008B6A30"/>
    <w:rsid w:val="008B6B3F"/>
    <w:rsid w:val="008B6F39"/>
    <w:rsid w:val="008B7325"/>
    <w:rsid w:val="008B7393"/>
    <w:rsid w:val="008C01D3"/>
    <w:rsid w:val="008C05B9"/>
    <w:rsid w:val="008C068C"/>
    <w:rsid w:val="008C09D7"/>
    <w:rsid w:val="008C0BD8"/>
    <w:rsid w:val="008C0E03"/>
    <w:rsid w:val="008C0E4D"/>
    <w:rsid w:val="008C11E2"/>
    <w:rsid w:val="008C1FC4"/>
    <w:rsid w:val="008C211B"/>
    <w:rsid w:val="008C229B"/>
    <w:rsid w:val="008C2F4B"/>
    <w:rsid w:val="008C378A"/>
    <w:rsid w:val="008C3917"/>
    <w:rsid w:val="008C4826"/>
    <w:rsid w:val="008C5BC7"/>
    <w:rsid w:val="008C5CA4"/>
    <w:rsid w:val="008C5F3B"/>
    <w:rsid w:val="008C6415"/>
    <w:rsid w:val="008C6D0C"/>
    <w:rsid w:val="008C6D4D"/>
    <w:rsid w:val="008C6E25"/>
    <w:rsid w:val="008C720E"/>
    <w:rsid w:val="008C7815"/>
    <w:rsid w:val="008D046B"/>
    <w:rsid w:val="008D0695"/>
    <w:rsid w:val="008D08EF"/>
    <w:rsid w:val="008D09EC"/>
    <w:rsid w:val="008D0FEA"/>
    <w:rsid w:val="008D12AA"/>
    <w:rsid w:val="008D1A1F"/>
    <w:rsid w:val="008D1AE3"/>
    <w:rsid w:val="008D1CFE"/>
    <w:rsid w:val="008D2470"/>
    <w:rsid w:val="008D287C"/>
    <w:rsid w:val="008D2B05"/>
    <w:rsid w:val="008D2B59"/>
    <w:rsid w:val="008D2DFB"/>
    <w:rsid w:val="008D2FA6"/>
    <w:rsid w:val="008D33A6"/>
    <w:rsid w:val="008D387B"/>
    <w:rsid w:val="008D3B6D"/>
    <w:rsid w:val="008D3BBF"/>
    <w:rsid w:val="008D40E4"/>
    <w:rsid w:val="008D40E5"/>
    <w:rsid w:val="008D429F"/>
    <w:rsid w:val="008D4A16"/>
    <w:rsid w:val="008D4B9F"/>
    <w:rsid w:val="008D4D33"/>
    <w:rsid w:val="008D5005"/>
    <w:rsid w:val="008D5042"/>
    <w:rsid w:val="008D56D6"/>
    <w:rsid w:val="008D5C2A"/>
    <w:rsid w:val="008D5E95"/>
    <w:rsid w:val="008D5F45"/>
    <w:rsid w:val="008D615B"/>
    <w:rsid w:val="008D628F"/>
    <w:rsid w:val="008D69F1"/>
    <w:rsid w:val="008D6A68"/>
    <w:rsid w:val="008D6FD2"/>
    <w:rsid w:val="008D72CE"/>
    <w:rsid w:val="008D7309"/>
    <w:rsid w:val="008D74FA"/>
    <w:rsid w:val="008D7515"/>
    <w:rsid w:val="008D7CAA"/>
    <w:rsid w:val="008D7F6F"/>
    <w:rsid w:val="008E03CC"/>
    <w:rsid w:val="008E055A"/>
    <w:rsid w:val="008E07BD"/>
    <w:rsid w:val="008E0DDC"/>
    <w:rsid w:val="008E0FF7"/>
    <w:rsid w:val="008E1147"/>
    <w:rsid w:val="008E13F7"/>
    <w:rsid w:val="008E18AC"/>
    <w:rsid w:val="008E1FC1"/>
    <w:rsid w:val="008E2409"/>
    <w:rsid w:val="008E2A28"/>
    <w:rsid w:val="008E3072"/>
    <w:rsid w:val="008E30BA"/>
    <w:rsid w:val="008E3283"/>
    <w:rsid w:val="008E3692"/>
    <w:rsid w:val="008E38CC"/>
    <w:rsid w:val="008E3B9F"/>
    <w:rsid w:val="008E3E8A"/>
    <w:rsid w:val="008E3EEF"/>
    <w:rsid w:val="008E3F5A"/>
    <w:rsid w:val="008E4639"/>
    <w:rsid w:val="008E5B16"/>
    <w:rsid w:val="008E5B41"/>
    <w:rsid w:val="008E5CB5"/>
    <w:rsid w:val="008E6615"/>
    <w:rsid w:val="008E682D"/>
    <w:rsid w:val="008E6AE2"/>
    <w:rsid w:val="008E6F12"/>
    <w:rsid w:val="008E7121"/>
    <w:rsid w:val="008E72DB"/>
    <w:rsid w:val="008E7678"/>
    <w:rsid w:val="008E7E70"/>
    <w:rsid w:val="008F0235"/>
    <w:rsid w:val="008F06AF"/>
    <w:rsid w:val="008F07B7"/>
    <w:rsid w:val="008F0A51"/>
    <w:rsid w:val="008F0A5B"/>
    <w:rsid w:val="008F0AA2"/>
    <w:rsid w:val="008F1942"/>
    <w:rsid w:val="008F1C70"/>
    <w:rsid w:val="008F1FA9"/>
    <w:rsid w:val="008F2053"/>
    <w:rsid w:val="008F2991"/>
    <w:rsid w:val="008F2B70"/>
    <w:rsid w:val="008F2FFB"/>
    <w:rsid w:val="008F3299"/>
    <w:rsid w:val="008F3680"/>
    <w:rsid w:val="008F3D27"/>
    <w:rsid w:val="008F3D4B"/>
    <w:rsid w:val="008F3DF1"/>
    <w:rsid w:val="008F3E7B"/>
    <w:rsid w:val="008F4020"/>
    <w:rsid w:val="008F47C3"/>
    <w:rsid w:val="008F4824"/>
    <w:rsid w:val="008F49F7"/>
    <w:rsid w:val="008F4BFB"/>
    <w:rsid w:val="008F4FE2"/>
    <w:rsid w:val="008F501B"/>
    <w:rsid w:val="008F56D4"/>
    <w:rsid w:val="008F58DF"/>
    <w:rsid w:val="008F58F3"/>
    <w:rsid w:val="008F5AA1"/>
    <w:rsid w:val="008F5D11"/>
    <w:rsid w:val="008F5D24"/>
    <w:rsid w:val="008F61AA"/>
    <w:rsid w:val="008F6228"/>
    <w:rsid w:val="008F63F2"/>
    <w:rsid w:val="008F6571"/>
    <w:rsid w:val="008F67F4"/>
    <w:rsid w:val="008F6B66"/>
    <w:rsid w:val="008F6DBB"/>
    <w:rsid w:val="008F7094"/>
    <w:rsid w:val="008F7395"/>
    <w:rsid w:val="008F75D9"/>
    <w:rsid w:val="008F793C"/>
    <w:rsid w:val="008F7C92"/>
    <w:rsid w:val="008F7D21"/>
    <w:rsid w:val="008F7E30"/>
    <w:rsid w:val="008F7F75"/>
    <w:rsid w:val="008F7F95"/>
    <w:rsid w:val="00900293"/>
    <w:rsid w:val="009010DE"/>
    <w:rsid w:val="00901159"/>
    <w:rsid w:val="009013B1"/>
    <w:rsid w:val="00901C28"/>
    <w:rsid w:val="00901FBC"/>
    <w:rsid w:val="009020D0"/>
    <w:rsid w:val="00902110"/>
    <w:rsid w:val="009022AC"/>
    <w:rsid w:val="009026E6"/>
    <w:rsid w:val="00902942"/>
    <w:rsid w:val="00902B06"/>
    <w:rsid w:val="00902F33"/>
    <w:rsid w:val="00902F4A"/>
    <w:rsid w:val="00903395"/>
    <w:rsid w:val="0090389E"/>
    <w:rsid w:val="009038FA"/>
    <w:rsid w:val="00903E69"/>
    <w:rsid w:val="0090477C"/>
    <w:rsid w:val="009048CD"/>
    <w:rsid w:val="0090492A"/>
    <w:rsid w:val="0090495D"/>
    <w:rsid w:val="0090521C"/>
    <w:rsid w:val="009052BF"/>
    <w:rsid w:val="00905D41"/>
    <w:rsid w:val="00906347"/>
    <w:rsid w:val="00906715"/>
    <w:rsid w:val="009067D9"/>
    <w:rsid w:val="00906A0A"/>
    <w:rsid w:val="00906D54"/>
    <w:rsid w:val="0091012D"/>
    <w:rsid w:val="009101CC"/>
    <w:rsid w:val="009102EF"/>
    <w:rsid w:val="0091030C"/>
    <w:rsid w:val="009109A3"/>
    <w:rsid w:val="00910B10"/>
    <w:rsid w:val="00910F1A"/>
    <w:rsid w:val="0091103F"/>
    <w:rsid w:val="009111DE"/>
    <w:rsid w:val="009113A2"/>
    <w:rsid w:val="00911839"/>
    <w:rsid w:val="00911B4D"/>
    <w:rsid w:val="00911D2C"/>
    <w:rsid w:val="009120B5"/>
    <w:rsid w:val="0091231A"/>
    <w:rsid w:val="009123D5"/>
    <w:rsid w:val="00912829"/>
    <w:rsid w:val="00912B1A"/>
    <w:rsid w:val="00912D56"/>
    <w:rsid w:val="00913203"/>
    <w:rsid w:val="00913E6C"/>
    <w:rsid w:val="00913E92"/>
    <w:rsid w:val="009141D7"/>
    <w:rsid w:val="009141D8"/>
    <w:rsid w:val="00914EB5"/>
    <w:rsid w:val="009153D6"/>
    <w:rsid w:val="0091543E"/>
    <w:rsid w:val="00916373"/>
    <w:rsid w:val="009164C9"/>
    <w:rsid w:val="009165AF"/>
    <w:rsid w:val="0091672E"/>
    <w:rsid w:val="0091673E"/>
    <w:rsid w:val="009167C8"/>
    <w:rsid w:val="00916B24"/>
    <w:rsid w:val="00916F74"/>
    <w:rsid w:val="00917569"/>
    <w:rsid w:val="0091786F"/>
    <w:rsid w:val="00917EDF"/>
    <w:rsid w:val="00920259"/>
    <w:rsid w:val="0092048C"/>
    <w:rsid w:val="00920493"/>
    <w:rsid w:val="009204A3"/>
    <w:rsid w:val="0092079C"/>
    <w:rsid w:val="009207DC"/>
    <w:rsid w:val="0092096B"/>
    <w:rsid w:val="00920E34"/>
    <w:rsid w:val="0092151A"/>
    <w:rsid w:val="00921719"/>
    <w:rsid w:val="0092175A"/>
    <w:rsid w:val="00921CEA"/>
    <w:rsid w:val="00921E61"/>
    <w:rsid w:val="0092379F"/>
    <w:rsid w:val="00923B3E"/>
    <w:rsid w:val="00923B93"/>
    <w:rsid w:val="00923C41"/>
    <w:rsid w:val="009241AC"/>
    <w:rsid w:val="009242A4"/>
    <w:rsid w:val="00924609"/>
    <w:rsid w:val="0092484E"/>
    <w:rsid w:val="0092485D"/>
    <w:rsid w:val="0092502B"/>
    <w:rsid w:val="00925537"/>
    <w:rsid w:val="0092565B"/>
    <w:rsid w:val="00925A12"/>
    <w:rsid w:val="00925A77"/>
    <w:rsid w:val="00925C81"/>
    <w:rsid w:val="00925E97"/>
    <w:rsid w:val="00925F8E"/>
    <w:rsid w:val="009261E2"/>
    <w:rsid w:val="0092621A"/>
    <w:rsid w:val="0092632D"/>
    <w:rsid w:val="00926CAA"/>
    <w:rsid w:val="00927015"/>
    <w:rsid w:val="00927BD3"/>
    <w:rsid w:val="00930191"/>
    <w:rsid w:val="00930230"/>
    <w:rsid w:val="009308EB"/>
    <w:rsid w:val="00930ACA"/>
    <w:rsid w:val="00930B8A"/>
    <w:rsid w:val="0093109F"/>
    <w:rsid w:val="0093141C"/>
    <w:rsid w:val="009317BA"/>
    <w:rsid w:val="00931B0B"/>
    <w:rsid w:val="00931B28"/>
    <w:rsid w:val="00931B3B"/>
    <w:rsid w:val="00932096"/>
    <w:rsid w:val="00933314"/>
    <w:rsid w:val="00933688"/>
    <w:rsid w:val="009339DD"/>
    <w:rsid w:val="00933B98"/>
    <w:rsid w:val="00933C09"/>
    <w:rsid w:val="00933E0B"/>
    <w:rsid w:val="00933F9E"/>
    <w:rsid w:val="0093448E"/>
    <w:rsid w:val="00934DA5"/>
    <w:rsid w:val="00935EDE"/>
    <w:rsid w:val="00936086"/>
    <w:rsid w:val="0093668E"/>
    <w:rsid w:val="00936CDC"/>
    <w:rsid w:val="009373AF"/>
    <w:rsid w:val="009374E6"/>
    <w:rsid w:val="00937B3A"/>
    <w:rsid w:val="009401F6"/>
    <w:rsid w:val="00940235"/>
    <w:rsid w:val="00940497"/>
    <w:rsid w:val="009405FF"/>
    <w:rsid w:val="0094060B"/>
    <w:rsid w:val="00941487"/>
    <w:rsid w:val="009414F3"/>
    <w:rsid w:val="00941758"/>
    <w:rsid w:val="0094196B"/>
    <w:rsid w:val="00941EAA"/>
    <w:rsid w:val="00942340"/>
    <w:rsid w:val="00942375"/>
    <w:rsid w:val="00942397"/>
    <w:rsid w:val="009423BE"/>
    <w:rsid w:val="0094248D"/>
    <w:rsid w:val="009424D1"/>
    <w:rsid w:val="009427C5"/>
    <w:rsid w:val="009428D5"/>
    <w:rsid w:val="00942AAB"/>
    <w:rsid w:val="00942D97"/>
    <w:rsid w:val="00942E04"/>
    <w:rsid w:val="0094308E"/>
    <w:rsid w:val="00943469"/>
    <w:rsid w:val="009447F3"/>
    <w:rsid w:val="00944F3A"/>
    <w:rsid w:val="00945052"/>
    <w:rsid w:val="00945190"/>
    <w:rsid w:val="0094537C"/>
    <w:rsid w:val="0094543A"/>
    <w:rsid w:val="00945771"/>
    <w:rsid w:val="00945A9B"/>
    <w:rsid w:val="00945DB9"/>
    <w:rsid w:val="00946E05"/>
    <w:rsid w:val="00947132"/>
    <w:rsid w:val="009473EE"/>
    <w:rsid w:val="00947ACD"/>
    <w:rsid w:val="00947D65"/>
    <w:rsid w:val="00950E2C"/>
    <w:rsid w:val="00950F1E"/>
    <w:rsid w:val="0095112F"/>
    <w:rsid w:val="009512C9"/>
    <w:rsid w:val="0095155F"/>
    <w:rsid w:val="00951640"/>
    <w:rsid w:val="0095193C"/>
    <w:rsid w:val="00952175"/>
    <w:rsid w:val="0095239F"/>
    <w:rsid w:val="00952575"/>
    <w:rsid w:val="009530F8"/>
    <w:rsid w:val="009536CF"/>
    <w:rsid w:val="00953CFB"/>
    <w:rsid w:val="009541A1"/>
    <w:rsid w:val="0095430E"/>
    <w:rsid w:val="009543AA"/>
    <w:rsid w:val="0095489F"/>
    <w:rsid w:val="00954B6C"/>
    <w:rsid w:val="00954C15"/>
    <w:rsid w:val="00954D10"/>
    <w:rsid w:val="00955003"/>
    <w:rsid w:val="00955100"/>
    <w:rsid w:val="00955330"/>
    <w:rsid w:val="0095559F"/>
    <w:rsid w:val="00955D10"/>
    <w:rsid w:val="00955E3E"/>
    <w:rsid w:val="00955E99"/>
    <w:rsid w:val="009560E2"/>
    <w:rsid w:val="0095613C"/>
    <w:rsid w:val="0095636C"/>
    <w:rsid w:val="00956AA2"/>
    <w:rsid w:val="00956CE6"/>
    <w:rsid w:val="00957558"/>
    <w:rsid w:val="00957B35"/>
    <w:rsid w:val="00957DD4"/>
    <w:rsid w:val="00957DE4"/>
    <w:rsid w:val="00960043"/>
    <w:rsid w:val="009601C8"/>
    <w:rsid w:val="009605C8"/>
    <w:rsid w:val="00960819"/>
    <w:rsid w:val="0096093A"/>
    <w:rsid w:val="00960AB9"/>
    <w:rsid w:val="00960CC9"/>
    <w:rsid w:val="00960E31"/>
    <w:rsid w:val="00960F5B"/>
    <w:rsid w:val="0096127F"/>
    <w:rsid w:val="009613E7"/>
    <w:rsid w:val="00961671"/>
    <w:rsid w:val="0096175E"/>
    <w:rsid w:val="0096244F"/>
    <w:rsid w:val="0096270F"/>
    <w:rsid w:val="00962810"/>
    <w:rsid w:val="00962F28"/>
    <w:rsid w:val="009639AD"/>
    <w:rsid w:val="00963A15"/>
    <w:rsid w:val="00964715"/>
    <w:rsid w:val="00964B80"/>
    <w:rsid w:val="00965AA8"/>
    <w:rsid w:val="00965EDC"/>
    <w:rsid w:val="00965FE7"/>
    <w:rsid w:val="00966065"/>
    <w:rsid w:val="00966514"/>
    <w:rsid w:val="00966B09"/>
    <w:rsid w:val="0096726C"/>
    <w:rsid w:val="00970388"/>
    <w:rsid w:val="00970844"/>
    <w:rsid w:val="00970A30"/>
    <w:rsid w:val="00970BEF"/>
    <w:rsid w:val="00970DB5"/>
    <w:rsid w:val="00970DC0"/>
    <w:rsid w:val="00970F2A"/>
    <w:rsid w:val="00971566"/>
    <w:rsid w:val="009717E9"/>
    <w:rsid w:val="00971A7F"/>
    <w:rsid w:val="00971AFA"/>
    <w:rsid w:val="00971B9E"/>
    <w:rsid w:val="00971E76"/>
    <w:rsid w:val="00972309"/>
    <w:rsid w:val="009726DF"/>
    <w:rsid w:val="00972B47"/>
    <w:rsid w:val="00972D15"/>
    <w:rsid w:val="00972E71"/>
    <w:rsid w:val="00973142"/>
    <w:rsid w:val="009735FA"/>
    <w:rsid w:val="0097362F"/>
    <w:rsid w:val="00973D70"/>
    <w:rsid w:val="00973E8A"/>
    <w:rsid w:val="00973FDE"/>
    <w:rsid w:val="009741F1"/>
    <w:rsid w:val="0097424D"/>
    <w:rsid w:val="00974288"/>
    <w:rsid w:val="00974306"/>
    <w:rsid w:val="00974653"/>
    <w:rsid w:val="009747A7"/>
    <w:rsid w:val="009748C8"/>
    <w:rsid w:val="00974D64"/>
    <w:rsid w:val="0097543D"/>
    <w:rsid w:val="009754D3"/>
    <w:rsid w:val="009756BE"/>
    <w:rsid w:val="009757EA"/>
    <w:rsid w:val="0097591A"/>
    <w:rsid w:val="00975B95"/>
    <w:rsid w:val="009762E4"/>
    <w:rsid w:val="00976866"/>
    <w:rsid w:val="009769CE"/>
    <w:rsid w:val="00976BE4"/>
    <w:rsid w:val="00977523"/>
    <w:rsid w:val="0097756E"/>
    <w:rsid w:val="009776CB"/>
    <w:rsid w:val="00977836"/>
    <w:rsid w:val="00977D81"/>
    <w:rsid w:val="00977ECB"/>
    <w:rsid w:val="0098013E"/>
    <w:rsid w:val="00980389"/>
    <w:rsid w:val="00980677"/>
    <w:rsid w:val="00980A9F"/>
    <w:rsid w:val="009816BA"/>
    <w:rsid w:val="00981D3C"/>
    <w:rsid w:val="00981F4D"/>
    <w:rsid w:val="00982BF3"/>
    <w:rsid w:val="00982F8E"/>
    <w:rsid w:val="00982FF3"/>
    <w:rsid w:val="009831A4"/>
    <w:rsid w:val="009832E5"/>
    <w:rsid w:val="009837CA"/>
    <w:rsid w:val="00983E8F"/>
    <w:rsid w:val="009840C5"/>
    <w:rsid w:val="009842AF"/>
    <w:rsid w:val="00985049"/>
    <w:rsid w:val="00985112"/>
    <w:rsid w:val="00985BAB"/>
    <w:rsid w:val="00985BBA"/>
    <w:rsid w:val="00985DEB"/>
    <w:rsid w:val="009862A8"/>
    <w:rsid w:val="0098641C"/>
    <w:rsid w:val="00986938"/>
    <w:rsid w:val="00986968"/>
    <w:rsid w:val="00987EF2"/>
    <w:rsid w:val="009901C9"/>
    <w:rsid w:val="00990210"/>
    <w:rsid w:val="009902A8"/>
    <w:rsid w:val="0099065B"/>
    <w:rsid w:val="00990869"/>
    <w:rsid w:val="009908A8"/>
    <w:rsid w:val="00990D9F"/>
    <w:rsid w:val="009910DC"/>
    <w:rsid w:val="009913A3"/>
    <w:rsid w:val="00991406"/>
    <w:rsid w:val="009915A7"/>
    <w:rsid w:val="009919D8"/>
    <w:rsid w:val="00992790"/>
    <w:rsid w:val="009928B8"/>
    <w:rsid w:val="00992D9B"/>
    <w:rsid w:val="00992E93"/>
    <w:rsid w:val="0099358D"/>
    <w:rsid w:val="00993658"/>
    <w:rsid w:val="00993959"/>
    <w:rsid w:val="00993EE2"/>
    <w:rsid w:val="00993FC7"/>
    <w:rsid w:val="0099451F"/>
    <w:rsid w:val="00994590"/>
    <w:rsid w:val="00994A0C"/>
    <w:rsid w:val="00994D21"/>
    <w:rsid w:val="00994DFA"/>
    <w:rsid w:val="00994EF1"/>
    <w:rsid w:val="00994FE8"/>
    <w:rsid w:val="009953B5"/>
    <w:rsid w:val="0099544F"/>
    <w:rsid w:val="00995889"/>
    <w:rsid w:val="00995BFD"/>
    <w:rsid w:val="00995C0C"/>
    <w:rsid w:val="0099604A"/>
    <w:rsid w:val="009967C2"/>
    <w:rsid w:val="009970AC"/>
    <w:rsid w:val="009972F8"/>
    <w:rsid w:val="0099786D"/>
    <w:rsid w:val="009A02A5"/>
    <w:rsid w:val="009A0D13"/>
    <w:rsid w:val="009A1CDF"/>
    <w:rsid w:val="009A22CC"/>
    <w:rsid w:val="009A29AD"/>
    <w:rsid w:val="009A3128"/>
    <w:rsid w:val="009A31A0"/>
    <w:rsid w:val="009A3328"/>
    <w:rsid w:val="009A3641"/>
    <w:rsid w:val="009A3762"/>
    <w:rsid w:val="009A3884"/>
    <w:rsid w:val="009A38D4"/>
    <w:rsid w:val="009A3923"/>
    <w:rsid w:val="009A3A13"/>
    <w:rsid w:val="009A3EC9"/>
    <w:rsid w:val="009A43F7"/>
    <w:rsid w:val="009A49F0"/>
    <w:rsid w:val="009A5BB3"/>
    <w:rsid w:val="009A5D02"/>
    <w:rsid w:val="009A5E1F"/>
    <w:rsid w:val="009A67BF"/>
    <w:rsid w:val="009A6A9B"/>
    <w:rsid w:val="009A6AE8"/>
    <w:rsid w:val="009A7ECF"/>
    <w:rsid w:val="009B0426"/>
    <w:rsid w:val="009B0689"/>
    <w:rsid w:val="009B090B"/>
    <w:rsid w:val="009B09E7"/>
    <w:rsid w:val="009B0EC5"/>
    <w:rsid w:val="009B1138"/>
    <w:rsid w:val="009B11BC"/>
    <w:rsid w:val="009B123C"/>
    <w:rsid w:val="009B1ACE"/>
    <w:rsid w:val="009B1AFE"/>
    <w:rsid w:val="009B2441"/>
    <w:rsid w:val="009B2548"/>
    <w:rsid w:val="009B275A"/>
    <w:rsid w:val="009B28D9"/>
    <w:rsid w:val="009B2D55"/>
    <w:rsid w:val="009B2FBF"/>
    <w:rsid w:val="009B3161"/>
    <w:rsid w:val="009B35B5"/>
    <w:rsid w:val="009B3B1D"/>
    <w:rsid w:val="009B3EE4"/>
    <w:rsid w:val="009B4089"/>
    <w:rsid w:val="009B4B85"/>
    <w:rsid w:val="009B5106"/>
    <w:rsid w:val="009B515F"/>
    <w:rsid w:val="009B57F3"/>
    <w:rsid w:val="009B60BE"/>
    <w:rsid w:val="009B6119"/>
    <w:rsid w:val="009B6B54"/>
    <w:rsid w:val="009B6C54"/>
    <w:rsid w:val="009B6DC6"/>
    <w:rsid w:val="009B6EC7"/>
    <w:rsid w:val="009B6F0F"/>
    <w:rsid w:val="009B74F1"/>
    <w:rsid w:val="009B7AFA"/>
    <w:rsid w:val="009B7D00"/>
    <w:rsid w:val="009C07DC"/>
    <w:rsid w:val="009C0B05"/>
    <w:rsid w:val="009C13B9"/>
    <w:rsid w:val="009C1821"/>
    <w:rsid w:val="009C1F1E"/>
    <w:rsid w:val="009C2024"/>
    <w:rsid w:val="009C2544"/>
    <w:rsid w:val="009C2B1E"/>
    <w:rsid w:val="009C2F49"/>
    <w:rsid w:val="009C3085"/>
    <w:rsid w:val="009C3135"/>
    <w:rsid w:val="009C315F"/>
    <w:rsid w:val="009C350B"/>
    <w:rsid w:val="009C37DD"/>
    <w:rsid w:val="009C399F"/>
    <w:rsid w:val="009C3F89"/>
    <w:rsid w:val="009C4189"/>
    <w:rsid w:val="009C4E27"/>
    <w:rsid w:val="009C53C9"/>
    <w:rsid w:val="009C59A5"/>
    <w:rsid w:val="009C5A42"/>
    <w:rsid w:val="009C5B13"/>
    <w:rsid w:val="009C5CA2"/>
    <w:rsid w:val="009C5F76"/>
    <w:rsid w:val="009C639B"/>
    <w:rsid w:val="009C67AA"/>
    <w:rsid w:val="009C6F06"/>
    <w:rsid w:val="009C7310"/>
    <w:rsid w:val="009C7387"/>
    <w:rsid w:val="009C76EA"/>
    <w:rsid w:val="009C7A33"/>
    <w:rsid w:val="009C7C0A"/>
    <w:rsid w:val="009C7C9C"/>
    <w:rsid w:val="009C7CFB"/>
    <w:rsid w:val="009D03D4"/>
    <w:rsid w:val="009D0E58"/>
    <w:rsid w:val="009D0F13"/>
    <w:rsid w:val="009D16C3"/>
    <w:rsid w:val="009D180D"/>
    <w:rsid w:val="009D1CDC"/>
    <w:rsid w:val="009D20E3"/>
    <w:rsid w:val="009D213F"/>
    <w:rsid w:val="009D265A"/>
    <w:rsid w:val="009D2816"/>
    <w:rsid w:val="009D285B"/>
    <w:rsid w:val="009D3161"/>
    <w:rsid w:val="009D3163"/>
    <w:rsid w:val="009D319B"/>
    <w:rsid w:val="009D39D3"/>
    <w:rsid w:val="009D3A99"/>
    <w:rsid w:val="009D3FAD"/>
    <w:rsid w:val="009D430C"/>
    <w:rsid w:val="009D4878"/>
    <w:rsid w:val="009D4922"/>
    <w:rsid w:val="009D4DB3"/>
    <w:rsid w:val="009D4DCD"/>
    <w:rsid w:val="009D50D1"/>
    <w:rsid w:val="009D5434"/>
    <w:rsid w:val="009D544A"/>
    <w:rsid w:val="009D5596"/>
    <w:rsid w:val="009D55E7"/>
    <w:rsid w:val="009D5881"/>
    <w:rsid w:val="009D58A4"/>
    <w:rsid w:val="009D58FB"/>
    <w:rsid w:val="009D5EB5"/>
    <w:rsid w:val="009D6006"/>
    <w:rsid w:val="009D6F5A"/>
    <w:rsid w:val="009D7604"/>
    <w:rsid w:val="009D7635"/>
    <w:rsid w:val="009D7CF5"/>
    <w:rsid w:val="009E018B"/>
    <w:rsid w:val="009E0EF9"/>
    <w:rsid w:val="009E10D3"/>
    <w:rsid w:val="009E1292"/>
    <w:rsid w:val="009E153F"/>
    <w:rsid w:val="009E186F"/>
    <w:rsid w:val="009E19D7"/>
    <w:rsid w:val="009E2473"/>
    <w:rsid w:val="009E2AC3"/>
    <w:rsid w:val="009E2C26"/>
    <w:rsid w:val="009E2E55"/>
    <w:rsid w:val="009E2EFF"/>
    <w:rsid w:val="009E325A"/>
    <w:rsid w:val="009E40D5"/>
    <w:rsid w:val="009E41B5"/>
    <w:rsid w:val="009E4361"/>
    <w:rsid w:val="009E44A2"/>
    <w:rsid w:val="009E4BCD"/>
    <w:rsid w:val="009E4C28"/>
    <w:rsid w:val="009E4C7D"/>
    <w:rsid w:val="009E5766"/>
    <w:rsid w:val="009E6B14"/>
    <w:rsid w:val="009E6C23"/>
    <w:rsid w:val="009E7197"/>
    <w:rsid w:val="009E74AF"/>
    <w:rsid w:val="009E7503"/>
    <w:rsid w:val="009E77CA"/>
    <w:rsid w:val="009E7DC1"/>
    <w:rsid w:val="009F048A"/>
    <w:rsid w:val="009F0811"/>
    <w:rsid w:val="009F0C18"/>
    <w:rsid w:val="009F1026"/>
    <w:rsid w:val="009F1688"/>
    <w:rsid w:val="009F17FA"/>
    <w:rsid w:val="009F1A87"/>
    <w:rsid w:val="009F1CF0"/>
    <w:rsid w:val="009F1FD4"/>
    <w:rsid w:val="009F26D5"/>
    <w:rsid w:val="009F28BE"/>
    <w:rsid w:val="009F2CCD"/>
    <w:rsid w:val="009F31CC"/>
    <w:rsid w:val="009F32C9"/>
    <w:rsid w:val="009F39F4"/>
    <w:rsid w:val="009F3DC1"/>
    <w:rsid w:val="009F4081"/>
    <w:rsid w:val="009F409F"/>
    <w:rsid w:val="009F4908"/>
    <w:rsid w:val="009F4E4E"/>
    <w:rsid w:val="009F56EB"/>
    <w:rsid w:val="009F56F2"/>
    <w:rsid w:val="009F5763"/>
    <w:rsid w:val="009F5E77"/>
    <w:rsid w:val="009F605E"/>
    <w:rsid w:val="009F63E9"/>
    <w:rsid w:val="009F6427"/>
    <w:rsid w:val="009F6D44"/>
    <w:rsid w:val="009F7A10"/>
    <w:rsid w:val="009F7F3A"/>
    <w:rsid w:val="00A001FD"/>
    <w:rsid w:val="00A0025E"/>
    <w:rsid w:val="00A00329"/>
    <w:rsid w:val="00A008EB"/>
    <w:rsid w:val="00A010D8"/>
    <w:rsid w:val="00A0191B"/>
    <w:rsid w:val="00A01B19"/>
    <w:rsid w:val="00A0207A"/>
    <w:rsid w:val="00A029F9"/>
    <w:rsid w:val="00A02C31"/>
    <w:rsid w:val="00A02DF2"/>
    <w:rsid w:val="00A02F19"/>
    <w:rsid w:val="00A02FAD"/>
    <w:rsid w:val="00A03208"/>
    <w:rsid w:val="00A03C75"/>
    <w:rsid w:val="00A040AC"/>
    <w:rsid w:val="00A04194"/>
    <w:rsid w:val="00A04CBC"/>
    <w:rsid w:val="00A05C17"/>
    <w:rsid w:val="00A05E33"/>
    <w:rsid w:val="00A065F4"/>
    <w:rsid w:val="00A0693A"/>
    <w:rsid w:val="00A06C62"/>
    <w:rsid w:val="00A06DB6"/>
    <w:rsid w:val="00A07F5B"/>
    <w:rsid w:val="00A1012F"/>
    <w:rsid w:val="00A10C7F"/>
    <w:rsid w:val="00A10FCF"/>
    <w:rsid w:val="00A117D9"/>
    <w:rsid w:val="00A11D2D"/>
    <w:rsid w:val="00A13829"/>
    <w:rsid w:val="00A13AA7"/>
    <w:rsid w:val="00A13B43"/>
    <w:rsid w:val="00A14262"/>
    <w:rsid w:val="00A14518"/>
    <w:rsid w:val="00A149EE"/>
    <w:rsid w:val="00A15225"/>
    <w:rsid w:val="00A1554A"/>
    <w:rsid w:val="00A158AD"/>
    <w:rsid w:val="00A15AB5"/>
    <w:rsid w:val="00A15AE5"/>
    <w:rsid w:val="00A15CAA"/>
    <w:rsid w:val="00A16082"/>
    <w:rsid w:val="00A1608A"/>
    <w:rsid w:val="00A16208"/>
    <w:rsid w:val="00A16430"/>
    <w:rsid w:val="00A16725"/>
    <w:rsid w:val="00A16904"/>
    <w:rsid w:val="00A1709F"/>
    <w:rsid w:val="00A1713E"/>
    <w:rsid w:val="00A17242"/>
    <w:rsid w:val="00A17460"/>
    <w:rsid w:val="00A20388"/>
    <w:rsid w:val="00A20B24"/>
    <w:rsid w:val="00A20BC0"/>
    <w:rsid w:val="00A20C01"/>
    <w:rsid w:val="00A20D98"/>
    <w:rsid w:val="00A21DD9"/>
    <w:rsid w:val="00A221EC"/>
    <w:rsid w:val="00A22258"/>
    <w:rsid w:val="00A2251E"/>
    <w:rsid w:val="00A22818"/>
    <w:rsid w:val="00A235A8"/>
    <w:rsid w:val="00A23667"/>
    <w:rsid w:val="00A238C0"/>
    <w:rsid w:val="00A23B06"/>
    <w:rsid w:val="00A23B63"/>
    <w:rsid w:val="00A2404E"/>
    <w:rsid w:val="00A24244"/>
    <w:rsid w:val="00A2493E"/>
    <w:rsid w:val="00A25454"/>
    <w:rsid w:val="00A25810"/>
    <w:rsid w:val="00A25981"/>
    <w:rsid w:val="00A25B9D"/>
    <w:rsid w:val="00A25FDC"/>
    <w:rsid w:val="00A26072"/>
    <w:rsid w:val="00A2667B"/>
    <w:rsid w:val="00A2671F"/>
    <w:rsid w:val="00A26CF7"/>
    <w:rsid w:val="00A2732A"/>
    <w:rsid w:val="00A27825"/>
    <w:rsid w:val="00A27893"/>
    <w:rsid w:val="00A304CB"/>
    <w:rsid w:val="00A30614"/>
    <w:rsid w:val="00A30A06"/>
    <w:rsid w:val="00A30BE0"/>
    <w:rsid w:val="00A3195E"/>
    <w:rsid w:val="00A31B6E"/>
    <w:rsid w:val="00A322EA"/>
    <w:rsid w:val="00A32833"/>
    <w:rsid w:val="00A3387D"/>
    <w:rsid w:val="00A33A08"/>
    <w:rsid w:val="00A33DA2"/>
    <w:rsid w:val="00A3411A"/>
    <w:rsid w:val="00A34E2E"/>
    <w:rsid w:val="00A355A4"/>
    <w:rsid w:val="00A35A82"/>
    <w:rsid w:val="00A35FE1"/>
    <w:rsid w:val="00A3672D"/>
    <w:rsid w:val="00A36763"/>
    <w:rsid w:val="00A367D1"/>
    <w:rsid w:val="00A36941"/>
    <w:rsid w:val="00A36CAF"/>
    <w:rsid w:val="00A36CC9"/>
    <w:rsid w:val="00A373FF"/>
    <w:rsid w:val="00A375D1"/>
    <w:rsid w:val="00A379ED"/>
    <w:rsid w:val="00A4007E"/>
    <w:rsid w:val="00A40116"/>
    <w:rsid w:val="00A40328"/>
    <w:rsid w:val="00A4040B"/>
    <w:rsid w:val="00A40433"/>
    <w:rsid w:val="00A40579"/>
    <w:rsid w:val="00A4098F"/>
    <w:rsid w:val="00A40BB6"/>
    <w:rsid w:val="00A40D50"/>
    <w:rsid w:val="00A40F59"/>
    <w:rsid w:val="00A4104C"/>
    <w:rsid w:val="00A410CE"/>
    <w:rsid w:val="00A410FC"/>
    <w:rsid w:val="00A41559"/>
    <w:rsid w:val="00A41752"/>
    <w:rsid w:val="00A419BE"/>
    <w:rsid w:val="00A42018"/>
    <w:rsid w:val="00A423D7"/>
    <w:rsid w:val="00A42657"/>
    <w:rsid w:val="00A42AC4"/>
    <w:rsid w:val="00A42BB4"/>
    <w:rsid w:val="00A42C78"/>
    <w:rsid w:val="00A42CCA"/>
    <w:rsid w:val="00A43597"/>
    <w:rsid w:val="00A43B2D"/>
    <w:rsid w:val="00A43C44"/>
    <w:rsid w:val="00A43DF4"/>
    <w:rsid w:val="00A43E35"/>
    <w:rsid w:val="00A43E7D"/>
    <w:rsid w:val="00A44A75"/>
    <w:rsid w:val="00A44B96"/>
    <w:rsid w:val="00A45189"/>
    <w:rsid w:val="00A45518"/>
    <w:rsid w:val="00A456AD"/>
    <w:rsid w:val="00A4577C"/>
    <w:rsid w:val="00A45E52"/>
    <w:rsid w:val="00A470A0"/>
    <w:rsid w:val="00A471FA"/>
    <w:rsid w:val="00A5001E"/>
    <w:rsid w:val="00A5002E"/>
    <w:rsid w:val="00A50664"/>
    <w:rsid w:val="00A507FA"/>
    <w:rsid w:val="00A51100"/>
    <w:rsid w:val="00A51352"/>
    <w:rsid w:val="00A51B73"/>
    <w:rsid w:val="00A51E26"/>
    <w:rsid w:val="00A52AE6"/>
    <w:rsid w:val="00A5309D"/>
    <w:rsid w:val="00A533C1"/>
    <w:rsid w:val="00A5388E"/>
    <w:rsid w:val="00A53C46"/>
    <w:rsid w:val="00A53D35"/>
    <w:rsid w:val="00A53E3F"/>
    <w:rsid w:val="00A53EC8"/>
    <w:rsid w:val="00A5414E"/>
    <w:rsid w:val="00A551B6"/>
    <w:rsid w:val="00A561B3"/>
    <w:rsid w:val="00A5642F"/>
    <w:rsid w:val="00A56E98"/>
    <w:rsid w:val="00A56EF4"/>
    <w:rsid w:val="00A56F12"/>
    <w:rsid w:val="00A56F45"/>
    <w:rsid w:val="00A57257"/>
    <w:rsid w:val="00A577EB"/>
    <w:rsid w:val="00A57B55"/>
    <w:rsid w:val="00A602FE"/>
    <w:rsid w:val="00A60596"/>
    <w:rsid w:val="00A60765"/>
    <w:rsid w:val="00A61058"/>
    <w:rsid w:val="00A61642"/>
    <w:rsid w:val="00A6168B"/>
    <w:rsid w:val="00A6240D"/>
    <w:rsid w:val="00A62AAF"/>
    <w:rsid w:val="00A62D19"/>
    <w:rsid w:val="00A632B0"/>
    <w:rsid w:val="00A632E1"/>
    <w:rsid w:val="00A63698"/>
    <w:rsid w:val="00A636FF"/>
    <w:rsid w:val="00A6371E"/>
    <w:rsid w:val="00A63A92"/>
    <w:rsid w:val="00A64982"/>
    <w:rsid w:val="00A64993"/>
    <w:rsid w:val="00A65039"/>
    <w:rsid w:val="00A655A5"/>
    <w:rsid w:val="00A65AA3"/>
    <w:rsid w:val="00A65BB8"/>
    <w:rsid w:val="00A6604C"/>
    <w:rsid w:val="00A665C2"/>
    <w:rsid w:val="00A66956"/>
    <w:rsid w:val="00A671E7"/>
    <w:rsid w:val="00A67415"/>
    <w:rsid w:val="00A6748C"/>
    <w:rsid w:val="00A67BF2"/>
    <w:rsid w:val="00A67E82"/>
    <w:rsid w:val="00A67F84"/>
    <w:rsid w:val="00A7029F"/>
    <w:rsid w:val="00A70397"/>
    <w:rsid w:val="00A70BD4"/>
    <w:rsid w:val="00A70E7C"/>
    <w:rsid w:val="00A713A7"/>
    <w:rsid w:val="00A71533"/>
    <w:rsid w:val="00A71581"/>
    <w:rsid w:val="00A715FC"/>
    <w:rsid w:val="00A71A2E"/>
    <w:rsid w:val="00A71FD3"/>
    <w:rsid w:val="00A72133"/>
    <w:rsid w:val="00A72B69"/>
    <w:rsid w:val="00A73C24"/>
    <w:rsid w:val="00A73EDE"/>
    <w:rsid w:val="00A74068"/>
    <w:rsid w:val="00A743D1"/>
    <w:rsid w:val="00A745F8"/>
    <w:rsid w:val="00A74ED2"/>
    <w:rsid w:val="00A7522A"/>
    <w:rsid w:val="00A760ED"/>
    <w:rsid w:val="00A76820"/>
    <w:rsid w:val="00A76A30"/>
    <w:rsid w:val="00A7737E"/>
    <w:rsid w:val="00A77816"/>
    <w:rsid w:val="00A807E0"/>
    <w:rsid w:val="00A81254"/>
    <w:rsid w:val="00A81741"/>
    <w:rsid w:val="00A8194E"/>
    <w:rsid w:val="00A8248D"/>
    <w:rsid w:val="00A827ED"/>
    <w:rsid w:val="00A82A81"/>
    <w:rsid w:val="00A82FBB"/>
    <w:rsid w:val="00A837E3"/>
    <w:rsid w:val="00A838B7"/>
    <w:rsid w:val="00A83BD6"/>
    <w:rsid w:val="00A8412A"/>
    <w:rsid w:val="00A84377"/>
    <w:rsid w:val="00A843E8"/>
    <w:rsid w:val="00A84B19"/>
    <w:rsid w:val="00A85035"/>
    <w:rsid w:val="00A852BC"/>
    <w:rsid w:val="00A852EE"/>
    <w:rsid w:val="00A858F7"/>
    <w:rsid w:val="00A85929"/>
    <w:rsid w:val="00A85950"/>
    <w:rsid w:val="00A85BF1"/>
    <w:rsid w:val="00A85D12"/>
    <w:rsid w:val="00A86090"/>
    <w:rsid w:val="00A86548"/>
    <w:rsid w:val="00A86D96"/>
    <w:rsid w:val="00A87313"/>
    <w:rsid w:val="00A874B6"/>
    <w:rsid w:val="00A8792F"/>
    <w:rsid w:val="00A87B5D"/>
    <w:rsid w:val="00A90D1F"/>
    <w:rsid w:val="00A91D13"/>
    <w:rsid w:val="00A921AC"/>
    <w:rsid w:val="00A921D9"/>
    <w:rsid w:val="00A92C24"/>
    <w:rsid w:val="00A92DCD"/>
    <w:rsid w:val="00A92DE9"/>
    <w:rsid w:val="00A9301B"/>
    <w:rsid w:val="00A930AD"/>
    <w:rsid w:val="00A9326A"/>
    <w:rsid w:val="00A937C0"/>
    <w:rsid w:val="00A937C2"/>
    <w:rsid w:val="00A93986"/>
    <w:rsid w:val="00A93E10"/>
    <w:rsid w:val="00A94199"/>
    <w:rsid w:val="00A9470D"/>
    <w:rsid w:val="00A94A6B"/>
    <w:rsid w:val="00A94B25"/>
    <w:rsid w:val="00A94B8F"/>
    <w:rsid w:val="00A95FED"/>
    <w:rsid w:val="00A96067"/>
    <w:rsid w:val="00A961B4"/>
    <w:rsid w:val="00A9621E"/>
    <w:rsid w:val="00A9652A"/>
    <w:rsid w:val="00A966A6"/>
    <w:rsid w:val="00A96995"/>
    <w:rsid w:val="00A96DCB"/>
    <w:rsid w:val="00A9702F"/>
    <w:rsid w:val="00A97298"/>
    <w:rsid w:val="00A975B2"/>
    <w:rsid w:val="00A975F4"/>
    <w:rsid w:val="00A9795A"/>
    <w:rsid w:val="00AA00B9"/>
    <w:rsid w:val="00AA078D"/>
    <w:rsid w:val="00AA0817"/>
    <w:rsid w:val="00AA0A2D"/>
    <w:rsid w:val="00AA0C80"/>
    <w:rsid w:val="00AA0F19"/>
    <w:rsid w:val="00AA0FA6"/>
    <w:rsid w:val="00AA1018"/>
    <w:rsid w:val="00AA16D5"/>
    <w:rsid w:val="00AA18BA"/>
    <w:rsid w:val="00AA1A3B"/>
    <w:rsid w:val="00AA1D20"/>
    <w:rsid w:val="00AA2395"/>
    <w:rsid w:val="00AA2FC8"/>
    <w:rsid w:val="00AA3660"/>
    <w:rsid w:val="00AA3BC6"/>
    <w:rsid w:val="00AA40C5"/>
    <w:rsid w:val="00AA4177"/>
    <w:rsid w:val="00AA4627"/>
    <w:rsid w:val="00AA46F0"/>
    <w:rsid w:val="00AA4B1B"/>
    <w:rsid w:val="00AA4E11"/>
    <w:rsid w:val="00AA55D8"/>
    <w:rsid w:val="00AA5A78"/>
    <w:rsid w:val="00AA5B3C"/>
    <w:rsid w:val="00AA63D0"/>
    <w:rsid w:val="00AA6B5D"/>
    <w:rsid w:val="00AA6C31"/>
    <w:rsid w:val="00AA6F45"/>
    <w:rsid w:val="00AA7063"/>
    <w:rsid w:val="00AA7128"/>
    <w:rsid w:val="00AA78E6"/>
    <w:rsid w:val="00AA7AF7"/>
    <w:rsid w:val="00AB005C"/>
    <w:rsid w:val="00AB013D"/>
    <w:rsid w:val="00AB028C"/>
    <w:rsid w:val="00AB0BB3"/>
    <w:rsid w:val="00AB0EB8"/>
    <w:rsid w:val="00AB0F32"/>
    <w:rsid w:val="00AB0FCF"/>
    <w:rsid w:val="00AB1229"/>
    <w:rsid w:val="00AB1BE7"/>
    <w:rsid w:val="00AB1CBA"/>
    <w:rsid w:val="00AB1D5E"/>
    <w:rsid w:val="00AB219E"/>
    <w:rsid w:val="00AB2381"/>
    <w:rsid w:val="00AB272B"/>
    <w:rsid w:val="00AB2944"/>
    <w:rsid w:val="00AB295F"/>
    <w:rsid w:val="00AB2B22"/>
    <w:rsid w:val="00AB2F36"/>
    <w:rsid w:val="00AB321E"/>
    <w:rsid w:val="00AB3270"/>
    <w:rsid w:val="00AB3364"/>
    <w:rsid w:val="00AB337B"/>
    <w:rsid w:val="00AB3569"/>
    <w:rsid w:val="00AB3902"/>
    <w:rsid w:val="00AB3FEB"/>
    <w:rsid w:val="00AB4034"/>
    <w:rsid w:val="00AB482E"/>
    <w:rsid w:val="00AB4B00"/>
    <w:rsid w:val="00AB515E"/>
    <w:rsid w:val="00AB53FC"/>
    <w:rsid w:val="00AB54DF"/>
    <w:rsid w:val="00AB58B3"/>
    <w:rsid w:val="00AB63DB"/>
    <w:rsid w:val="00AB649F"/>
    <w:rsid w:val="00AB6877"/>
    <w:rsid w:val="00AB6C54"/>
    <w:rsid w:val="00AB6F43"/>
    <w:rsid w:val="00AB6FAA"/>
    <w:rsid w:val="00AB73E5"/>
    <w:rsid w:val="00AB7508"/>
    <w:rsid w:val="00AB7D4D"/>
    <w:rsid w:val="00AC003F"/>
    <w:rsid w:val="00AC0594"/>
    <w:rsid w:val="00AC0D7D"/>
    <w:rsid w:val="00AC1300"/>
    <w:rsid w:val="00AC19C6"/>
    <w:rsid w:val="00AC29C4"/>
    <w:rsid w:val="00AC2F39"/>
    <w:rsid w:val="00AC2FF6"/>
    <w:rsid w:val="00AC3238"/>
    <w:rsid w:val="00AC36E6"/>
    <w:rsid w:val="00AC37B7"/>
    <w:rsid w:val="00AC3D8D"/>
    <w:rsid w:val="00AC3E35"/>
    <w:rsid w:val="00AC3FF9"/>
    <w:rsid w:val="00AC457B"/>
    <w:rsid w:val="00AC467F"/>
    <w:rsid w:val="00AC4C84"/>
    <w:rsid w:val="00AC5431"/>
    <w:rsid w:val="00AC64ED"/>
    <w:rsid w:val="00AC64F1"/>
    <w:rsid w:val="00AC6681"/>
    <w:rsid w:val="00AC681E"/>
    <w:rsid w:val="00AC6878"/>
    <w:rsid w:val="00AC6972"/>
    <w:rsid w:val="00AC6ABC"/>
    <w:rsid w:val="00AC6D77"/>
    <w:rsid w:val="00AC6EA0"/>
    <w:rsid w:val="00AC77C0"/>
    <w:rsid w:val="00AC7B05"/>
    <w:rsid w:val="00AC7CB8"/>
    <w:rsid w:val="00AC7D55"/>
    <w:rsid w:val="00AD01DD"/>
    <w:rsid w:val="00AD038F"/>
    <w:rsid w:val="00AD06BE"/>
    <w:rsid w:val="00AD0720"/>
    <w:rsid w:val="00AD09F6"/>
    <w:rsid w:val="00AD14AE"/>
    <w:rsid w:val="00AD1599"/>
    <w:rsid w:val="00AD18B1"/>
    <w:rsid w:val="00AD1EBA"/>
    <w:rsid w:val="00AD295A"/>
    <w:rsid w:val="00AD2B0F"/>
    <w:rsid w:val="00AD2D6E"/>
    <w:rsid w:val="00AD3165"/>
    <w:rsid w:val="00AD359B"/>
    <w:rsid w:val="00AD3F9B"/>
    <w:rsid w:val="00AD4054"/>
    <w:rsid w:val="00AD4883"/>
    <w:rsid w:val="00AD4D5E"/>
    <w:rsid w:val="00AD51AC"/>
    <w:rsid w:val="00AD52DD"/>
    <w:rsid w:val="00AD53C5"/>
    <w:rsid w:val="00AD554B"/>
    <w:rsid w:val="00AD5767"/>
    <w:rsid w:val="00AD5BC5"/>
    <w:rsid w:val="00AD5C03"/>
    <w:rsid w:val="00AD5F01"/>
    <w:rsid w:val="00AD5F0F"/>
    <w:rsid w:val="00AD5F7B"/>
    <w:rsid w:val="00AD67FF"/>
    <w:rsid w:val="00AD681D"/>
    <w:rsid w:val="00AD6D72"/>
    <w:rsid w:val="00AD6F44"/>
    <w:rsid w:val="00AE024A"/>
    <w:rsid w:val="00AE0321"/>
    <w:rsid w:val="00AE045E"/>
    <w:rsid w:val="00AE04EA"/>
    <w:rsid w:val="00AE0988"/>
    <w:rsid w:val="00AE0FAF"/>
    <w:rsid w:val="00AE1029"/>
    <w:rsid w:val="00AE1825"/>
    <w:rsid w:val="00AE1BCB"/>
    <w:rsid w:val="00AE1DAF"/>
    <w:rsid w:val="00AE1F82"/>
    <w:rsid w:val="00AE1FF4"/>
    <w:rsid w:val="00AE21EA"/>
    <w:rsid w:val="00AE27F5"/>
    <w:rsid w:val="00AE2BBE"/>
    <w:rsid w:val="00AE2ED2"/>
    <w:rsid w:val="00AE2F18"/>
    <w:rsid w:val="00AE3505"/>
    <w:rsid w:val="00AE3889"/>
    <w:rsid w:val="00AE4000"/>
    <w:rsid w:val="00AE4044"/>
    <w:rsid w:val="00AE4074"/>
    <w:rsid w:val="00AE411F"/>
    <w:rsid w:val="00AE4735"/>
    <w:rsid w:val="00AE4AFD"/>
    <w:rsid w:val="00AE4BA9"/>
    <w:rsid w:val="00AE4D67"/>
    <w:rsid w:val="00AE4D79"/>
    <w:rsid w:val="00AE4D96"/>
    <w:rsid w:val="00AE56F4"/>
    <w:rsid w:val="00AE5748"/>
    <w:rsid w:val="00AE58DB"/>
    <w:rsid w:val="00AE590D"/>
    <w:rsid w:val="00AE5A0E"/>
    <w:rsid w:val="00AE5D71"/>
    <w:rsid w:val="00AE5D75"/>
    <w:rsid w:val="00AE5DBB"/>
    <w:rsid w:val="00AE62AA"/>
    <w:rsid w:val="00AE62FB"/>
    <w:rsid w:val="00AE6583"/>
    <w:rsid w:val="00AE65C9"/>
    <w:rsid w:val="00AE6968"/>
    <w:rsid w:val="00AE6EB5"/>
    <w:rsid w:val="00AE7810"/>
    <w:rsid w:val="00AE7950"/>
    <w:rsid w:val="00AE7CB8"/>
    <w:rsid w:val="00AE7EB1"/>
    <w:rsid w:val="00AE7FC7"/>
    <w:rsid w:val="00AF01B9"/>
    <w:rsid w:val="00AF0954"/>
    <w:rsid w:val="00AF0A2B"/>
    <w:rsid w:val="00AF0ACA"/>
    <w:rsid w:val="00AF0B0A"/>
    <w:rsid w:val="00AF0C3F"/>
    <w:rsid w:val="00AF103E"/>
    <w:rsid w:val="00AF11C5"/>
    <w:rsid w:val="00AF14BC"/>
    <w:rsid w:val="00AF19F6"/>
    <w:rsid w:val="00AF1F2F"/>
    <w:rsid w:val="00AF2005"/>
    <w:rsid w:val="00AF20D5"/>
    <w:rsid w:val="00AF20E6"/>
    <w:rsid w:val="00AF210F"/>
    <w:rsid w:val="00AF21C1"/>
    <w:rsid w:val="00AF234A"/>
    <w:rsid w:val="00AF2BE1"/>
    <w:rsid w:val="00AF2E33"/>
    <w:rsid w:val="00AF3CF1"/>
    <w:rsid w:val="00AF420B"/>
    <w:rsid w:val="00AF455E"/>
    <w:rsid w:val="00AF48A0"/>
    <w:rsid w:val="00AF51E1"/>
    <w:rsid w:val="00AF562D"/>
    <w:rsid w:val="00AF5808"/>
    <w:rsid w:val="00AF5846"/>
    <w:rsid w:val="00AF6003"/>
    <w:rsid w:val="00AF6126"/>
    <w:rsid w:val="00AF6327"/>
    <w:rsid w:val="00AF6BE7"/>
    <w:rsid w:val="00AF6CFC"/>
    <w:rsid w:val="00AF6EAC"/>
    <w:rsid w:val="00AF718B"/>
    <w:rsid w:val="00AF7A65"/>
    <w:rsid w:val="00AF7A7B"/>
    <w:rsid w:val="00AF7BA6"/>
    <w:rsid w:val="00AF7F20"/>
    <w:rsid w:val="00AF7F44"/>
    <w:rsid w:val="00AF7FB6"/>
    <w:rsid w:val="00B000CF"/>
    <w:rsid w:val="00B000F8"/>
    <w:rsid w:val="00B00787"/>
    <w:rsid w:val="00B00857"/>
    <w:rsid w:val="00B00B01"/>
    <w:rsid w:val="00B00CF2"/>
    <w:rsid w:val="00B00D5E"/>
    <w:rsid w:val="00B012ED"/>
    <w:rsid w:val="00B0134C"/>
    <w:rsid w:val="00B01483"/>
    <w:rsid w:val="00B01A2C"/>
    <w:rsid w:val="00B01D39"/>
    <w:rsid w:val="00B020A0"/>
    <w:rsid w:val="00B02362"/>
    <w:rsid w:val="00B02594"/>
    <w:rsid w:val="00B029C1"/>
    <w:rsid w:val="00B030C7"/>
    <w:rsid w:val="00B037AC"/>
    <w:rsid w:val="00B03951"/>
    <w:rsid w:val="00B03A6D"/>
    <w:rsid w:val="00B03CF9"/>
    <w:rsid w:val="00B040FB"/>
    <w:rsid w:val="00B041F4"/>
    <w:rsid w:val="00B04A9C"/>
    <w:rsid w:val="00B04ACB"/>
    <w:rsid w:val="00B04F4D"/>
    <w:rsid w:val="00B050D5"/>
    <w:rsid w:val="00B053D2"/>
    <w:rsid w:val="00B05608"/>
    <w:rsid w:val="00B0566E"/>
    <w:rsid w:val="00B06702"/>
    <w:rsid w:val="00B06CE6"/>
    <w:rsid w:val="00B06CE7"/>
    <w:rsid w:val="00B06E56"/>
    <w:rsid w:val="00B074F9"/>
    <w:rsid w:val="00B0773E"/>
    <w:rsid w:val="00B0781F"/>
    <w:rsid w:val="00B07864"/>
    <w:rsid w:val="00B078C5"/>
    <w:rsid w:val="00B078FD"/>
    <w:rsid w:val="00B07FB5"/>
    <w:rsid w:val="00B1005E"/>
    <w:rsid w:val="00B1044A"/>
    <w:rsid w:val="00B10780"/>
    <w:rsid w:val="00B1085F"/>
    <w:rsid w:val="00B10F55"/>
    <w:rsid w:val="00B114FF"/>
    <w:rsid w:val="00B123F5"/>
    <w:rsid w:val="00B12DFF"/>
    <w:rsid w:val="00B12EF2"/>
    <w:rsid w:val="00B132ED"/>
    <w:rsid w:val="00B1337A"/>
    <w:rsid w:val="00B136C2"/>
    <w:rsid w:val="00B14135"/>
    <w:rsid w:val="00B1438B"/>
    <w:rsid w:val="00B14BD7"/>
    <w:rsid w:val="00B152BC"/>
    <w:rsid w:val="00B1582C"/>
    <w:rsid w:val="00B15B8D"/>
    <w:rsid w:val="00B15D33"/>
    <w:rsid w:val="00B15DDC"/>
    <w:rsid w:val="00B15FC0"/>
    <w:rsid w:val="00B164B6"/>
    <w:rsid w:val="00B16A3E"/>
    <w:rsid w:val="00B16C8A"/>
    <w:rsid w:val="00B16E87"/>
    <w:rsid w:val="00B16F59"/>
    <w:rsid w:val="00B17111"/>
    <w:rsid w:val="00B1767C"/>
    <w:rsid w:val="00B17855"/>
    <w:rsid w:val="00B17A14"/>
    <w:rsid w:val="00B17B34"/>
    <w:rsid w:val="00B17FEF"/>
    <w:rsid w:val="00B20089"/>
    <w:rsid w:val="00B20415"/>
    <w:rsid w:val="00B20614"/>
    <w:rsid w:val="00B20B63"/>
    <w:rsid w:val="00B2175C"/>
    <w:rsid w:val="00B21A19"/>
    <w:rsid w:val="00B21BD0"/>
    <w:rsid w:val="00B21D35"/>
    <w:rsid w:val="00B21D53"/>
    <w:rsid w:val="00B22A9D"/>
    <w:rsid w:val="00B22E2F"/>
    <w:rsid w:val="00B22EE8"/>
    <w:rsid w:val="00B22EF4"/>
    <w:rsid w:val="00B23115"/>
    <w:rsid w:val="00B23676"/>
    <w:rsid w:val="00B238B8"/>
    <w:rsid w:val="00B23A2F"/>
    <w:rsid w:val="00B2453A"/>
    <w:rsid w:val="00B2476C"/>
    <w:rsid w:val="00B253AF"/>
    <w:rsid w:val="00B257BB"/>
    <w:rsid w:val="00B25B35"/>
    <w:rsid w:val="00B25D67"/>
    <w:rsid w:val="00B25E2A"/>
    <w:rsid w:val="00B2657B"/>
    <w:rsid w:val="00B2662F"/>
    <w:rsid w:val="00B26A19"/>
    <w:rsid w:val="00B26C67"/>
    <w:rsid w:val="00B26DD8"/>
    <w:rsid w:val="00B27360"/>
    <w:rsid w:val="00B27D9D"/>
    <w:rsid w:val="00B27F9B"/>
    <w:rsid w:val="00B30289"/>
    <w:rsid w:val="00B3045D"/>
    <w:rsid w:val="00B312E8"/>
    <w:rsid w:val="00B314A3"/>
    <w:rsid w:val="00B318E2"/>
    <w:rsid w:val="00B31A65"/>
    <w:rsid w:val="00B3272E"/>
    <w:rsid w:val="00B32B34"/>
    <w:rsid w:val="00B32C59"/>
    <w:rsid w:val="00B32C6A"/>
    <w:rsid w:val="00B32E45"/>
    <w:rsid w:val="00B33B13"/>
    <w:rsid w:val="00B33C66"/>
    <w:rsid w:val="00B33DB4"/>
    <w:rsid w:val="00B33F69"/>
    <w:rsid w:val="00B341F7"/>
    <w:rsid w:val="00B34A48"/>
    <w:rsid w:val="00B34EE6"/>
    <w:rsid w:val="00B35100"/>
    <w:rsid w:val="00B351AB"/>
    <w:rsid w:val="00B35334"/>
    <w:rsid w:val="00B35772"/>
    <w:rsid w:val="00B35935"/>
    <w:rsid w:val="00B366E0"/>
    <w:rsid w:val="00B36874"/>
    <w:rsid w:val="00B3687A"/>
    <w:rsid w:val="00B36B17"/>
    <w:rsid w:val="00B36DDF"/>
    <w:rsid w:val="00B3748A"/>
    <w:rsid w:val="00B377A4"/>
    <w:rsid w:val="00B37857"/>
    <w:rsid w:val="00B37B8C"/>
    <w:rsid w:val="00B37ED8"/>
    <w:rsid w:val="00B40A06"/>
    <w:rsid w:val="00B40D50"/>
    <w:rsid w:val="00B416ED"/>
    <w:rsid w:val="00B41A81"/>
    <w:rsid w:val="00B41AC4"/>
    <w:rsid w:val="00B421A1"/>
    <w:rsid w:val="00B42590"/>
    <w:rsid w:val="00B428A7"/>
    <w:rsid w:val="00B43082"/>
    <w:rsid w:val="00B434C4"/>
    <w:rsid w:val="00B43798"/>
    <w:rsid w:val="00B43B92"/>
    <w:rsid w:val="00B43C24"/>
    <w:rsid w:val="00B43D21"/>
    <w:rsid w:val="00B43EBA"/>
    <w:rsid w:val="00B441FC"/>
    <w:rsid w:val="00B44347"/>
    <w:rsid w:val="00B444E7"/>
    <w:rsid w:val="00B444FB"/>
    <w:rsid w:val="00B44DD2"/>
    <w:rsid w:val="00B45197"/>
    <w:rsid w:val="00B45756"/>
    <w:rsid w:val="00B45C8B"/>
    <w:rsid w:val="00B45F2E"/>
    <w:rsid w:val="00B46046"/>
    <w:rsid w:val="00B4688A"/>
    <w:rsid w:val="00B46D89"/>
    <w:rsid w:val="00B46F70"/>
    <w:rsid w:val="00B470AB"/>
    <w:rsid w:val="00B47344"/>
    <w:rsid w:val="00B47DD8"/>
    <w:rsid w:val="00B502C3"/>
    <w:rsid w:val="00B5033B"/>
    <w:rsid w:val="00B50A73"/>
    <w:rsid w:val="00B50AD3"/>
    <w:rsid w:val="00B510D2"/>
    <w:rsid w:val="00B518F2"/>
    <w:rsid w:val="00B51B8B"/>
    <w:rsid w:val="00B5219C"/>
    <w:rsid w:val="00B52206"/>
    <w:rsid w:val="00B52D9D"/>
    <w:rsid w:val="00B531B3"/>
    <w:rsid w:val="00B53254"/>
    <w:rsid w:val="00B536FB"/>
    <w:rsid w:val="00B53713"/>
    <w:rsid w:val="00B537B4"/>
    <w:rsid w:val="00B537E0"/>
    <w:rsid w:val="00B539D3"/>
    <w:rsid w:val="00B53B85"/>
    <w:rsid w:val="00B53C9D"/>
    <w:rsid w:val="00B53CD6"/>
    <w:rsid w:val="00B5404E"/>
    <w:rsid w:val="00B543AA"/>
    <w:rsid w:val="00B547B0"/>
    <w:rsid w:val="00B54DE2"/>
    <w:rsid w:val="00B54FCD"/>
    <w:rsid w:val="00B55051"/>
    <w:rsid w:val="00B55089"/>
    <w:rsid w:val="00B550A3"/>
    <w:rsid w:val="00B5525C"/>
    <w:rsid w:val="00B555EF"/>
    <w:rsid w:val="00B5579E"/>
    <w:rsid w:val="00B559C7"/>
    <w:rsid w:val="00B55A07"/>
    <w:rsid w:val="00B55AEF"/>
    <w:rsid w:val="00B55C4A"/>
    <w:rsid w:val="00B561EF"/>
    <w:rsid w:val="00B56371"/>
    <w:rsid w:val="00B5657E"/>
    <w:rsid w:val="00B565A9"/>
    <w:rsid w:val="00B56F84"/>
    <w:rsid w:val="00B56FCD"/>
    <w:rsid w:val="00B57046"/>
    <w:rsid w:val="00B572DA"/>
    <w:rsid w:val="00B574BC"/>
    <w:rsid w:val="00B575B8"/>
    <w:rsid w:val="00B578C3"/>
    <w:rsid w:val="00B57E9B"/>
    <w:rsid w:val="00B57FEE"/>
    <w:rsid w:val="00B6018B"/>
    <w:rsid w:val="00B60DE5"/>
    <w:rsid w:val="00B610D9"/>
    <w:rsid w:val="00B6113A"/>
    <w:rsid w:val="00B614CA"/>
    <w:rsid w:val="00B61530"/>
    <w:rsid w:val="00B6154D"/>
    <w:rsid w:val="00B6179E"/>
    <w:rsid w:val="00B617CD"/>
    <w:rsid w:val="00B618CD"/>
    <w:rsid w:val="00B6195F"/>
    <w:rsid w:val="00B61B64"/>
    <w:rsid w:val="00B62196"/>
    <w:rsid w:val="00B62DF4"/>
    <w:rsid w:val="00B630C7"/>
    <w:rsid w:val="00B633A0"/>
    <w:rsid w:val="00B63911"/>
    <w:rsid w:val="00B63D61"/>
    <w:rsid w:val="00B63EEE"/>
    <w:rsid w:val="00B640D0"/>
    <w:rsid w:val="00B64207"/>
    <w:rsid w:val="00B651B6"/>
    <w:rsid w:val="00B65B46"/>
    <w:rsid w:val="00B65C4A"/>
    <w:rsid w:val="00B65F38"/>
    <w:rsid w:val="00B6637B"/>
    <w:rsid w:val="00B66A8A"/>
    <w:rsid w:val="00B66AB5"/>
    <w:rsid w:val="00B66CED"/>
    <w:rsid w:val="00B66F0F"/>
    <w:rsid w:val="00B66F10"/>
    <w:rsid w:val="00B67100"/>
    <w:rsid w:val="00B6732B"/>
    <w:rsid w:val="00B674AC"/>
    <w:rsid w:val="00B67722"/>
    <w:rsid w:val="00B677F1"/>
    <w:rsid w:val="00B705FD"/>
    <w:rsid w:val="00B706F1"/>
    <w:rsid w:val="00B70BB5"/>
    <w:rsid w:val="00B70E46"/>
    <w:rsid w:val="00B714CA"/>
    <w:rsid w:val="00B714D5"/>
    <w:rsid w:val="00B715EB"/>
    <w:rsid w:val="00B718A7"/>
    <w:rsid w:val="00B71A91"/>
    <w:rsid w:val="00B71B27"/>
    <w:rsid w:val="00B721FC"/>
    <w:rsid w:val="00B72237"/>
    <w:rsid w:val="00B72605"/>
    <w:rsid w:val="00B72878"/>
    <w:rsid w:val="00B72956"/>
    <w:rsid w:val="00B72D56"/>
    <w:rsid w:val="00B730D5"/>
    <w:rsid w:val="00B732B2"/>
    <w:rsid w:val="00B73357"/>
    <w:rsid w:val="00B73370"/>
    <w:rsid w:val="00B733C1"/>
    <w:rsid w:val="00B73767"/>
    <w:rsid w:val="00B737F9"/>
    <w:rsid w:val="00B73820"/>
    <w:rsid w:val="00B73B33"/>
    <w:rsid w:val="00B73F63"/>
    <w:rsid w:val="00B7430B"/>
    <w:rsid w:val="00B74AFB"/>
    <w:rsid w:val="00B75028"/>
    <w:rsid w:val="00B7506B"/>
    <w:rsid w:val="00B7587E"/>
    <w:rsid w:val="00B7591B"/>
    <w:rsid w:val="00B7623D"/>
    <w:rsid w:val="00B76443"/>
    <w:rsid w:val="00B765D0"/>
    <w:rsid w:val="00B76897"/>
    <w:rsid w:val="00B76BDC"/>
    <w:rsid w:val="00B76EEC"/>
    <w:rsid w:val="00B76F99"/>
    <w:rsid w:val="00B76FA8"/>
    <w:rsid w:val="00B7756A"/>
    <w:rsid w:val="00B7763C"/>
    <w:rsid w:val="00B77ACE"/>
    <w:rsid w:val="00B800CC"/>
    <w:rsid w:val="00B800FB"/>
    <w:rsid w:val="00B801A4"/>
    <w:rsid w:val="00B80446"/>
    <w:rsid w:val="00B809C9"/>
    <w:rsid w:val="00B80B5C"/>
    <w:rsid w:val="00B80BC0"/>
    <w:rsid w:val="00B81110"/>
    <w:rsid w:val="00B81511"/>
    <w:rsid w:val="00B81B7C"/>
    <w:rsid w:val="00B8216F"/>
    <w:rsid w:val="00B822E4"/>
    <w:rsid w:val="00B82440"/>
    <w:rsid w:val="00B82497"/>
    <w:rsid w:val="00B824A6"/>
    <w:rsid w:val="00B82893"/>
    <w:rsid w:val="00B82CAC"/>
    <w:rsid w:val="00B82EB8"/>
    <w:rsid w:val="00B836CD"/>
    <w:rsid w:val="00B8422E"/>
    <w:rsid w:val="00B84359"/>
    <w:rsid w:val="00B84921"/>
    <w:rsid w:val="00B84943"/>
    <w:rsid w:val="00B8494C"/>
    <w:rsid w:val="00B84A52"/>
    <w:rsid w:val="00B84CC1"/>
    <w:rsid w:val="00B84D4C"/>
    <w:rsid w:val="00B850F1"/>
    <w:rsid w:val="00B85738"/>
    <w:rsid w:val="00B85C82"/>
    <w:rsid w:val="00B85D4E"/>
    <w:rsid w:val="00B85EDD"/>
    <w:rsid w:val="00B86917"/>
    <w:rsid w:val="00B86B1B"/>
    <w:rsid w:val="00B87357"/>
    <w:rsid w:val="00B87BE2"/>
    <w:rsid w:val="00B87C31"/>
    <w:rsid w:val="00B87C93"/>
    <w:rsid w:val="00B87CC4"/>
    <w:rsid w:val="00B9070A"/>
    <w:rsid w:val="00B907AA"/>
    <w:rsid w:val="00B90B7C"/>
    <w:rsid w:val="00B90BE5"/>
    <w:rsid w:val="00B90E06"/>
    <w:rsid w:val="00B90FE3"/>
    <w:rsid w:val="00B9150E"/>
    <w:rsid w:val="00B915EF"/>
    <w:rsid w:val="00B91F03"/>
    <w:rsid w:val="00B920E8"/>
    <w:rsid w:val="00B9215C"/>
    <w:rsid w:val="00B92A2B"/>
    <w:rsid w:val="00B92BCD"/>
    <w:rsid w:val="00B932F5"/>
    <w:rsid w:val="00B935FF"/>
    <w:rsid w:val="00B93860"/>
    <w:rsid w:val="00B93B7D"/>
    <w:rsid w:val="00B93B8B"/>
    <w:rsid w:val="00B93D83"/>
    <w:rsid w:val="00B9497C"/>
    <w:rsid w:val="00B94B6B"/>
    <w:rsid w:val="00B94ECF"/>
    <w:rsid w:val="00B95174"/>
    <w:rsid w:val="00B957D2"/>
    <w:rsid w:val="00B95C3C"/>
    <w:rsid w:val="00B95E72"/>
    <w:rsid w:val="00B95EF2"/>
    <w:rsid w:val="00B95FBF"/>
    <w:rsid w:val="00B96435"/>
    <w:rsid w:val="00B96513"/>
    <w:rsid w:val="00B9680D"/>
    <w:rsid w:val="00B96B34"/>
    <w:rsid w:val="00B96E1E"/>
    <w:rsid w:val="00B9725E"/>
    <w:rsid w:val="00B97379"/>
    <w:rsid w:val="00B9748B"/>
    <w:rsid w:val="00B9749C"/>
    <w:rsid w:val="00B97DD7"/>
    <w:rsid w:val="00BA0242"/>
    <w:rsid w:val="00BA042A"/>
    <w:rsid w:val="00BA0479"/>
    <w:rsid w:val="00BA04A2"/>
    <w:rsid w:val="00BA04B5"/>
    <w:rsid w:val="00BA0562"/>
    <w:rsid w:val="00BA06A2"/>
    <w:rsid w:val="00BA0792"/>
    <w:rsid w:val="00BA0A3B"/>
    <w:rsid w:val="00BA0AEC"/>
    <w:rsid w:val="00BA0C25"/>
    <w:rsid w:val="00BA0CC4"/>
    <w:rsid w:val="00BA0D8F"/>
    <w:rsid w:val="00BA1234"/>
    <w:rsid w:val="00BA16BA"/>
    <w:rsid w:val="00BA19B3"/>
    <w:rsid w:val="00BA1F31"/>
    <w:rsid w:val="00BA2117"/>
    <w:rsid w:val="00BA24A3"/>
    <w:rsid w:val="00BA272C"/>
    <w:rsid w:val="00BA364B"/>
    <w:rsid w:val="00BA3720"/>
    <w:rsid w:val="00BA3752"/>
    <w:rsid w:val="00BA3816"/>
    <w:rsid w:val="00BA3D3A"/>
    <w:rsid w:val="00BA3DBD"/>
    <w:rsid w:val="00BA3E0F"/>
    <w:rsid w:val="00BA3F82"/>
    <w:rsid w:val="00BA414D"/>
    <w:rsid w:val="00BA46AE"/>
    <w:rsid w:val="00BA46F5"/>
    <w:rsid w:val="00BA496F"/>
    <w:rsid w:val="00BA4D07"/>
    <w:rsid w:val="00BA4D11"/>
    <w:rsid w:val="00BA4F50"/>
    <w:rsid w:val="00BA4FCB"/>
    <w:rsid w:val="00BA51D6"/>
    <w:rsid w:val="00BA5F5D"/>
    <w:rsid w:val="00BA6B97"/>
    <w:rsid w:val="00BA6C72"/>
    <w:rsid w:val="00BA6D9C"/>
    <w:rsid w:val="00BB1A54"/>
    <w:rsid w:val="00BB1C4F"/>
    <w:rsid w:val="00BB1CAD"/>
    <w:rsid w:val="00BB1FB3"/>
    <w:rsid w:val="00BB21C1"/>
    <w:rsid w:val="00BB244F"/>
    <w:rsid w:val="00BB2841"/>
    <w:rsid w:val="00BB28B1"/>
    <w:rsid w:val="00BB29B3"/>
    <w:rsid w:val="00BB29F3"/>
    <w:rsid w:val="00BB2BAC"/>
    <w:rsid w:val="00BB2BB1"/>
    <w:rsid w:val="00BB2D7B"/>
    <w:rsid w:val="00BB355B"/>
    <w:rsid w:val="00BB3966"/>
    <w:rsid w:val="00BB3C16"/>
    <w:rsid w:val="00BB3DED"/>
    <w:rsid w:val="00BB459D"/>
    <w:rsid w:val="00BB4793"/>
    <w:rsid w:val="00BB49D3"/>
    <w:rsid w:val="00BB4B8A"/>
    <w:rsid w:val="00BB521E"/>
    <w:rsid w:val="00BB550F"/>
    <w:rsid w:val="00BB57EE"/>
    <w:rsid w:val="00BB633B"/>
    <w:rsid w:val="00BB6B2F"/>
    <w:rsid w:val="00BB6D54"/>
    <w:rsid w:val="00BB6FC0"/>
    <w:rsid w:val="00BB777A"/>
    <w:rsid w:val="00BB78A9"/>
    <w:rsid w:val="00BB79E7"/>
    <w:rsid w:val="00BB79FC"/>
    <w:rsid w:val="00BB7A47"/>
    <w:rsid w:val="00BB7E07"/>
    <w:rsid w:val="00BC01DB"/>
    <w:rsid w:val="00BC0326"/>
    <w:rsid w:val="00BC04C6"/>
    <w:rsid w:val="00BC11A0"/>
    <w:rsid w:val="00BC15EF"/>
    <w:rsid w:val="00BC1C4B"/>
    <w:rsid w:val="00BC2C1F"/>
    <w:rsid w:val="00BC2C53"/>
    <w:rsid w:val="00BC31E6"/>
    <w:rsid w:val="00BC3253"/>
    <w:rsid w:val="00BC33B5"/>
    <w:rsid w:val="00BC3A08"/>
    <w:rsid w:val="00BC3C57"/>
    <w:rsid w:val="00BC3EF3"/>
    <w:rsid w:val="00BC402F"/>
    <w:rsid w:val="00BC42E9"/>
    <w:rsid w:val="00BC477B"/>
    <w:rsid w:val="00BC4B2F"/>
    <w:rsid w:val="00BC50F5"/>
    <w:rsid w:val="00BC539D"/>
    <w:rsid w:val="00BC59F3"/>
    <w:rsid w:val="00BC5ACB"/>
    <w:rsid w:val="00BC5C4F"/>
    <w:rsid w:val="00BC5DE9"/>
    <w:rsid w:val="00BC5E89"/>
    <w:rsid w:val="00BC61E1"/>
    <w:rsid w:val="00BC630F"/>
    <w:rsid w:val="00BC6488"/>
    <w:rsid w:val="00BC690C"/>
    <w:rsid w:val="00BC75A9"/>
    <w:rsid w:val="00BC776B"/>
    <w:rsid w:val="00BC781A"/>
    <w:rsid w:val="00BD03B4"/>
    <w:rsid w:val="00BD0798"/>
    <w:rsid w:val="00BD0ADF"/>
    <w:rsid w:val="00BD0C1C"/>
    <w:rsid w:val="00BD0D98"/>
    <w:rsid w:val="00BD0FC2"/>
    <w:rsid w:val="00BD1218"/>
    <w:rsid w:val="00BD12C2"/>
    <w:rsid w:val="00BD211E"/>
    <w:rsid w:val="00BD2409"/>
    <w:rsid w:val="00BD2AB1"/>
    <w:rsid w:val="00BD2B7F"/>
    <w:rsid w:val="00BD30F1"/>
    <w:rsid w:val="00BD3C4C"/>
    <w:rsid w:val="00BD3F15"/>
    <w:rsid w:val="00BD3FDE"/>
    <w:rsid w:val="00BD44E0"/>
    <w:rsid w:val="00BD4713"/>
    <w:rsid w:val="00BD483E"/>
    <w:rsid w:val="00BD525E"/>
    <w:rsid w:val="00BD59B8"/>
    <w:rsid w:val="00BD5F0C"/>
    <w:rsid w:val="00BD6073"/>
    <w:rsid w:val="00BD6579"/>
    <w:rsid w:val="00BD6C61"/>
    <w:rsid w:val="00BD6D10"/>
    <w:rsid w:val="00BD6E0D"/>
    <w:rsid w:val="00BD6EA7"/>
    <w:rsid w:val="00BD7154"/>
    <w:rsid w:val="00BD7A38"/>
    <w:rsid w:val="00BE0024"/>
    <w:rsid w:val="00BE0110"/>
    <w:rsid w:val="00BE0E2B"/>
    <w:rsid w:val="00BE0FDC"/>
    <w:rsid w:val="00BE1521"/>
    <w:rsid w:val="00BE1565"/>
    <w:rsid w:val="00BE1A94"/>
    <w:rsid w:val="00BE1BFE"/>
    <w:rsid w:val="00BE1F5E"/>
    <w:rsid w:val="00BE20FB"/>
    <w:rsid w:val="00BE27FC"/>
    <w:rsid w:val="00BE32CF"/>
    <w:rsid w:val="00BE35CD"/>
    <w:rsid w:val="00BE3621"/>
    <w:rsid w:val="00BE3999"/>
    <w:rsid w:val="00BE3A21"/>
    <w:rsid w:val="00BE3ACD"/>
    <w:rsid w:val="00BE3DAB"/>
    <w:rsid w:val="00BE3F9E"/>
    <w:rsid w:val="00BE3FE5"/>
    <w:rsid w:val="00BE45EE"/>
    <w:rsid w:val="00BE46D6"/>
    <w:rsid w:val="00BE4B14"/>
    <w:rsid w:val="00BE4DA9"/>
    <w:rsid w:val="00BE5067"/>
    <w:rsid w:val="00BE5550"/>
    <w:rsid w:val="00BE5825"/>
    <w:rsid w:val="00BE5952"/>
    <w:rsid w:val="00BE60AE"/>
    <w:rsid w:val="00BE614F"/>
    <w:rsid w:val="00BE63A7"/>
    <w:rsid w:val="00BE6626"/>
    <w:rsid w:val="00BE6BDD"/>
    <w:rsid w:val="00BE6CB8"/>
    <w:rsid w:val="00BE71B0"/>
    <w:rsid w:val="00BE72F8"/>
    <w:rsid w:val="00BE78BE"/>
    <w:rsid w:val="00BE7AF2"/>
    <w:rsid w:val="00BE7B75"/>
    <w:rsid w:val="00BF0A44"/>
    <w:rsid w:val="00BF1380"/>
    <w:rsid w:val="00BF1605"/>
    <w:rsid w:val="00BF188F"/>
    <w:rsid w:val="00BF1AFA"/>
    <w:rsid w:val="00BF1CBF"/>
    <w:rsid w:val="00BF224E"/>
    <w:rsid w:val="00BF22E8"/>
    <w:rsid w:val="00BF2436"/>
    <w:rsid w:val="00BF24F8"/>
    <w:rsid w:val="00BF2684"/>
    <w:rsid w:val="00BF28EB"/>
    <w:rsid w:val="00BF2CDB"/>
    <w:rsid w:val="00BF304A"/>
    <w:rsid w:val="00BF314F"/>
    <w:rsid w:val="00BF3624"/>
    <w:rsid w:val="00BF40B3"/>
    <w:rsid w:val="00BF4A6F"/>
    <w:rsid w:val="00BF4C4E"/>
    <w:rsid w:val="00BF4C5B"/>
    <w:rsid w:val="00BF52C7"/>
    <w:rsid w:val="00BF5403"/>
    <w:rsid w:val="00BF5926"/>
    <w:rsid w:val="00BF5B71"/>
    <w:rsid w:val="00BF5BDC"/>
    <w:rsid w:val="00BF5E15"/>
    <w:rsid w:val="00BF64E3"/>
    <w:rsid w:val="00BF68EA"/>
    <w:rsid w:val="00BF6AAA"/>
    <w:rsid w:val="00BF6B58"/>
    <w:rsid w:val="00BF6B7D"/>
    <w:rsid w:val="00BF6F9F"/>
    <w:rsid w:val="00BF7AE0"/>
    <w:rsid w:val="00BF7E61"/>
    <w:rsid w:val="00C00290"/>
    <w:rsid w:val="00C00390"/>
    <w:rsid w:val="00C00986"/>
    <w:rsid w:val="00C00C26"/>
    <w:rsid w:val="00C00D1B"/>
    <w:rsid w:val="00C01004"/>
    <w:rsid w:val="00C011FF"/>
    <w:rsid w:val="00C0133C"/>
    <w:rsid w:val="00C01573"/>
    <w:rsid w:val="00C016E1"/>
    <w:rsid w:val="00C01E7D"/>
    <w:rsid w:val="00C02339"/>
    <w:rsid w:val="00C02599"/>
    <w:rsid w:val="00C027BA"/>
    <w:rsid w:val="00C02E68"/>
    <w:rsid w:val="00C02F33"/>
    <w:rsid w:val="00C0334F"/>
    <w:rsid w:val="00C0353D"/>
    <w:rsid w:val="00C03F03"/>
    <w:rsid w:val="00C03F26"/>
    <w:rsid w:val="00C04831"/>
    <w:rsid w:val="00C0495F"/>
    <w:rsid w:val="00C04C4B"/>
    <w:rsid w:val="00C04F54"/>
    <w:rsid w:val="00C051A4"/>
    <w:rsid w:val="00C051B9"/>
    <w:rsid w:val="00C05D4A"/>
    <w:rsid w:val="00C05D60"/>
    <w:rsid w:val="00C05E8D"/>
    <w:rsid w:val="00C05EF0"/>
    <w:rsid w:val="00C0646C"/>
    <w:rsid w:val="00C066C4"/>
    <w:rsid w:val="00C06715"/>
    <w:rsid w:val="00C06E6F"/>
    <w:rsid w:val="00C072AC"/>
    <w:rsid w:val="00C078D6"/>
    <w:rsid w:val="00C07B95"/>
    <w:rsid w:val="00C07F43"/>
    <w:rsid w:val="00C07F7D"/>
    <w:rsid w:val="00C10315"/>
    <w:rsid w:val="00C10B41"/>
    <w:rsid w:val="00C10FC1"/>
    <w:rsid w:val="00C1123C"/>
    <w:rsid w:val="00C11736"/>
    <w:rsid w:val="00C119AB"/>
    <w:rsid w:val="00C13156"/>
    <w:rsid w:val="00C1338E"/>
    <w:rsid w:val="00C134DC"/>
    <w:rsid w:val="00C134F0"/>
    <w:rsid w:val="00C13918"/>
    <w:rsid w:val="00C13AFB"/>
    <w:rsid w:val="00C14249"/>
    <w:rsid w:val="00C14495"/>
    <w:rsid w:val="00C14D1E"/>
    <w:rsid w:val="00C14D69"/>
    <w:rsid w:val="00C14E32"/>
    <w:rsid w:val="00C14E5F"/>
    <w:rsid w:val="00C14F83"/>
    <w:rsid w:val="00C14FB3"/>
    <w:rsid w:val="00C15114"/>
    <w:rsid w:val="00C151CE"/>
    <w:rsid w:val="00C15402"/>
    <w:rsid w:val="00C15439"/>
    <w:rsid w:val="00C155C9"/>
    <w:rsid w:val="00C15A8D"/>
    <w:rsid w:val="00C15AFE"/>
    <w:rsid w:val="00C168F4"/>
    <w:rsid w:val="00C16D9A"/>
    <w:rsid w:val="00C16E74"/>
    <w:rsid w:val="00C1776A"/>
    <w:rsid w:val="00C17A34"/>
    <w:rsid w:val="00C17DB1"/>
    <w:rsid w:val="00C20D16"/>
    <w:rsid w:val="00C20DE3"/>
    <w:rsid w:val="00C211AA"/>
    <w:rsid w:val="00C2132A"/>
    <w:rsid w:val="00C2196B"/>
    <w:rsid w:val="00C21AEB"/>
    <w:rsid w:val="00C21B96"/>
    <w:rsid w:val="00C21CEC"/>
    <w:rsid w:val="00C21F10"/>
    <w:rsid w:val="00C21F5A"/>
    <w:rsid w:val="00C2236C"/>
    <w:rsid w:val="00C22447"/>
    <w:rsid w:val="00C22569"/>
    <w:rsid w:val="00C22BCC"/>
    <w:rsid w:val="00C22DE9"/>
    <w:rsid w:val="00C22EE5"/>
    <w:rsid w:val="00C2330A"/>
    <w:rsid w:val="00C2343D"/>
    <w:rsid w:val="00C2352D"/>
    <w:rsid w:val="00C23BDE"/>
    <w:rsid w:val="00C23C5D"/>
    <w:rsid w:val="00C23C99"/>
    <w:rsid w:val="00C23CAD"/>
    <w:rsid w:val="00C23DB1"/>
    <w:rsid w:val="00C23DF4"/>
    <w:rsid w:val="00C23F70"/>
    <w:rsid w:val="00C2408B"/>
    <w:rsid w:val="00C2426C"/>
    <w:rsid w:val="00C24751"/>
    <w:rsid w:val="00C2482C"/>
    <w:rsid w:val="00C25750"/>
    <w:rsid w:val="00C25B21"/>
    <w:rsid w:val="00C25B49"/>
    <w:rsid w:val="00C25DFC"/>
    <w:rsid w:val="00C25F0E"/>
    <w:rsid w:val="00C26222"/>
    <w:rsid w:val="00C26257"/>
    <w:rsid w:val="00C263D9"/>
    <w:rsid w:val="00C26ACD"/>
    <w:rsid w:val="00C26F43"/>
    <w:rsid w:val="00C27323"/>
    <w:rsid w:val="00C27447"/>
    <w:rsid w:val="00C274BB"/>
    <w:rsid w:val="00C276D8"/>
    <w:rsid w:val="00C3001A"/>
    <w:rsid w:val="00C3078C"/>
    <w:rsid w:val="00C30AC5"/>
    <w:rsid w:val="00C310FB"/>
    <w:rsid w:val="00C3132C"/>
    <w:rsid w:val="00C31741"/>
    <w:rsid w:val="00C3189F"/>
    <w:rsid w:val="00C32017"/>
    <w:rsid w:val="00C3204E"/>
    <w:rsid w:val="00C322FA"/>
    <w:rsid w:val="00C32757"/>
    <w:rsid w:val="00C32794"/>
    <w:rsid w:val="00C3299F"/>
    <w:rsid w:val="00C32BA9"/>
    <w:rsid w:val="00C32E1B"/>
    <w:rsid w:val="00C3393F"/>
    <w:rsid w:val="00C3396B"/>
    <w:rsid w:val="00C33C07"/>
    <w:rsid w:val="00C33CC5"/>
    <w:rsid w:val="00C33FC9"/>
    <w:rsid w:val="00C34652"/>
    <w:rsid w:val="00C34899"/>
    <w:rsid w:val="00C34A5A"/>
    <w:rsid w:val="00C34AC2"/>
    <w:rsid w:val="00C34BC4"/>
    <w:rsid w:val="00C35343"/>
    <w:rsid w:val="00C35D1A"/>
    <w:rsid w:val="00C36427"/>
    <w:rsid w:val="00C36F48"/>
    <w:rsid w:val="00C36F4B"/>
    <w:rsid w:val="00C36FD1"/>
    <w:rsid w:val="00C374B2"/>
    <w:rsid w:val="00C3752C"/>
    <w:rsid w:val="00C375D0"/>
    <w:rsid w:val="00C40238"/>
    <w:rsid w:val="00C40745"/>
    <w:rsid w:val="00C40870"/>
    <w:rsid w:val="00C408E0"/>
    <w:rsid w:val="00C4099A"/>
    <w:rsid w:val="00C40EF2"/>
    <w:rsid w:val="00C41106"/>
    <w:rsid w:val="00C411CF"/>
    <w:rsid w:val="00C4197A"/>
    <w:rsid w:val="00C41D53"/>
    <w:rsid w:val="00C427B3"/>
    <w:rsid w:val="00C427EE"/>
    <w:rsid w:val="00C42EA0"/>
    <w:rsid w:val="00C432D3"/>
    <w:rsid w:val="00C4354B"/>
    <w:rsid w:val="00C4387A"/>
    <w:rsid w:val="00C44140"/>
    <w:rsid w:val="00C44205"/>
    <w:rsid w:val="00C4468B"/>
    <w:rsid w:val="00C45324"/>
    <w:rsid w:val="00C45AFA"/>
    <w:rsid w:val="00C45B8A"/>
    <w:rsid w:val="00C45CCE"/>
    <w:rsid w:val="00C4631A"/>
    <w:rsid w:val="00C46F47"/>
    <w:rsid w:val="00C4708C"/>
    <w:rsid w:val="00C47259"/>
    <w:rsid w:val="00C475FE"/>
    <w:rsid w:val="00C47684"/>
    <w:rsid w:val="00C476F9"/>
    <w:rsid w:val="00C4775C"/>
    <w:rsid w:val="00C47C14"/>
    <w:rsid w:val="00C50119"/>
    <w:rsid w:val="00C50295"/>
    <w:rsid w:val="00C50512"/>
    <w:rsid w:val="00C50842"/>
    <w:rsid w:val="00C50870"/>
    <w:rsid w:val="00C50AC0"/>
    <w:rsid w:val="00C50C49"/>
    <w:rsid w:val="00C50EC2"/>
    <w:rsid w:val="00C50EE4"/>
    <w:rsid w:val="00C50FBE"/>
    <w:rsid w:val="00C51801"/>
    <w:rsid w:val="00C51A72"/>
    <w:rsid w:val="00C5201B"/>
    <w:rsid w:val="00C52510"/>
    <w:rsid w:val="00C526B3"/>
    <w:rsid w:val="00C5276F"/>
    <w:rsid w:val="00C531BF"/>
    <w:rsid w:val="00C5351B"/>
    <w:rsid w:val="00C53A2B"/>
    <w:rsid w:val="00C53A84"/>
    <w:rsid w:val="00C53E20"/>
    <w:rsid w:val="00C5401E"/>
    <w:rsid w:val="00C54271"/>
    <w:rsid w:val="00C5447D"/>
    <w:rsid w:val="00C5452A"/>
    <w:rsid w:val="00C5487A"/>
    <w:rsid w:val="00C54CB1"/>
    <w:rsid w:val="00C55155"/>
    <w:rsid w:val="00C554F2"/>
    <w:rsid w:val="00C5550A"/>
    <w:rsid w:val="00C55A61"/>
    <w:rsid w:val="00C55C76"/>
    <w:rsid w:val="00C56116"/>
    <w:rsid w:val="00C5619B"/>
    <w:rsid w:val="00C56CE3"/>
    <w:rsid w:val="00C56D27"/>
    <w:rsid w:val="00C56D66"/>
    <w:rsid w:val="00C56EC1"/>
    <w:rsid w:val="00C57126"/>
    <w:rsid w:val="00C57258"/>
    <w:rsid w:val="00C5758E"/>
    <w:rsid w:val="00C578DE"/>
    <w:rsid w:val="00C57D2E"/>
    <w:rsid w:val="00C57EBE"/>
    <w:rsid w:val="00C6024F"/>
    <w:rsid w:val="00C602AC"/>
    <w:rsid w:val="00C60336"/>
    <w:rsid w:val="00C6090C"/>
    <w:rsid w:val="00C60B91"/>
    <w:rsid w:val="00C60DCA"/>
    <w:rsid w:val="00C60E46"/>
    <w:rsid w:val="00C613AE"/>
    <w:rsid w:val="00C613B9"/>
    <w:rsid w:val="00C61EE6"/>
    <w:rsid w:val="00C62005"/>
    <w:rsid w:val="00C621A4"/>
    <w:rsid w:val="00C622BF"/>
    <w:rsid w:val="00C62348"/>
    <w:rsid w:val="00C62748"/>
    <w:rsid w:val="00C627D7"/>
    <w:rsid w:val="00C627FE"/>
    <w:rsid w:val="00C62FAF"/>
    <w:rsid w:val="00C63264"/>
    <w:rsid w:val="00C6400E"/>
    <w:rsid w:val="00C64392"/>
    <w:rsid w:val="00C6440C"/>
    <w:rsid w:val="00C64415"/>
    <w:rsid w:val="00C64598"/>
    <w:rsid w:val="00C646B5"/>
    <w:rsid w:val="00C646E2"/>
    <w:rsid w:val="00C64DE0"/>
    <w:rsid w:val="00C653C7"/>
    <w:rsid w:val="00C65E89"/>
    <w:rsid w:val="00C66132"/>
    <w:rsid w:val="00C66403"/>
    <w:rsid w:val="00C66BE3"/>
    <w:rsid w:val="00C66F21"/>
    <w:rsid w:val="00C67583"/>
    <w:rsid w:val="00C67CDF"/>
    <w:rsid w:val="00C7007C"/>
    <w:rsid w:val="00C70319"/>
    <w:rsid w:val="00C70DDD"/>
    <w:rsid w:val="00C70FB1"/>
    <w:rsid w:val="00C71017"/>
    <w:rsid w:val="00C71429"/>
    <w:rsid w:val="00C7172D"/>
    <w:rsid w:val="00C71929"/>
    <w:rsid w:val="00C71935"/>
    <w:rsid w:val="00C71947"/>
    <w:rsid w:val="00C720BF"/>
    <w:rsid w:val="00C72685"/>
    <w:rsid w:val="00C72A69"/>
    <w:rsid w:val="00C72C89"/>
    <w:rsid w:val="00C72FCE"/>
    <w:rsid w:val="00C732B5"/>
    <w:rsid w:val="00C7342B"/>
    <w:rsid w:val="00C737BF"/>
    <w:rsid w:val="00C73B6C"/>
    <w:rsid w:val="00C73DF6"/>
    <w:rsid w:val="00C73FE4"/>
    <w:rsid w:val="00C74895"/>
    <w:rsid w:val="00C74981"/>
    <w:rsid w:val="00C74EB0"/>
    <w:rsid w:val="00C7516F"/>
    <w:rsid w:val="00C754A2"/>
    <w:rsid w:val="00C76418"/>
    <w:rsid w:val="00C7658B"/>
    <w:rsid w:val="00C7673B"/>
    <w:rsid w:val="00C7683F"/>
    <w:rsid w:val="00C7697F"/>
    <w:rsid w:val="00C76BE1"/>
    <w:rsid w:val="00C77020"/>
    <w:rsid w:val="00C77384"/>
    <w:rsid w:val="00C776CA"/>
    <w:rsid w:val="00C7779B"/>
    <w:rsid w:val="00C777FC"/>
    <w:rsid w:val="00C779D1"/>
    <w:rsid w:val="00C77FBD"/>
    <w:rsid w:val="00C80782"/>
    <w:rsid w:val="00C8106C"/>
    <w:rsid w:val="00C8181C"/>
    <w:rsid w:val="00C81B78"/>
    <w:rsid w:val="00C81F28"/>
    <w:rsid w:val="00C81FF6"/>
    <w:rsid w:val="00C8256F"/>
    <w:rsid w:val="00C8260E"/>
    <w:rsid w:val="00C8262A"/>
    <w:rsid w:val="00C82919"/>
    <w:rsid w:val="00C82D49"/>
    <w:rsid w:val="00C83078"/>
    <w:rsid w:val="00C834ED"/>
    <w:rsid w:val="00C83605"/>
    <w:rsid w:val="00C837AB"/>
    <w:rsid w:val="00C84773"/>
    <w:rsid w:val="00C84BB9"/>
    <w:rsid w:val="00C84C34"/>
    <w:rsid w:val="00C84C8F"/>
    <w:rsid w:val="00C84EA4"/>
    <w:rsid w:val="00C855DC"/>
    <w:rsid w:val="00C8577C"/>
    <w:rsid w:val="00C85A40"/>
    <w:rsid w:val="00C85B62"/>
    <w:rsid w:val="00C8605B"/>
    <w:rsid w:val="00C862AE"/>
    <w:rsid w:val="00C865E5"/>
    <w:rsid w:val="00C8680A"/>
    <w:rsid w:val="00C86F57"/>
    <w:rsid w:val="00C872E4"/>
    <w:rsid w:val="00C87513"/>
    <w:rsid w:val="00C87A53"/>
    <w:rsid w:val="00C87E15"/>
    <w:rsid w:val="00C87E84"/>
    <w:rsid w:val="00C87FC3"/>
    <w:rsid w:val="00C90130"/>
    <w:rsid w:val="00C908E3"/>
    <w:rsid w:val="00C90A8C"/>
    <w:rsid w:val="00C90D3C"/>
    <w:rsid w:val="00C90EF4"/>
    <w:rsid w:val="00C917C7"/>
    <w:rsid w:val="00C91967"/>
    <w:rsid w:val="00C91E03"/>
    <w:rsid w:val="00C91EB0"/>
    <w:rsid w:val="00C920AB"/>
    <w:rsid w:val="00C9276B"/>
    <w:rsid w:val="00C92B62"/>
    <w:rsid w:val="00C92EDA"/>
    <w:rsid w:val="00C9346D"/>
    <w:rsid w:val="00C9377E"/>
    <w:rsid w:val="00C937FF"/>
    <w:rsid w:val="00C93805"/>
    <w:rsid w:val="00C93B7E"/>
    <w:rsid w:val="00C9400F"/>
    <w:rsid w:val="00C94578"/>
    <w:rsid w:val="00C94D4A"/>
    <w:rsid w:val="00C94EA0"/>
    <w:rsid w:val="00C9546C"/>
    <w:rsid w:val="00C95906"/>
    <w:rsid w:val="00C95C73"/>
    <w:rsid w:val="00C95EC4"/>
    <w:rsid w:val="00C97002"/>
    <w:rsid w:val="00C9768B"/>
    <w:rsid w:val="00C9770C"/>
    <w:rsid w:val="00C977BF"/>
    <w:rsid w:val="00C978A1"/>
    <w:rsid w:val="00C979D3"/>
    <w:rsid w:val="00C97C83"/>
    <w:rsid w:val="00CA02D0"/>
    <w:rsid w:val="00CA0313"/>
    <w:rsid w:val="00CA0382"/>
    <w:rsid w:val="00CA07D4"/>
    <w:rsid w:val="00CA088E"/>
    <w:rsid w:val="00CA0EB2"/>
    <w:rsid w:val="00CA102A"/>
    <w:rsid w:val="00CA12E8"/>
    <w:rsid w:val="00CA1332"/>
    <w:rsid w:val="00CA13F4"/>
    <w:rsid w:val="00CA1404"/>
    <w:rsid w:val="00CA181A"/>
    <w:rsid w:val="00CA1897"/>
    <w:rsid w:val="00CA1A45"/>
    <w:rsid w:val="00CA1E27"/>
    <w:rsid w:val="00CA2067"/>
    <w:rsid w:val="00CA2150"/>
    <w:rsid w:val="00CA22FA"/>
    <w:rsid w:val="00CA23B2"/>
    <w:rsid w:val="00CA2814"/>
    <w:rsid w:val="00CA28A4"/>
    <w:rsid w:val="00CA2AB0"/>
    <w:rsid w:val="00CA377B"/>
    <w:rsid w:val="00CA38C4"/>
    <w:rsid w:val="00CA3CCC"/>
    <w:rsid w:val="00CA4088"/>
    <w:rsid w:val="00CA4202"/>
    <w:rsid w:val="00CA42D7"/>
    <w:rsid w:val="00CA4508"/>
    <w:rsid w:val="00CA47D5"/>
    <w:rsid w:val="00CA4861"/>
    <w:rsid w:val="00CA4E6E"/>
    <w:rsid w:val="00CA5584"/>
    <w:rsid w:val="00CA585F"/>
    <w:rsid w:val="00CA6050"/>
    <w:rsid w:val="00CA60EC"/>
    <w:rsid w:val="00CA61AA"/>
    <w:rsid w:val="00CA6B46"/>
    <w:rsid w:val="00CA6EA8"/>
    <w:rsid w:val="00CA6FB4"/>
    <w:rsid w:val="00CA7111"/>
    <w:rsid w:val="00CA79E4"/>
    <w:rsid w:val="00CA7D64"/>
    <w:rsid w:val="00CB0102"/>
    <w:rsid w:val="00CB0378"/>
    <w:rsid w:val="00CB060A"/>
    <w:rsid w:val="00CB0665"/>
    <w:rsid w:val="00CB0812"/>
    <w:rsid w:val="00CB084A"/>
    <w:rsid w:val="00CB0AD0"/>
    <w:rsid w:val="00CB1CAE"/>
    <w:rsid w:val="00CB1DB0"/>
    <w:rsid w:val="00CB20E2"/>
    <w:rsid w:val="00CB218F"/>
    <w:rsid w:val="00CB2403"/>
    <w:rsid w:val="00CB2AF9"/>
    <w:rsid w:val="00CB2D4D"/>
    <w:rsid w:val="00CB3400"/>
    <w:rsid w:val="00CB3493"/>
    <w:rsid w:val="00CB34F5"/>
    <w:rsid w:val="00CB35AC"/>
    <w:rsid w:val="00CB369B"/>
    <w:rsid w:val="00CB3A05"/>
    <w:rsid w:val="00CB4309"/>
    <w:rsid w:val="00CB49DF"/>
    <w:rsid w:val="00CB4CAE"/>
    <w:rsid w:val="00CB4EAA"/>
    <w:rsid w:val="00CB5412"/>
    <w:rsid w:val="00CB5420"/>
    <w:rsid w:val="00CB61E0"/>
    <w:rsid w:val="00CB6234"/>
    <w:rsid w:val="00CB68C0"/>
    <w:rsid w:val="00CB6983"/>
    <w:rsid w:val="00CB6E89"/>
    <w:rsid w:val="00CB6EA7"/>
    <w:rsid w:val="00CB7009"/>
    <w:rsid w:val="00CB726A"/>
    <w:rsid w:val="00CB77AF"/>
    <w:rsid w:val="00CB77EC"/>
    <w:rsid w:val="00CB7AF6"/>
    <w:rsid w:val="00CB7CEF"/>
    <w:rsid w:val="00CC0009"/>
    <w:rsid w:val="00CC025C"/>
    <w:rsid w:val="00CC047B"/>
    <w:rsid w:val="00CC06F5"/>
    <w:rsid w:val="00CC07FE"/>
    <w:rsid w:val="00CC091E"/>
    <w:rsid w:val="00CC0C06"/>
    <w:rsid w:val="00CC0D82"/>
    <w:rsid w:val="00CC1009"/>
    <w:rsid w:val="00CC1412"/>
    <w:rsid w:val="00CC1460"/>
    <w:rsid w:val="00CC1C07"/>
    <w:rsid w:val="00CC232E"/>
    <w:rsid w:val="00CC3802"/>
    <w:rsid w:val="00CC3A4C"/>
    <w:rsid w:val="00CC3FA5"/>
    <w:rsid w:val="00CC4119"/>
    <w:rsid w:val="00CC4151"/>
    <w:rsid w:val="00CC4398"/>
    <w:rsid w:val="00CC43A7"/>
    <w:rsid w:val="00CC4C66"/>
    <w:rsid w:val="00CC545F"/>
    <w:rsid w:val="00CC56CA"/>
    <w:rsid w:val="00CC5C78"/>
    <w:rsid w:val="00CC5D13"/>
    <w:rsid w:val="00CC5D2F"/>
    <w:rsid w:val="00CC5DDF"/>
    <w:rsid w:val="00CC6118"/>
    <w:rsid w:val="00CC626F"/>
    <w:rsid w:val="00CC668C"/>
    <w:rsid w:val="00CC66D8"/>
    <w:rsid w:val="00CC6AE7"/>
    <w:rsid w:val="00CC7198"/>
    <w:rsid w:val="00CC7694"/>
    <w:rsid w:val="00CC7D60"/>
    <w:rsid w:val="00CC7EC9"/>
    <w:rsid w:val="00CD0738"/>
    <w:rsid w:val="00CD0BA3"/>
    <w:rsid w:val="00CD0D0E"/>
    <w:rsid w:val="00CD0D63"/>
    <w:rsid w:val="00CD1B23"/>
    <w:rsid w:val="00CD238B"/>
    <w:rsid w:val="00CD3113"/>
    <w:rsid w:val="00CD31CF"/>
    <w:rsid w:val="00CD366C"/>
    <w:rsid w:val="00CD376D"/>
    <w:rsid w:val="00CD3771"/>
    <w:rsid w:val="00CD3D29"/>
    <w:rsid w:val="00CD4021"/>
    <w:rsid w:val="00CD4CF9"/>
    <w:rsid w:val="00CD4D65"/>
    <w:rsid w:val="00CD4FD2"/>
    <w:rsid w:val="00CD5172"/>
    <w:rsid w:val="00CD5201"/>
    <w:rsid w:val="00CD5472"/>
    <w:rsid w:val="00CD5AE3"/>
    <w:rsid w:val="00CD5CB9"/>
    <w:rsid w:val="00CD61F9"/>
    <w:rsid w:val="00CD65B7"/>
    <w:rsid w:val="00CD672E"/>
    <w:rsid w:val="00CD692D"/>
    <w:rsid w:val="00CD693C"/>
    <w:rsid w:val="00CD6E29"/>
    <w:rsid w:val="00CD7310"/>
    <w:rsid w:val="00CD73D7"/>
    <w:rsid w:val="00CD7606"/>
    <w:rsid w:val="00CD7EAC"/>
    <w:rsid w:val="00CE0700"/>
    <w:rsid w:val="00CE0912"/>
    <w:rsid w:val="00CE0B55"/>
    <w:rsid w:val="00CE0BB3"/>
    <w:rsid w:val="00CE0C4D"/>
    <w:rsid w:val="00CE0EF1"/>
    <w:rsid w:val="00CE0FD6"/>
    <w:rsid w:val="00CE10E2"/>
    <w:rsid w:val="00CE13C2"/>
    <w:rsid w:val="00CE14BA"/>
    <w:rsid w:val="00CE1A96"/>
    <w:rsid w:val="00CE2493"/>
    <w:rsid w:val="00CE27BE"/>
    <w:rsid w:val="00CE281D"/>
    <w:rsid w:val="00CE29B8"/>
    <w:rsid w:val="00CE2AF9"/>
    <w:rsid w:val="00CE2D51"/>
    <w:rsid w:val="00CE304B"/>
    <w:rsid w:val="00CE34E3"/>
    <w:rsid w:val="00CE3880"/>
    <w:rsid w:val="00CE3D64"/>
    <w:rsid w:val="00CE4039"/>
    <w:rsid w:val="00CE4653"/>
    <w:rsid w:val="00CE4CAB"/>
    <w:rsid w:val="00CE5502"/>
    <w:rsid w:val="00CE5B03"/>
    <w:rsid w:val="00CE64B9"/>
    <w:rsid w:val="00CE64E6"/>
    <w:rsid w:val="00CE66F4"/>
    <w:rsid w:val="00CE6994"/>
    <w:rsid w:val="00CE6A8C"/>
    <w:rsid w:val="00CE72D2"/>
    <w:rsid w:val="00CE7723"/>
    <w:rsid w:val="00CF004B"/>
    <w:rsid w:val="00CF0574"/>
    <w:rsid w:val="00CF0634"/>
    <w:rsid w:val="00CF0EE1"/>
    <w:rsid w:val="00CF0FA0"/>
    <w:rsid w:val="00CF12E7"/>
    <w:rsid w:val="00CF1403"/>
    <w:rsid w:val="00CF170A"/>
    <w:rsid w:val="00CF1CB0"/>
    <w:rsid w:val="00CF1E1F"/>
    <w:rsid w:val="00CF2116"/>
    <w:rsid w:val="00CF218D"/>
    <w:rsid w:val="00CF2ABC"/>
    <w:rsid w:val="00CF2DF1"/>
    <w:rsid w:val="00CF2E18"/>
    <w:rsid w:val="00CF31FD"/>
    <w:rsid w:val="00CF3542"/>
    <w:rsid w:val="00CF369A"/>
    <w:rsid w:val="00CF36F5"/>
    <w:rsid w:val="00CF39A7"/>
    <w:rsid w:val="00CF3BE1"/>
    <w:rsid w:val="00CF41B6"/>
    <w:rsid w:val="00CF4E63"/>
    <w:rsid w:val="00CF504C"/>
    <w:rsid w:val="00CF5319"/>
    <w:rsid w:val="00CF540F"/>
    <w:rsid w:val="00CF55B9"/>
    <w:rsid w:val="00CF58F2"/>
    <w:rsid w:val="00CF5A39"/>
    <w:rsid w:val="00CF5D61"/>
    <w:rsid w:val="00CF6359"/>
    <w:rsid w:val="00CF64D0"/>
    <w:rsid w:val="00CF6A63"/>
    <w:rsid w:val="00CF6CF6"/>
    <w:rsid w:val="00CF71B6"/>
    <w:rsid w:val="00CF7414"/>
    <w:rsid w:val="00CF758A"/>
    <w:rsid w:val="00CF77F4"/>
    <w:rsid w:val="00CF77F9"/>
    <w:rsid w:val="00CF79C2"/>
    <w:rsid w:val="00CF7A73"/>
    <w:rsid w:val="00D0019C"/>
    <w:rsid w:val="00D001E8"/>
    <w:rsid w:val="00D00239"/>
    <w:rsid w:val="00D00765"/>
    <w:rsid w:val="00D0086C"/>
    <w:rsid w:val="00D00988"/>
    <w:rsid w:val="00D00C40"/>
    <w:rsid w:val="00D00FC1"/>
    <w:rsid w:val="00D010C7"/>
    <w:rsid w:val="00D01438"/>
    <w:rsid w:val="00D01801"/>
    <w:rsid w:val="00D018C4"/>
    <w:rsid w:val="00D01FCC"/>
    <w:rsid w:val="00D02182"/>
    <w:rsid w:val="00D02184"/>
    <w:rsid w:val="00D021F7"/>
    <w:rsid w:val="00D02693"/>
    <w:rsid w:val="00D02907"/>
    <w:rsid w:val="00D02C8B"/>
    <w:rsid w:val="00D02DA3"/>
    <w:rsid w:val="00D02F8A"/>
    <w:rsid w:val="00D0340E"/>
    <w:rsid w:val="00D03A21"/>
    <w:rsid w:val="00D03B19"/>
    <w:rsid w:val="00D03C2F"/>
    <w:rsid w:val="00D03D45"/>
    <w:rsid w:val="00D04703"/>
    <w:rsid w:val="00D0485B"/>
    <w:rsid w:val="00D048CD"/>
    <w:rsid w:val="00D049B2"/>
    <w:rsid w:val="00D04B24"/>
    <w:rsid w:val="00D04EB7"/>
    <w:rsid w:val="00D05094"/>
    <w:rsid w:val="00D050D0"/>
    <w:rsid w:val="00D05DE8"/>
    <w:rsid w:val="00D05E15"/>
    <w:rsid w:val="00D0603A"/>
    <w:rsid w:val="00D065CF"/>
    <w:rsid w:val="00D069FD"/>
    <w:rsid w:val="00D07A30"/>
    <w:rsid w:val="00D07C47"/>
    <w:rsid w:val="00D07FB0"/>
    <w:rsid w:val="00D10217"/>
    <w:rsid w:val="00D106F5"/>
    <w:rsid w:val="00D107FD"/>
    <w:rsid w:val="00D10E3C"/>
    <w:rsid w:val="00D113F9"/>
    <w:rsid w:val="00D115C2"/>
    <w:rsid w:val="00D11653"/>
    <w:rsid w:val="00D117CC"/>
    <w:rsid w:val="00D11AC5"/>
    <w:rsid w:val="00D11BF8"/>
    <w:rsid w:val="00D12119"/>
    <w:rsid w:val="00D12351"/>
    <w:rsid w:val="00D12463"/>
    <w:rsid w:val="00D124E9"/>
    <w:rsid w:val="00D12904"/>
    <w:rsid w:val="00D12A94"/>
    <w:rsid w:val="00D12E69"/>
    <w:rsid w:val="00D130AF"/>
    <w:rsid w:val="00D13755"/>
    <w:rsid w:val="00D13DC0"/>
    <w:rsid w:val="00D13F1C"/>
    <w:rsid w:val="00D14159"/>
    <w:rsid w:val="00D1421A"/>
    <w:rsid w:val="00D14327"/>
    <w:rsid w:val="00D144ED"/>
    <w:rsid w:val="00D145D9"/>
    <w:rsid w:val="00D1484A"/>
    <w:rsid w:val="00D14C36"/>
    <w:rsid w:val="00D14E8B"/>
    <w:rsid w:val="00D153F8"/>
    <w:rsid w:val="00D15A47"/>
    <w:rsid w:val="00D15B78"/>
    <w:rsid w:val="00D164C0"/>
    <w:rsid w:val="00D1674C"/>
    <w:rsid w:val="00D16B32"/>
    <w:rsid w:val="00D16E53"/>
    <w:rsid w:val="00D175D0"/>
    <w:rsid w:val="00D17F38"/>
    <w:rsid w:val="00D20B4E"/>
    <w:rsid w:val="00D20DED"/>
    <w:rsid w:val="00D21824"/>
    <w:rsid w:val="00D2254A"/>
    <w:rsid w:val="00D233AA"/>
    <w:rsid w:val="00D236DB"/>
    <w:rsid w:val="00D23948"/>
    <w:rsid w:val="00D23F87"/>
    <w:rsid w:val="00D2403C"/>
    <w:rsid w:val="00D24228"/>
    <w:rsid w:val="00D24281"/>
    <w:rsid w:val="00D2432D"/>
    <w:rsid w:val="00D2436D"/>
    <w:rsid w:val="00D243BD"/>
    <w:rsid w:val="00D243D7"/>
    <w:rsid w:val="00D246D0"/>
    <w:rsid w:val="00D246D8"/>
    <w:rsid w:val="00D24D9B"/>
    <w:rsid w:val="00D24E11"/>
    <w:rsid w:val="00D25282"/>
    <w:rsid w:val="00D2549C"/>
    <w:rsid w:val="00D2594A"/>
    <w:rsid w:val="00D25AD5"/>
    <w:rsid w:val="00D25B52"/>
    <w:rsid w:val="00D25CF8"/>
    <w:rsid w:val="00D25D24"/>
    <w:rsid w:val="00D25EE3"/>
    <w:rsid w:val="00D26581"/>
    <w:rsid w:val="00D266FB"/>
    <w:rsid w:val="00D26B6E"/>
    <w:rsid w:val="00D26D48"/>
    <w:rsid w:val="00D26DD1"/>
    <w:rsid w:val="00D27461"/>
    <w:rsid w:val="00D2769A"/>
    <w:rsid w:val="00D276CF"/>
    <w:rsid w:val="00D27C00"/>
    <w:rsid w:val="00D27C6B"/>
    <w:rsid w:val="00D27F15"/>
    <w:rsid w:val="00D30137"/>
    <w:rsid w:val="00D3060B"/>
    <w:rsid w:val="00D30B22"/>
    <w:rsid w:val="00D30D3A"/>
    <w:rsid w:val="00D31067"/>
    <w:rsid w:val="00D3108C"/>
    <w:rsid w:val="00D31185"/>
    <w:rsid w:val="00D3124A"/>
    <w:rsid w:val="00D31A46"/>
    <w:rsid w:val="00D31AFB"/>
    <w:rsid w:val="00D31C52"/>
    <w:rsid w:val="00D32473"/>
    <w:rsid w:val="00D32CF2"/>
    <w:rsid w:val="00D32FAF"/>
    <w:rsid w:val="00D33766"/>
    <w:rsid w:val="00D33769"/>
    <w:rsid w:val="00D3391A"/>
    <w:rsid w:val="00D34154"/>
    <w:rsid w:val="00D341BD"/>
    <w:rsid w:val="00D341EE"/>
    <w:rsid w:val="00D34696"/>
    <w:rsid w:val="00D34898"/>
    <w:rsid w:val="00D34B30"/>
    <w:rsid w:val="00D34C2A"/>
    <w:rsid w:val="00D3506E"/>
    <w:rsid w:val="00D350AF"/>
    <w:rsid w:val="00D35492"/>
    <w:rsid w:val="00D35579"/>
    <w:rsid w:val="00D35C58"/>
    <w:rsid w:val="00D35FCE"/>
    <w:rsid w:val="00D363ED"/>
    <w:rsid w:val="00D36595"/>
    <w:rsid w:val="00D36BF0"/>
    <w:rsid w:val="00D3732A"/>
    <w:rsid w:val="00D37408"/>
    <w:rsid w:val="00D378ED"/>
    <w:rsid w:val="00D37E1E"/>
    <w:rsid w:val="00D4046B"/>
    <w:rsid w:val="00D4077D"/>
    <w:rsid w:val="00D41B31"/>
    <w:rsid w:val="00D41EE1"/>
    <w:rsid w:val="00D41F85"/>
    <w:rsid w:val="00D424B5"/>
    <w:rsid w:val="00D42503"/>
    <w:rsid w:val="00D42622"/>
    <w:rsid w:val="00D4272A"/>
    <w:rsid w:val="00D42CA0"/>
    <w:rsid w:val="00D42D7C"/>
    <w:rsid w:val="00D43DFC"/>
    <w:rsid w:val="00D44258"/>
    <w:rsid w:val="00D443F5"/>
    <w:rsid w:val="00D44AA5"/>
    <w:rsid w:val="00D44AF5"/>
    <w:rsid w:val="00D44DE0"/>
    <w:rsid w:val="00D44F58"/>
    <w:rsid w:val="00D44FAE"/>
    <w:rsid w:val="00D451F3"/>
    <w:rsid w:val="00D453F4"/>
    <w:rsid w:val="00D4570E"/>
    <w:rsid w:val="00D458C9"/>
    <w:rsid w:val="00D45F91"/>
    <w:rsid w:val="00D46345"/>
    <w:rsid w:val="00D46757"/>
    <w:rsid w:val="00D469B2"/>
    <w:rsid w:val="00D46BBE"/>
    <w:rsid w:val="00D46BFF"/>
    <w:rsid w:val="00D471FB"/>
    <w:rsid w:val="00D474E9"/>
    <w:rsid w:val="00D4774C"/>
    <w:rsid w:val="00D477C2"/>
    <w:rsid w:val="00D47F21"/>
    <w:rsid w:val="00D5098E"/>
    <w:rsid w:val="00D50C46"/>
    <w:rsid w:val="00D5112A"/>
    <w:rsid w:val="00D51147"/>
    <w:rsid w:val="00D51398"/>
    <w:rsid w:val="00D51D22"/>
    <w:rsid w:val="00D5261E"/>
    <w:rsid w:val="00D527FE"/>
    <w:rsid w:val="00D52DDA"/>
    <w:rsid w:val="00D52E23"/>
    <w:rsid w:val="00D53B0B"/>
    <w:rsid w:val="00D53D42"/>
    <w:rsid w:val="00D53F38"/>
    <w:rsid w:val="00D540B0"/>
    <w:rsid w:val="00D54696"/>
    <w:rsid w:val="00D54ACB"/>
    <w:rsid w:val="00D54D78"/>
    <w:rsid w:val="00D54ECA"/>
    <w:rsid w:val="00D554BF"/>
    <w:rsid w:val="00D5558D"/>
    <w:rsid w:val="00D55642"/>
    <w:rsid w:val="00D55930"/>
    <w:rsid w:val="00D55B7F"/>
    <w:rsid w:val="00D55DD1"/>
    <w:rsid w:val="00D56086"/>
    <w:rsid w:val="00D561D2"/>
    <w:rsid w:val="00D561DB"/>
    <w:rsid w:val="00D56258"/>
    <w:rsid w:val="00D564AF"/>
    <w:rsid w:val="00D56A79"/>
    <w:rsid w:val="00D56D01"/>
    <w:rsid w:val="00D56D8A"/>
    <w:rsid w:val="00D56E2E"/>
    <w:rsid w:val="00D56F96"/>
    <w:rsid w:val="00D5706F"/>
    <w:rsid w:val="00D570D5"/>
    <w:rsid w:val="00D5735F"/>
    <w:rsid w:val="00D573A1"/>
    <w:rsid w:val="00D5796D"/>
    <w:rsid w:val="00D604F8"/>
    <w:rsid w:val="00D605A9"/>
    <w:rsid w:val="00D6087A"/>
    <w:rsid w:val="00D60AA0"/>
    <w:rsid w:val="00D61338"/>
    <w:rsid w:val="00D6140D"/>
    <w:rsid w:val="00D6141F"/>
    <w:rsid w:val="00D61791"/>
    <w:rsid w:val="00D62104"/>
    <w:rsid w:val="00D62BA4"/>
    <w:rsid w:val="00D639D9"/>
    <w:rsid w:val="00D63C0F"/>
    <w:rsid w:val="00D63E90"/>
    <w:rsid w:val="00D63EC1"/>
    <w:rsid w:val="00D64333"/>
    <w:rsid w:val="00D64800"/>
    <w:rsid w:val="00D64830"/>
    <w:rsid w:val="00D64DBF"/>
    <w:rsid w:val="00D64F2E"/>
    <w:rsid w:val="00D64F35"/>
    <w:rsid w:val="00D64F7C"/>
    <w:rsid w:val="00D65075"/>
    <w:rsid w:val="00D65C82"/>
    <w:rsid w:val="00D65CB0"/>
    <w:rsid w:val="00D65D0B"/>
    <w:rsid w:val="00D65F69"/>
    <w:rsid w:val="00D65FDF"/>
    <w:rsid w:val="00D66034"/>
    <w:rsid w:val="00D665EF"/>
    <w:rsid w:val="00D66AF5"/>
    <w:rsid w:val="00D67A28"/>
    <w:rsid w:val="00D67A78"/>
    <w:rsid w:val="00D67E06"/>
    <w:rsid w:val="00D7007F"/>
    <w:rsid w:val="00D70404"/>
    <w:rsid w:val="00D70417"/>
    <w:rsid w:val="00D705A3"/>
    <w:rsid w:val="00D70E55"/>
    <w:rsid w:val="00D70F3F"/>
    <w:rsid w:val="00D7120F"/>
    <w:rsid w:val="00D7150C"/>
    <w:rsid w:val="00D716CF"/>
    <w:rsid w:val="00D7170C"/>
    <w:rsid w:val="00D7223D"/>
    <w:rsid w:val="00D72466"/>
    <w:rsid w:val="00D72965"/>
    <w:rsid w:val="00D729B9"/>
    <w:rsid w:val="00D72D0D"/>
    <w:rsid w:val="00D72D62"/>
    <w:rsid w:val="00D738C1"/>
    <w:rsid w:val="00D73984"/>
    <w:rsid w:val="00D7398E"/>
    <w:rsid w:val="00D73DDE"/>
    <w:rsid w:val="00D73FCC"/>
    <w:rsid w:val="00D7425B"/>
    <w:rsid w:val="00D74362"/>
    <w:rsid w:val="00D74D69"/>
    <w:rsid w:val="00D74E49"/>
    <w:rsid w:val="00D74FB6"/>
    <w:rsid w:val="00D751A5"/>
    <w:rsid w:val="00D75254"/>
    <w:rsid w:val="00D7543D"/>
    <w:rsid w:val="00D757FD"/>
    <w:rsid w:val="00D759B7"/>
    <w:rsid w:val="00D75E2F"/>
    <w:rsid w:val="00D76384"/>
    <w:rsid w:val="00D76506"/>
    <w:rsid w:val="00D76628"/>
    <w:rsid w:val="00D76E38"/>
    <w:rsid w:val="00D76EB8"/>
    <w:rsid w:val="00D77609"/>
    <w:rsid w:val="00D77788"/>
    <w:rsid w:val="00D77830"/>
    <w:rsid w:val="00D77AF6"/>
    <w:rsid w:val="00D80126"/>
    <w:rsid w:val="00D805EC"/>
    <w:rsid w:val="00D8061F"/>
    <w:rsid w:val="00D80807"/>
    <w:rsid w:val="00D8089D"/>
    <w:rsid w:val="00D80B25"/>
    <w:rsid w:val="00D80B9B"/>
    <w:rsid w:val="00D81962"/>
    <w:rsid w:val="00D819B6"/>
    <w:rsid w:val="00D820AE"/>
    <w:rsid w:val="00D821DD"/>
    <w:rsid w:val="00D8314D"/>
    <w:rsid w:val="00D835E2"/>
    <w:rsid w:val="00D83840"/>
    <w:rsid w:val="00D83D07"/>
    <w:rsid w:val="00D83F4B"/>
    <w:rsid w:val="00D840E9"/>
    <w:rsid w:val="00D841C0"/>
    <w:rsid w:val="00D842A9"/>
    <w:rsid w:val="00D8485B"/>
    <w:rsid w:val="00D85264"/>
    <w:rsid w:val="00D8535E"/>
    <w:rsid w:val="00D853C0"/>
    <w:rsid w:val="00D857B1"/>
    <w:rsid w:val="00D857B7"/>
    <w:rsid w:val="00D85A70"/>
    <w:rsid w:val="00D8612F"/>
    <w:rsid w:val="00D86699"/>
    <w:rsid w:val="00D86815"/>
    <w:rsid w:val="00D870BA"/>
    <w:rsid w:val="00D870C3"/>
    <w:rsid w:val="00D87375"/>
    <w:rsid w:val="00D87600"/>
    <w:rsid w:val="00D879B3"/>
    <w:rsid w:val="00D87C17"/>
    <w:rsid w:val="00D87E10"/>
    <w:rsid w:val="00D903BC"/>
    <w:rsid w:val="00D909DF"/>
    <w:rsid w:val="00D90B75"/>
    <w:rsid w:val="00D90E02"/>
    <w:rsid w:val="00D90F19"/>
    <w:rsid w:val="00D915D7"/>
    <w:rsid w:val="00D917B2"/>
    <w:rsid w:val="00D91A8F"/>
    <w:rsid w:val="00D91BEC"/>
    <w:rsid w:val="00D91EDC"/>
    <w:rsid w:val="00D9249E"/>
    <w:rsid w:val="00D92735"/>
    <w:rsid w:val="00D92DA1"/>
    <w:rsid w:val="00D92E61"/>
    <w:rsid w:val="00D92F16"/>
    <w:rsid w:val="00D93ECD"/>
    <w:rsid w:val="00D94B1D"/>
    <w:rsid w:val="00D94BAE"/>
    <w:rsid w:val="00D94C93"/>
    <w:rsid w:val="00D95233"/>
    <w:rsid w:val="00D956C1"/>
    <w:rsid w:val="00D95CDD"/>
    <w:rsid w:val="00D964D1"/>
    <w:rsid w:val="00D96DDF"/>
    <w:rsid w:val="00D96F56"/>
    <w:rsid w:val="00D973ED"/>
    <w:rsid w:val="00D975BF"/>
    <w:rsid w:val="00D97D10"/>
    <w:rsid w:val="00D97F55"/>
    <w:rsid w:val="00D97F5F"/>
    <w:rsid w:val="00D97F82"/>
    <w:rsid w:val="00DA06D6"/>
    <w:rsid w:val="00DA06EC"/>
    <w:rsid w:val="00DA1067"/>
    <w:rsid w:val="00DA168C"/>
    <w:rsid w:val="00DA1889"/>
    <w:rsid w:val="00DA1913"/>
    <w:rsid w:val="00DA196F"/>
    <w:rsid w:val="00DA1B66"/>
    <w:rsid w:val="00DA1C1E"/>
    <w:rsid w:val="00DA1CE1"/>
    <w:rsid w:val="00DA1E0A"/>
    <w:rsid w:val="00DA1F70"/>
    <w:rsid w:val="00DA2008"/>
    <w:rsid w:val="00DA221E"/>
    <w:rsid w:val="00DA226C"/>
    <w:rsid w:val="00DA2751"/>
    <w:rsid w:val="00DA2A51"/>
    <w:rsid w:val="00DA2A87"/>
    <w:rsid w:val="00DA2DA3"/>
    <w:rsid w:val="00DA2EC5"/>
    <w:rsid w:val="00DA320F"/>
    <w:rsid w:val="00DA34FB"/>
    <w:rsid w:val="00DA397A"/>
    <w:rsid w:val="00DA3AE0"/>
    <w:rsid w:val="00DA405C"/>
    <w:rsid w:val="00DA40AA"/>
    <w:rsid w:val="00DA42F9"/>
    <w:rsid w:val="00DA4345"/>
    <w:rsid w:val="00DA479E"/>
    <w:rsid w:val="00DA505F"/>
    <w:rsid w:val="00DA54F7"/>
    <w:rsid w:val="00DA5E6D"/>
    <w:rsid w:val="00DA5F02"/>
    <w:rsid w:val="00DA61C3"/>
    <w:rsid w:val="00DA63A3"/>
    <w:rsid w:val="00DA779E"/>
    <w:rsid w:val="00DA7B9C"/>
    <w:rsid w:val="00DA7FFA"/>
    <w:rsid w:val="00DB0036"/>
    <w:rsid w:val="00DB0AE8"/>
    <w:rsid w:val="00DB0E98"/>
    <w:rsid w:val="00DB10D9"/>
    <w:rsid w:val="00DB1102"/>
    <w:rsid w:val="00DB198F"/>
    <w:rsid w:val="00DB19AE"/>
    <w:rsid w:val="00DB26F6"/>
    <w:rsid w:val="00DB2B19"/>
    <w:rsid w:val="00DB3142"/>
    <w:rsid w:val="00DB3237"/>
    <w:rsid w:val="00DB3406"/>
    <w:rsid w:val="00DB402E"/>
    <w:rsid w:val="00DB4188"/>
    <w:rsid w:val="00DB4400"/>
    <w:rsid w:val="00DB44FC"/>
    <w:rsid w:val="00DB4924"/>
    <w:rsid w:val="00DB58A3"/>
    <w:rsid w:val="00DB5AAB"/>
    <w:rsid w:val="00DB5BE0"/>
    <w:rsid w:val="00DB5D35"/>
    <w:rsid w:val="00DB5FB3"/>
    <w:rsid w:val="00DB6757"/>
    <w:rsid w:val="00DB67F4"/>
    <w:rsid w:val="00DB6B9E"/>
    <w:rsid w:val="00DB6C9A"/>
    <w:rsid w:val="00DB74AE"/>
    <w:rsid w:val="00DB75AD"/>
    <w:rsid w:val="00DB7760"/>
    <w:rsid w:val="00DB796C"/>
    <w:rsid w:val="00DB7D8D"/>
    <w:rsid w:val="00DC03F7"/>
    <w:rsid w:val="00DC065F"/>
    <w:rsid w:val="00DC0A49"/>
    <w:rsid w:val="00DC0B6F"/>
    <w:rsid w:val="00DC11EB"/>
    <w:rsid w:val="00DC138F"/>
    <w:rsid w:val="00DC18A0"/>
    <w:rsid w:val="00DC1939"/>
    <w:rsid w:val="00DC1B43"/>
    <w:rsid w:val="00DC1D5A"/>
    <w:rsid w:val="00DC20B7"/>
    <w:rsid w:val="00DC21A7"/>
    <w:rsid w:val="00DC24C9"/>
    <w:rsid w:val="00DC25AB"/>
    <w:rsid w:val="00DC25E9"/>
    <w:rsid w:val="00DC28F5"/>
    <w:rsid w:val="00DC2B7F"/>
    <w:rsid w:val="00DC3260"/>
    <w:rsid w:val="00DC35EF"/>
    <w:rsid w:val="00DC4110"/>
    <w:rsid w:val="00DC47FA"/>
    <w:rsid w:val="00DC4A44"/>
    <w:rsid w:val="00DC4CAB"/>
    <w:rsid w:val="00DC50DC"/>
    <w:rsid w:val="00DC6233"/>
    <w:rsid w:val="00DC66C1"/>
    <w:rsid w:val="00DC6BF6"/>
    <w:rsid w:val="00DC6E3A"/>
    <w:rsid w:val="00DC717F"/>
    <w:rsid w:val="00DC790F"/>
    <w:rsid w:val="00DC79BF"/>
    <w:rsid w:val="00DC7E27"/>
    <w:rsid w:val="00DD01BC"/>
    <w:rsid w:val="00DD072A"/>
    <w:rsid w:val="00DD0948"/>
    <w:rsid w:val="00DD0BE0"/>
    <w:rsid w:val="00DD1457"/>
    <w:rsid w:val="00DD15EB"/>
    <w:rsid w:val="00DD1608"/>
    <w:rsid w:val="00DD1655"/>
    <w:rsid w:val="00DD17C0"/>
    <w:rsid w:val="00DD1AC3"/>
    <w:rsid w:val="00DD1AF0"/>
    <w:rsid w:val="00DD2077"/>
    <w:rsid w:val="00DD2419"/>
    <w:rsid w:val="00DD2579"/>
    <w:rsid w:val="00DD25B0"/>
    <w:rsid w:val="00DD2A7D"/>
    <w:rsid w:val="00DD3005"/>
    <w:rsid w:val="00DD3150"/>
    <w:rsid w:val="00DD352D"/>
    <w:rsid w:val="00DD3816"/>
    <w:rsid w:val="00DD3931"/>
    <w:rsid w:val="00DD4164"/>
    <w:rsid w:val="00DD41BB"/>
    <w:rsid w:val="00DD4494"/>
    <w:rsid w:val="00DD461F"/>
    <w:rsid w:val="00DD50BE"/>
    <w:rsid w:val="00DD56B2"/>
    <w:rsid w:val="00DD56EF"/>
    <w:rsid w:val="00DD5F95"/>
    <w:rsid w:val="00DD6042"/>
    <w:rsid w:val="00DD6460"/>
    <w:rsid w:val="00DD6894"/>
    <w:rsid w:val="00DD6B33"/>
    <w:rsid w:val="00DD6BA2"/>
    <w:rsid w:val="00DD6CF5"/>
    <w:rsid w:val="00DD6F66"/>
    <w:rsid w:val="00DD71E9"/>
    <w:rsid w:val="00DD75FC"/>
    <w:rsid w:val="00DE0287"/>
    <w:rsid w:val="00DE20DC"/>
    <w:rsid w:val="00DE23E8"/>
    <w:rsid w:val="00DE2708"/>
    <w:rsid w:val="00DE2A8F"/>
    <w:rsid w:val="00DE39CB"/>
    <w:rsid w:val="00DE3EDF"/>
    <w:rsid w:val="00DE4636"/>
    <w:rsid w:val="00DE4971"/>
    <w:rsid w:val="00DE4B01"/>
    <w:rsid w:val="00DE5012"/>
    <w:rsid w:val="00DE5748"/>
    <w:rsid w:val="00DE5B97"/>
    <w:rsid w:val="00DE626B"/>
    <w:rsid w:val="00DE6322"/>
    <w:rsid w:val="00DE663F"/>
    <w:rsid w:val="00DE6D1B"/>
    <w:rsid w:val="00DE6E8B"/>
    <w:rsid w:val="00DE7209"/>
    <w:rsid w:val="00DE72CE"/>
    <w:rsid w:val="00DE7EA5"/>
    <w:rsid w:val="00DF0561"/>
    <w:rsid w:val="00DF0997"/>
    <w:rsid w:val="00DF09A0"/>
    <w:rsid w:val="00DF0A8B"/>
    <w:rsid w:val="00DF130E"/>
    <w:rsid w:val="00DF1442"/>
    <w:rsid w:val="00DF1E42"/>
    <w:rsid w:val="00DF1FFC"/>
    <w:rsid w:val="00DF215C"/>
    <w:rsid w:val="00DF2597"/>
    <w:rsid w:val="00DF26BA"/>
    <w:rsid w:val="00DF2843"/>
    <w:rsid w:val="00DF2885"/>
    <w:rsid w:val="00DF2BDE"/>
    <w:rsid w:val="00DF2C45"/>
    <w:rsid w:val="00DF31E2"/>
    <w:rsid w:val="00DF3327"/>
    <w:rsid w:val="00DF3340"/>
    <w:rsid w:val="00DF38C1"/>
    <w:rsid w:val="00DF3A95"/>
    <w:rsid w:val="00DF42C9"/>
    <w:rsid w:val="00DF4816"/>
    <w:rsid w:val="00DF559F"/>
    <w:rsid w:val="00DF56E8"/>
    <w:rsid w:val="00DF5808"/>
    <w:rsid w:val="00DF5B1C"/>
    <w:rsid w:val="00DF5C31"/>
    <w:rsid w:val="00DF606E"/>
    <w:rsid w:val="00DF6216"/>
    <w:rsid w:val="00DF6672"/>
    <w:rsid w:val="00DF687F"/>
    <w:rsid w:val="00DF6D53"/>
    <w:rsid w:val="00DF72B0"/>
    <w:rsid w:val="00DF72C7"/>
    <w:rsid w:val="00DF79C4"/>
    <w:rsid w:val="00E00004"/>
    <w:rsid w:val="00E00310"/>
    <w:rsid w:val="00E00BC3"/>
    <w:rsid w:val="00E011B3"/>
    <w:rsid w:val="00E01A13"/>
    <w:rsid w:val="00E01B40"/>
    <w:rsid w:val="00E01FF7"/>
    <w:rsid w:val="00E0223F"/>
    <w:rsid w:val="00E0272A"/>
    <w:rsid w:val="00E02946"/>
    <w:rsid w:val="00E02BFB"/>
    <w:rsid w:val="00E02F38"/>
    <w:rsid w:val="00E03493"/>
    <w:rsid w:val="00E03836"/>
    <w:rsid w:val="00E03D6D"/>
    <w:rsid w:val="00E03F6F"/>
    <w:rsid w:val="00E0455D"/>
    <w:rsid w:val="00E045B3"/>
    <w:rsid w:val="00E045B8"/>
    <w:rsid w:val="00E049DC"/>
    <w:rsid w:val="00E05A38"/>
    <w:rsid w:val="00E05A93"/>
    <w:rsid w:val="00E0751B"/>
    <w:rsid w:val="00E07B63"/>
    <w:rsid w:val="00E1031A"/>
    <w:rsid w:val="00E10451"/>
    <w:rsid w:val="00E10E09"/>
    <w:rsid w:val="00E11142"/>
    <w:rsid w:val="00E11143"/>
    <w:rsid w:val="00E11DF2"/>
    <w:rsid w:val="00E121F6"/>
    <w:rsid w:val="00E123E6"/>
    <w:rsid w:val="00E126E9"/>
    <w:rsid w:val="00E129B5"/>
    <w:rsid w:val="00E12F9F"/>
    <w:rsid w:val="00E13040"/>
    <w:rsid w:val="00E132A7"/>
    <w:rsid w:val="00E133D0"/>
    <w:rsid w:val="00E13686"/>
    <w:rsid w:val="00E13AA2"/>
    <w:rsid w:val="00E13C78"/>
    <w:rsid w:val="00E13D5D"/>
    <w:rsid w:val="00E14660"/>
    <w:rsid w:val="00E14742"/>
    <w:rsid w:val="00E14DC4"/>
    <w:rsid w:val="00E14DEC"/>
    <w:rsid w:val="00E14FA0"/>
    <w:rsid w:val="00E1587C"/>
    <w:rsid w:val="00E16055"/>
    <w:rsid w:val="00E160E0"/>
    <w:rsid w:val="00E160FF"/>
    <w:rsid w:val="00E16134"/>
    <w:rsid w:val="00E166A1"/>
    <w:rsid w:val="00E16A67"/>
    <w:rsid w:val="00E16CF6"/>
    <w:rsid w:val="00E1703B"/>
    <w:rsid w:val="00E1703E"/>
    <w:rsid w:val="00E173E4"/>
    <w:rsid w:val="00E17443"/>
    <w:rsid w:val="00E1779E"/>
    <w:rsid w:val="00E179C7"/>
    <w:rsid w:val="00E17A3D"/>
    <w:rsid w:val="00E17B95"/>
    <w:rsid w:val="00E20371"/>
    <w:rsid w:val="00E204B1"/>
    <w:rsid w:val="00E20CEC"/>
    <w:rsid w:val="00E20E30"/>
    <w:rsid w:val="00E20F60"/>
    <w:rsid w:val="00E21412"/>
    <w:rsid w:val="00E214E5"/>
    <w:rsid w:val="00E2182B"/>
    <w:rsid w:val="00E21954"/>
    <w:rsid w:val="00E21ABD"/>
    <w:rsid w:val="00E225AB"/>
    <w:rsid w:val="00E22624"/>
    <w:rsid w:val="00E2295E"/>
    <w:rsid w:val="00E22E55"/>
    <w:rsid w:val="00E22F8F"/>
    <w:rsid w:val="00E234A5"/>
    <w:rsid w:val="00E235A1"/>
    <w:rsid w:val="00E2380E"/>
    <w:rsid w:val="00E2381F"/>
    <w:rsid w:val="00E2394E"/>
    <w:rsid w:val="00E239B3"/>
    <w:rsid w:val="00E23B3C"/>
    <w:rsid w:val="00E240B0"/>
    <w:rsid w:val="00E24A81"/>
    <w:rsid w:val="00E24AD7"/>
    <w:rsid w:val="00E25096"/>
    <w:rsid w:val="00E251BA"/>
    <w:rsid w:val="00E255FB"/>
    <w:rsid w:val="00E258FD"/>
    <w:rsid w:val="00E26728"/>
    <w:rsid w:val="00E26BBC"/>
    <w:rsid w:val="00E26E61"/>
    <w:rsid w:val="00E27003"/>
    <w:rsid w:val="00E27133"/>
    <w:rsid w:val="00E2720D"/>
    <w:rsid w:val="00E277AA"/>
    <w:rsid w:val="00E278CE"/>
    <w:rsid w:val="00E27B06"/>
    <w:rsid w:val="00E303A9"/>
    <w:rsid w:val="00E308DE"/>
    <w:rsid w:val="00E30A79"/>
    <w:rsid w:val="00E30B3D"/>
    <w:rsid w:val="00E30CEA"/>
    <w:rsid w:val="00E30DB3"/>
    <w:rsid w:val="00E3132F"/>
    <w:rsid w:val="00E315C4"/>
    <w:rsid w:val="00E3196D"/>
    <w:rsid w:val="00E326BC"/>
    <w:rsid w:val="00E32DE0"/>
    <w:rsid w:val="00E3311A"/>
    <w:rsid w:val="00E33578"/>
    <w:rsid w:val="00E33706"/>
    <w:rsid w:val="00E337E7"/>
    <w:rsid w:val="00E33B09"/>
    <w:rsid w:val="00E348FD"/>
    <w:rsid w:val="00E34D2B"/>
    <w:rsid w:val="00E34FBC"/>
    <w:rsid w:val="00E35065"/>
    <w:rsid w:val="00E35189"/>
    <w:rsid w:val="00E356B3"/>
    <w:rsid w:val="00E3580A"/>
    <w:rsid w:val="00E35A1A"/>
    <w:rsid w:val="00E35C3A"/>
    <w:rsid w:val="00E35DE8"/>
    <w:rsid w:val="00E36D02"/>
    <w:rsid w:val="00E36EF4"/>
    <w:rsid w:val="00E37838"/>
    <w:rsid w:val="00E379C5"/>
    <w:rsid w:val="00E379CE"/>
    <w:rsid w:val="00E40039"/>
    <w:rsid w:val="00E40187"/>
    <w:rsid w:val="00E405AF"/>
    <w:rsid w:val="00E4063D"/>
    <w:rsid w:val="00E40E11"/>
    <w:rsid w:val="00E417F7"/>
    <w:rsid w:val="00E419B9"/>
    <w:rsid w:val="00E41CE0"/>
    <w:rsid w:val="00E42348"/>
    <w:rsid w:val="00E425E3"/>
    <w:rsid w:val="00E4277B"/>
    <w:rsid w:val="00E42782"/>
    <w:rsid w:val="00E42833"/>
    <w:rsid w:val="00E428F9"/>
    <w:rsid w:val="00E43006"/>
    <w:rsid w:val="00E4343F"/>
    <w:rsid w:val="00E44005"/>
    <w:rsid w:val="00E44313"/>
    <w:rsid w:val="00E44746"/>
    <w:rsid w:val="00E44C69"/>
    <w:rsid w:val="00E44EB7"/>
    <w:rsid w:val="00E44EF6"/>
    <w:rsid w:val="00E458BB"/>
    <w:rsid w:val="00E45989"/>
    <w:rsid w:val="00E45D3D"/>
    <w:rsid w:val="00E45F90"/>
    <w:rsid w:val="00E46191"/>
    <w:rsid w:val="00E46BAB"/>
    <w:rsid w:val="00E47219"/>
    <w:rsid w:val="00E472D3"/>
    <w:rsid w:val="00E47456"/>
    <w:rsid w:val="00E47503"/>
    <w:rsid w:val="00E47989"/>
    <w:rsid w:val="00E50116"/>
    <w:rsid w:val="00E50259"/>
    <w:rsid w:val="00E5029F"/>
    <w:rsid w:val="00E50378"/>
    <w:rsid w:val="00E50A1E"/>
    <w:rsid w:val="00E52012"/>
    <w:rsid w:val="00E52580"/>
    <w:rsid w:val="00E52A4B"/>
    <w:rsid w:val="00E52ABD"/>
    <w:rsid w:val="00E52B0D"/>
    <w:rsid w:val="00E5388B"/>
    <w:rsid w:val="00E539B7"/>
    <w:rsid w:val="00E539E4"/>
    <w:rsid w:val="00E53AF7"/>
    <w:rsid w:val="00E53E34"/>
    <w:rsid w:val="00E53FE9"/>
    <w:rsid w:val="00E546C7"/>
    <w:rsid w:val="00E54A57"/>
    <w:rsid w:val="00E54C5B"/>
    <w:rsid w:val="00E54D1E"/>
    <w:rsid w:val="00E54D94"/>
    <w:rsid w:val="00E5514E"/>
    <w:rsid w:val="00E5549D"/>
    <w:rsid w:val="00E5552F"/>
    <w:rsid w:val="00E55A27"/>
    <w:rsid w:val="00E560BA"/>
    <w:rsid w:val="00E56B01"/>
    <w:rsid w:val="00E56C3B"/>
    <w:rsid w:val="00E56C50"/>
    <w:rsid w:val="00E5744F"/>
    <w:rsid w:val="00E602D1"/>
    <w:rsid w:val="00E602DB"/>
    <w:rsid w:val="00E60317"/>
    <w:rsid w:val="00E6052D"/>
    <w:rsid w:val="00E60AC4"/>
    <w:rsid w:val="00E60EF7"/>
    <w:rsid w:val="00E61060"/>
    <w:rsid w:val="00E6282F"/>
    <w:rsid w:val="00E62877"/>
    <w:rsid w:val="00E628DF"/>
    <w:rsid w:val="00E63060"/>
    <w:rsid w:val="00E63F86"/>
    <w:rsid w:val="00E64415"/>
    <w:rsid w:val="00E647FE"/>
    <w:rsid w:val="00E64CD2"/>
    <w:rsid w:val="00E64CEB"/>
    <w:rsid w:val="00E6508A"/>
    <w:rsid w:val="00E6522C"/>
    <w:rsid w:val="00E65235"/>
    <w:rsid w:val="00E655F7"/>
    <w:rsid w:val="00E657DA"/>
    <w:rsid w:val="00E65AE8"/>
    <w:rsid w:val="00E65D31"/>
    <w:rsid w:val="00E65DFA"/>
    <w:rsid w:val="00E65E6D"/>
    <w:rsid w:val="00E6617B"/>
    <w:rsid w:val="00E662F3"/>
    <w:rsid w:val="00E66A0B"/>
    <w:rsid w:val="00E66A8F"/>
    <w:rsid w:val="00E66B36"/>
    <w:rsid w:val="00E6723E"/>
    <w:rsid w:val="00E675C0"/>
    <w:rsid w:val="00E67656"/>
    <w:rsid w:val="00E677B3"/>
    <w:rsid w:val="00E67F23"/>
    <w:rsid w:val="00E70692"/>
    <w:rsid w:val="00E70938"/>
    <w:rsid w:val="00E70AB2"/>
    <w:rsid w:val="00E711DA"/>
    <w:rsid w:val="00E71B11"/>
    <w:rsid w:val="00E71F51"/>
    <w:rsid w:val="00E71FCE"/>
    <w:rsid w:val="00E7212E"/>
    <w:rsid w:val="00E72501"/>
    <w:rsid w:val="00E7279B"/>
    <w:rsid w:val="00E7290B"/>
    <w:rsid w:val="00E72D7E"/>
    <w:rsid w:val="00E72E48"/>
    <w:rsid w:val="00E73612"/>
    <w:rsid w:val="00E738A0"/>
    <w:rsid w:val="00E7393F"/>
    <w:rsid w:val="00E73F83"/>
    <w:rsid w:val="00E74274"/>
    <w:rsid w:val="00E74363"/>
    <w:rsid w:val="00E74384"/>
    <w:rsid w:val="00E74416"/>
    <w:rsid w:val="00E74478"/>
    <w:rsid w:val="00E7453C"/>
    <w:rsid w:val="00E74904"/>
    <w:rsid w:val="00E74AD6"/>
    <w:rsid w:val="00E74D4C"/>
    <w:rsid w:val="00E75034"/>
    <w:rsid w:val="00E75250"/>
    <w:rsid w:val="00E7556B"/>
    <w:rsid w:val="00E7593A"/>
    <w:rsid w:val="00E75BB1"/>
    <w:rsid w:val="00E75F31"/>
    <w:rsid w:val="00E765B0"/>
    <w:rsid w:val="00E76A4E"/>
    <w:rsid w:val="00E76E83"/>
    <w:rsid w:val="00E771A3"/>
    <w:rsid w:val="00E772F2"/>
    <w:rsid w:val="00E776E7"/>
    <w:rsid w:val="00E7774D"/>
    <w:rsid w:val="00E800B7"/>
    <w:rsid w:val="00E8057A"/>
    <w:rsid w:val="00E805B8"/>
    <w:rsid w:val="00E8066A"/>
    <w:rsid w:val="00E807D9"/>
    <w:rsid w:val="00E80BBA"/>
    <w:rsid w:val="00E80E8F"/>
    <w:rsid w:val="00E81B9C"/>
    <w:rsid w:val="00E81C81"/>
    <w:rsid w:val="00E81EB2"/>
    <w:rsid w:val="00E82259"/>
    <w:rsid w:val="00E82921"/>
    <w:rsid w:val="00E82932"/>
    <w:rsid w:val="00E82DB2"/>
    <w:rsid w:val="00E83071"/>
    <w:rsid w:val="00E83461"/>
    <w:rsid w:val="00E834BB"/>
    <w:rsid w:val="00E837DB"/>
    <w:rsid w:val="00E838ED"/>
    <w:rsid w:val="00E8398E"/>
    <w:rsid w:val="00E844ED"/>
    <w:rsid w:val="00E84752"/>
    <w:rsid w:val="00E84CAA"/>
    <w:rsid w:val="00E84FE1"/>
    <w:rsid w:val="00E85284"/>
    <w:rsid w:val="00E85ACB"/>
    <w:rsid w:val="00E85E95"/>
    <w:rsid w:val="00E85F2D"/>
    <w:rsid w:val="00E86610"/>
    <w:rsid w:val="00E866A1"/>
    <w:rsid w:val="00E86A77"/>
    <w:rsid w:val="00E87000"/>
    <w:rsid w:val="00E87C50"/>
    <w:rsid w:val="00E87E86"/>
    <w:rsid w:val="00E87F54"/>
    <w:rsid w:val="00E9069B"/>
    <w:rsid w:val="00E90C6F"/>
    <w:rsid w:val="00E90CEA"/>
    <w:rsid w:val="00E90D0B"/>
    <w:rsid w:val="00E9160B"/>
    <w:rsid w:val="00E91915"/>
    <w:rsid w:val="00E91C20"/>
    <w:rsid w:val="00E91E50"/>
    <w:rsid w:val="00E91F2C"/>
    <w:rsid w:val="00E91FD9"/>
    <w:rsid w:val="00E920B7"/>
    <w:rsid w:val="00E920C5"/>
    <w:rsid w:val="00E922E5"/>
    <w:rsid w:val="00E9244A"/>
    <w:rsid w:val="00E92728"/>
    <w:rsid w:val="00E9290A"/>
    <w:rsid w:val="00E92DE6"/>
    <w:rsid w:val="00E93255"/>
    <w:rsid w:val="00E932D0"/>
    <w:rsid w:val="00E933E9"/>
    <w:rsid w:val="00E93A63"/>
    <w:rsid w:val="00E93CBF"/>
    <w:rsid w:val="00E94165"/>
    <w:rsid w:val="00E94A3F"/>
    <w:rsid w:val="00E95035"/>
    <w:rsid w:val="00E950BF"/>
    <w:rsid w:val="00E952C9"/>
    <w:rsid w:val="00E95493"/>
    <w:rsid w:val="00E95675"/>
    <w:rsid w:val="00E95730"/>
    <w:rsid w:val="00E95824"/>
    <w:rsid w:val="00E958A1"/>
    <w:rsid w:val="00E958FD"/>
    <w:rsid w:val="00E95950"/>
    <w:rsid w:val="00E95B7D"/>
    <w:rsid w:val="00E95BF6"/>
    <w:rsid w:val="00E95E44"/>
    <w:rsid w:val="00E96544"/>
    <w:rsid w:val="00E96E00"/>
    <w:rsid w:val="00E9768D"/>
    <w:rsid w:val="00E9768E"/>
    <w:rsid w:val="00EA010D"/>
    <w:rsid w:val="00EA0430"/>
    <w:rsid w:val="00EA09C6"/>
    <w:rsid w:val="00EA0A1F"/>
    <w:rsid w:val="00EA0D5C"/>
    <w:rsid w:val="00EA0FE0"/>
    <w:rsid w:val="00EA1332"/>
    <w:rsid w:val="00EA1668"/>
    <w:rsid w:val="00EA18FE"/>
    <w:rsid w:val="00EA194F"/>
    <w:rsid w:val="00EA1C01"/>
    <w:rsid w:val="00EA224C"/>
    <w:rsid w:val="00EA2748"/>
    <w:rsid w:val="00EA286A"/>
    <w:rsid w:val="00EA2887"/>
    <w:rsid w:val="00EA2B95"/>
    <w:rsid w:val="00EA30C8"/>
    <w:rsid w:val="00EA3519"/>
    <w:rsid w:val="00EA3611"/>
    <w:rsid w:val="00EA363F"/>
    <w:rsid w:val="00EA3981"/>
    <w:rsid w:val="00EA3B7E"/>
    <w:rsid w:val="00EA4DAE"/>
    <w:rsid w:val="00EA527F"/>
    <w:rsid w:val="00EA52D6"/>
    <w:rsid w:val="00EA5450"/>
    <w:rsid w:val="00EA548C"/>
    <w:rsid w:val="00EA57EE"/>
    <w:rsid w:val="00EA5B1E"/>
    <w:rsid w:val="00EA5C15"/>
    <w:rsid w:val="00EA5EF2"/>
    <w:rsid w:val="00EA6E95"/>
    <w:rsid w:val="00EA7048"/>
    <w:rsid w:val="00EA7105"/>
    <w:rsid w:val="00EA7299"/>
    <w:rsid w:val="00EA77D9"/>
    <w:rsid w:val="00EA7F0C"/>
    <w:rsid w:val="00EA7FBB"/>
    <w:rsid w:val="00EB004D"/>
    <w:rsid w:val="00EB02CC"/>
    <w:rsid w:val="00EB0389"/>
    <w:rsid w:val="00EB06A6"/>
    <w:rsid w:val="00EB0BEA"/>
    <w:rsid w:val="00EB0CFD"/>
    <w:rsid w:val="00EB0FF5"/>
    <w:rsid w:val="00EB106F"/>
    <w:rsid w:val="00EB1189"/>
    <w:rsid w:val="00EB1383"/>
    <w:rsid w:val="00EB1A0C"/>
    <w:rsid w:val="00EB1C52"/>
    <w:rsid w:val="00EB1C9B"/>
    <w:rsid w:val="00EB1E39"/>
    <w:rsid w:val="00EB224C"/>
    <w:rsid w:val="00EB22CC"/>
    <w:rsid w:val="00EB237A"/>
    <w:rsid w:val="00EB2502"/>
    <w:rsid w:val="00EB2553"/>
    <w:rsid w:val="00EB274B"/>
    <w:rsid w:val="00EB27A4"/>
    <w:rsid w:val="00EB2947"/>
    <w:rsid w:val="00EB2D7A"/>
    <w:rsid w:val="00EB3176"/>
    <w:rsid w:val="00EB33A3"/>
    <w:rsid w:val="00EB33BE"/>
    <w:rsid w:val="00EB375D"/>
    <w:rsid w:val="00EB3A49"/>
    <w:rsid w:val="00EB429F"/>
    <w:rsid w:val="00EB4315"/>
    <w:rsid w:val="00EB47F1"/>
    <w:rsid w:val="00EB4D83"/>
    <w:rsid w:val="00EB5531"/>
    <w:rsid w:val="00EB5565"/>
    <w:rsid w:val="00EB5D13"/>
    <w:rsid w:val="00EB608D"/>
    <w:rsid w:val="00EB6322"/>
    <w:rsid w:val="00EB739F"/>
    <w:rsid w:val="00EB77F5"/>
    <w:rsid w:val="00EB782D"/>
    <w:rsid w:val="00EB7D1E"/>
    <w:rsid w:val="00EB7E27"/>
    <w:rsid w:val="00EC0001"/>
    <w:rsid w:val="00EC0189"/>
    <w:rsid w:val="00EC06EE"/>
    <w:rsid w:val="00EC0968"/>
    <w:rsid w:val="00EC0C76"/>
    <w:rsid w:val="00EC0CD1"/>
    <w:rsid w:val="00EC0DD8"/>
    <w:rsid w:val="00EC1190"/>
    <w:rsid w:val="00EC157A"/>
    <w:rsid w:val="00EC1987"/>
    <w:rsid w:val="00EC1E6A"/>
    <w:rsid w:val="00EC254E"/>
    <w:rsid w:val="00EC2DA3"/>
    <w:rsid w:val="00EC2DA4"/>
    <w:rsid w:val="00EC2DE8"/>
    <w:rsid w:val="00EC2E33"/>
    <w:rsid w:val="00EC349F"/>
    <w:rsid w:val="00EC34B4"/>
    <w:rsid w:val="00EC359A"/>
    <w:rsid w:val="00EC373A"/>
    <w:rsid w:val="00EC3C74"/>
    <w:rsid w:val="00EC45A9"/>
    <w:rsid w:val="00EC4C0A"/>
    <w:rsid w:val="00EC4E81"/>
    <w:rsid w:val="00EC4EC2"/>
    <w:rsid w:val="00EC517A"/>
    <w:rsid w:val="00EC5CB1"/>
    <w:rsid w:val="00EC61F9"/>
    <w:rsid w:val="00EC62C9"/>
    <w:rsid w:val="00EC657A"/>
    <w:rsid w:val="00EC6D55"/>
    <w:rsid w:val="00EC702F"/>
    <w:rsid w:val="00EC72B5"/>
    <w:rsid w:val="00EC7436"/>
    <w:rsid w:val="00EC7894"/>
    <w:rsid w:val="00EC792E"/>
    <w:rsid w:val="00EC7B09"/>
    <w:rsid w:val="00EC7DB5"/>
    <w:rsid w:val="00EC7E82"/>
    <w:rsid w:val="00EC7ECA"/>
    <w:rsid w:val="00EC7F2B"/>
    <w:rsid w:val="00ED0157"/>
    <w:rsid w:val="00ED0715"/>
    <w:rsid w:val="00ED097A"/>
    <w:rsid w:val="00ED0E14"/>
    <w:rsid w:val="00ED11D7"/>
    <w:rsid w:val="00ED1C4C"/>
    <w:rsid w:val="00ED2625"/>
    <w:rsid w:val="00ED294C"/>
    <w:rsid w:val="00ED3326"/>
    <w:rsid w:val="00ED3784"/>
    <w:rsid w:val="00ED45FE"/>
    <w:rsid w:val="00ED47B6"/>
    <w:rsid w:val="00ED47D8"/>
    <w:rsid w:val="00ED4A1F"/>
    <w:rsid w:val="00ED4F10"/>
    <w:rsid w:val="00ED5948"/>
    <w:rsid w:val="00ED5DBE"/>
    <w:rsid w:val="00ED6043"/>
    <w:rsid w:val="00ED6151"/>
    <w:rsid w:val="00ED6219"/>
    <w:rsid w:val="00ED62B0"/>
    <w:rsid w:val="00ED698D"/>
    <w:rsid w:val="00ED6D99"/>
    <w:rsid w:val="00ED6EE5"/>
    <w:rsid w:val="00ED7109"/>
    <w:rsid w:val="00ED7239"/>
    <w:rsid w:val="00ED7772"/>
    <w:rsid w:val="00ED78F6"/>
    <w:rsid w:val="00ED7B88"/>
    <w:rsid w:val="00EE0255"/>
    <w:rsid w:val="00EE05B4"/>
    <w:rsid w:val="00EE09A6"/>
    <w:rsid w:val="00EE0D15"/>
    <w:rsid w:val="00EE0DDC"/>
    <w:rsid w:val="00EE0EB5"/>
    <w:rsid w:val="00EE194E"/>
    <w:rsid w:val="00EE19A0"/>
    <w:rsid w:val="00EE1E8D"/>
    <w:rsid w:val="00EE21E8"/>
    <w:rsid w:val="00EE228C"/>
    <w:rsid w:val="00EE2ACA"/>
    <w:rsid w:val="00EE2F02"/>
    <w:rsid w:val="00EE2F28"/>
    <w:rsid w:val="00EE3842"/>
    <w:rsid w:val="00EE3980"/>
    <w:rsid w:val="00EE3A6C"/>
    <w:rsid w:val="00EE3C84"/>
    <w:rsid w:val="00EE3CDE"/>
    <w:rsid w:val="00EE408C"/>
    <w:rsid w:val="00EE423A"/>
    <w:rsid w:val="00EE459B"/>
    <w:rsid w:val="00EE46FA"/>
    <w:rsid w:val="00EE4C47"/>
    <w:rsid w:val="00EE4CF1"/>
    <w:rsid w:val="00EE4FCA"/>
    <w:rsid w:val="00EE526B"/>
    <w:rsid w:val="00EE5498"/>
    <w:rsid w:val="00EE5717"/>
    <w:rsid w:val="00EE5B28"/>
    <w:rsid w:val="00EE5EF3"/>
    <w:rsid w:val="00EE5FC7"/>
    <w:rsid w:val="00EE63CF"/>
    <w:rsid w:val="00EE63D4"/>
    <w:rsid w:val="00EE6EB6"/>
    <w:rsid w:val="00EE71A7"/>
    <w:rsid w:val="00EE7291"/>
    <w:rsid w:val="00EE759D"/>
    <w:rsid w:val="00EE77F4"/>
    <w:rsid w:val="00EE7D31"/>
    <w:rsid w:val="00EE7D3A"/>
    <w:rsid w:val="00EE7DDB"/>
    <w:rsid w:val="00EE7E9B"/>
    <w:rsid w:val="00EE7FD7"/>
    <w:rsid w:val="00EF0004"/>
    <w:rsid w:val="00EF0066"/>
    <w:rsid w:val="00EF0323"/>
    <w:rsid w:val="00EF08C4"/>
    <w:rsid w:val="00EF0920"/>
    <w:rsid w:val="00EF14B2"/>
    <w:rsid w:val="00EF14FF"/>
    <w:rsid w:val="00EF156C"/>
    <w:rsid w:val="00EF15A0"/>
    <w:rsid w:val="00EF2529"/>
    <w:rsid w:val="00EF25B9"/>
    <w:rsid w:val="00EF2A61"/>
    <w:rsid w:val="00EF2B22"/>
    <w:rsid w:val="00EF2BE5"/>
    <w:rsid w:val="00EF3344"/>
    <w:rsid w:val="00EF355C"/>
    <w:rsid w:val="00EF364D"/>
    <w:rsid w:val="00EF37B2"/>
    <w:rsid w:val="00EF38E7"/>
    <w:rsid w:val="00EF42C7"/>
    <w:rsid w:val="00EF43D1"/>
    <w:rsid w:val="00EF47BC"/>
    <w:rsid w:val="00EF495C"/>
    <w:rsid w:val="00EF4C2E"/>
    <w:rsid w:val="00EF4F63"/>
    <w:rsid w:val="00EF52BB"/>
    <w:rsid w:val="00EF5668"/>
    <w:rsid w:val="00EF5DD3"/>
    <w:rsid w:val="00EF5DFD"/>
    <w:rsid w:val="00EF5E3C"/>
    <w:rsid w:val="00EF69A1"/>
    <w:rsid w:val="00EF6C1E"/>
    <w:rsid w:val="00EF6F18"/>
    <w:rsid w:val="00EF6F66"/>
    <w:rsid w:val="00EF7150"/>
    <w:rsid w:val="00EF75EB"/>
    <w:rsid w:val="00EF7732"/>
    <w:rsid w:val="00EF7AAD"/>
    <w:rsid w:val="00EF7AD2"/>
    <w:rsid w:val="00F00065"/>
    <w:rsid w:val="00F00221"/>
    <w:rsid w:val="00F00867"/>
    <w:rsid w:val="00F01176"/>
    <w:rsid w:val="00F01228"/>
    <w:rsid w:val="00F01306"/>
    <w:rsid w:val="00F01FE8"/>
    <w:rsid w:val="00F0253A"/>
    <w:rsid w:val="00F025BD"/>
    <w:rsid w:val="00F027D9"/>
    <w:rsid w:val="00F02CF5"/>
    <w:rsid w:val="00F02E8E"/>
    <w:rsid w:val="00F033D5"/>
    <w:rsid w:val="00F03950"/>
    <w:rsid w:val="00F03B47"/>
    <w:rsid w:val="00F0413F"/>
    <w:rsid w:val="00F049D8"/>
    <w:rsid w:val="00F04A62"/>
    <w:rsid w:val="00F04C7E"/>
    <w:rsid w:val="00F04D00"/>
    <w:rsid w:val="00F04F80"/>
    <w:rsid w:val="00F0526F"/>
    <w:rsid w:val="00F0569D"/>
    <w:rsid w:val="00F05C42"/>
    <w:rsid w:val="00F06632"/>
    <w:rsid w:val="00F069E0"/>
    <w:rsid w:val="00F07065"/>
    <w:rsid w:val="00F070CA"/>
    <w:rsid w:val="00F07350"/>
    <w:rsid w:val="00F07767"/>
    <w:rsid w:val="00F07AC7"/>
    <w:rsid w:val="00F07B17"/>
    <w:rsid w:val="00F07E30"/>
    <w:rsid w:val="00F101F0"/>
    <w:rsid w:val="00F1027F"/>
    <w:rsid w:val="00F10754"/>
    <w:rsid w:val="00F107D4"/>
    <w:rsid w:val="00F10E0F"/>
    <w:rsid w:val="00F1195D"/>
    <w:rsid w:val="00F12187"/>
    <w:rsid w:val="00F12336"/>
    <w:rsid w:val="00F12417"/>
    <w:rsid w:val="00F12498"/>
    <w:rsid w:val="00F127F1"/>
    <w:rsid w:val="00F12A95"/>
    <w:rsid w:val="00F12EBC"/>
    <w:rsid w:val="00F13692"/>
    <w:rsid w:val="00F139EB"/>
    <w:rsid w:val="00F13E84"/>
    <w:rsid w:val="00F14192"/>
    <w:rsid w:val="00F1469F"/>
    <w:rsid w:val="00F14A80"/>
    <w:rsid w:val="00F14CBE"/>
    <w:rsid w:val="00F15074"/>
    <w:rsid w:val="00F15954"/>
    <w:rsid w:val="00F15988"/>
    <w:rsid w:val="00F15DD9"/>
    <w:rsid w:val="00F16187"/>
    <w:rsid w:val="00F16197"/>
    <w:rsid w:val="00F16796"/>
    <w:rsid w:val="00F1702D"/>
    <w:rsid w:val="00F171AB"/>
    <w:rsid w:val="00F1725A"/>
    <w:rsid w:val="00F177A9"/>
    <w:rsid w:val="00F17916"/>
    <w:rsid w:val="00F17928"/>
    <w:rsid w:val="00F17AD0"/>
    <w:rsid w:val="00F17FB0"/>
    <w:rsid w:val="00F20033"/>
    <w:rsid w:val="00F20505"/>
    <w:rsid w:val="00F2079D"/>
    <w:rsid w:val="00F20887"/>
    <w:rsid w:val="00F208C9"/>
    <w:rsid w:val="00F2099D"/>
    <w:rsid w:val="00F20EB2"/>
    <w:rsid w:val="00F2126E"/>
    <w:rsid w:val="00F2163C"/>
    <w:rsid w:val="00F2182B"/>
    <w:rsid w:val="00F219CE"/>
    <w:rsid w:val="00F21E2B"/>
    <w:rsid w:val="00F21EC2"/>
    <w:rsid w:val="00F2248E"/>
    <w:rsid w:val="00F226A5"/>
    <w:rsid w:val="00F22AB9"/>
    <w:rsid w:val="00F2328F"/>
    <w:rsid w:val="00F237B3"/>
    <w:rsid w:val="00F23DFE"/>
    <w:rsid w:val="00F23FBF"/>
    <w:rsid w:val="00F24241"/>
    <w:rsid w:val="00F24806"/>
    <w:rsid w:val="00F24AA4"/>
    <w:rsid w:val="00F24B07"/>
    <w:rsid w:val="00F24E4D"/>
    <w:rsid w:val="00F25C63"/>
    <w:rsid w:val="00F25D8F"/>
    <w:rsid w:val="00F25EEB"/>
    <w:rsid w:val="00F261D7"/>
    <w:rsid w:val="00F262C1"/>
    <w:rsid w:val="00F26330"/>
    <w:rsid w:val="00F26354"/>
    <w:rsid w:val="00F26824"/>
    <w:rsid w:val="00F26918"/>
    <w:rsid w:val="00F2691A"/>
    <w:rsid w:val="00F26B54"/>
    <w:rsid w:val="00F26BFC"/>
    <w:rsid w:val="00F274AD"/>
    <w:rsid w:val="00F2798B"/>
    <w:rsid w:val="00F27B2F"/>
    <w:rsid w:val="00F27C08"/>
    <w:rsid w:val="00F27FD7"/>
    <w:rsid w:val="00F302C7"/>
    <w:rsid w:val="00F30854"/>
    <w:rsid w:val="00F308A9"/>
    <w:rsid w:val="00F30A24"/>
    <w:rsid w:val="00F30BF3"/>
    <w:rsid w:val="00F30D28"/>
    <w:rsid w:val="00F3131D"/>
    <w:rsid w:val="00F315F1"/>
    <w:rsid w:val="00F31619"/>
    <w:rsid w:val="00F31E42"/>
    <w:rsid w:val="00F31F99"/>
    <w:rsid w:val="00F322ED"/>
    <w:rsid w:val="00F324A1"/>
    <w:rsid w:val="00F325DD"/>
    <w:rsid w:val="00F32813"/>
    <w:rsid w:val="00F3332A"/>
    <w:rsid w:val="00F336CB"/>
    <w:rsid w:val="00F339C9"/>
    <w:rsid w:val="00F33E13"/>
    <w:rsid w:val="00F343D6"/>
    <w:rsid w:val="00F343E2"/>
    <w:rsid w:val="00F345C0"/>
    <w:rsid w:val="00F34C73"/>
    <w:rsid w:val="00F34E58"/>
    <w:rsid w:val="00F34EE7"/>
    <w:rsid w:val="00F3505C"/>
    <w:rsid w:val="00F356E1"/>
    <w:rsid w:val="00F363E7"/>
    <w:rsid w:val="00F3656B"/>
    <w:rsid w:val="00F367D2"/>
    <w:rsid w:val="00F36808"/>
    <w:rsid w:val="00F373B2"/>
    <w:rsid w:val="00F375DA"/>
    <w:rsid w:val="00F37768"/>
    <w:rsid w:val="00F37FD5"/>
    <w:rsid w:val="00F4007A"/>
    <w:rsid w:val="00F4019A"/>
    <w:rsid w:val="00F4034A"/>
    <w:rsid w:val="00F40885"/>
    <w:rsid w:val="00F4172E"/>
    <w:rsid w:val="00F41AA1"/>
    <w:rsid w:val="00F41E3C"/>
    <w:rsid w:val="00F421AB"/>
    <w:rsid w:val="00F4257D"/>
    <w:rsid w:val="00F42D6B"/>
    <w:rsid w:val="00F432C6"/>
    <w:rsid w:val="00F4367A"/>
    <w:rsid w:val="00F441BB"/>
    <w:rsid w:val="00F446CF"/>
    <w:rsid w:val="00F4493C"/>
    <w:rsid w:val="00F44947"/>
    <w:rsid w:val="00F44AFC"/>
    <w:rsid w:val="00F44C1D"/>
    <w:rsid w:val="00F44E21"/>
    <w:rsid w:val="00F44EE4"/>
    <w:rsid w:val="00F44F53"/>
    <w:rsid w:val="00F45649"/>
    <w:rsid w:val="00F45E00"/>
    <w:rsid w:val="00F464E3"/>
    <w:rsid w:val="00F473D7"/>
    <w:rsid w:val="00F478FA"/>
    <w:rsid w:val="00F500D2"/>
    <w:rsid w:val="00F504C9"/>
    <w:rsid w:val="00F5088E"/>
    <w:rsid w:val="00F50BE2"/>
    <w:rsid w:val="00F50D28"/>
    <w:rsid w:val="00F51020"/>
    <w:rsid w:val="00F51162"/>
    <w:rsid w:val="00F51270"/>
    <w:rsid w:val="00F51A73"/>
    <w:rsid w:val="00F51D2E"/>
    <w:rsid w:val="00F52141"/>
    <w:rsid w:val="00F52484"/>
    <w:rsid w:val="00F5273F"/>
    <w:rsid w:val="00F52794"/>
    <w:rsid w:val="00F52A6E"/>
    <w:rsid w:val="00F52E7C"/>
    <w:rsid w:val="00F530DD"/>
    <w:rsid w:val="00F531AF"/>
    <w:rsid w:val="00F532BD"/>
    <w:rsid w:val="00F53856"/>
    <w:rsid w:val="00F539DD"/>
    <w:rsid w:val="00F53E6F"/>
    <w:rsid w:val="00F54636"/>
    <w:rsid w:val="00F548AA"/>
    <w:rsid w:val="00F54924"/>
    <w:rsid w:val="00F54A7B"/>
    <w:rsid w:val="00F54E0A"/>
    <w:rsid w:val="00F54F2B"/>
    <w:rsid w:val="00F54F5F"/>
    <w:rsid w:val="00F55458"/>
    <w:rsid w:val="00F55583"/>
    <w:rsid w:val="00F5564B"/>
    <w:rsid w:val="00F558AD"/>
    <w:rsid w:val="00F55CA9"/>
    <w:rsid w:val="00F5620E"/>
    <w:rsid w:val="00F56286"/>
    <w:rsid w:val="00F56452"/>
    <w:rsid w:val="00F56845"/>
    <w:rsid w:val="00F569DE"/>
    <w:rsid w:val="00F56A1F"/>
    <w:rsid w:val="00F56A87"/>
    <w:rsid w:val="00F56E0D"/>
    <w:rsid w:val="00F6021E"/>
    <w:rsid w:val="00F607B6"/>
    <w:rsid w:val="00F60922"/>
    <w:rsid w:val="00F60A77"/>
    <w:rsid w:val="00F60A84"/>
    <w:rsid w:val="00F60A8D"/>
    <w:rsid w:val="00F60B07"/>
    <w:rsid w:val="00F60FE7"/>
    <w:rsid w:val="00F614CB"/>
    <w:rsid w:val="00F61AFF"/>
    <w:rsid w:val="00F61C35"/>
    <w:rsid w:val="00F61E98"/>
    <w:rsid w:val="00F6203F"/>
    <w:rsid w:val="00F624A5"/>
    <w:rsid w:val="00F624F7"/>
    <w:rsid w:val="00F62847"/>
    <w:rsid w:val="00F63107"/>
    <w:rsid w:val="00F6313B"/>
    <w:rsid w:val="00F6326B"/>
    <w:rsid w:val="00F638A7"/>
    <w:rsid w:val="00F63B1D"/>
    <w:rsid w:val="00F63B55"/>
    <w:rsid w:val="00F6484D"/>
    <w:rsid w:val="00F649E7"/>
    <w:rsid w:val="00F6503D"/>
    <w:rsid w:val="00F65D47"/>
    <w:rsid w:val="00F65F06"/>
    <w:rsid w:val="00F65F36"/>
    <w:rsid w:val="00F663C7"/>
    <w:rsid w:val="00F6666E"/>
    <w:rsid w:val="00F66C42"/>
    <w:rsid w:val="00F66DB3"/>
    <w:rsid w:val="00F671FA"/>
    <w:rsid w:val="00F679A4"/>
    <w:rsid w:val="00F67C85"/>
    <w:rsid w:val="00F70088"/>
    <w:rsid w:val="00F7082F"/>
    <w:rsid w:val="00F70E88"/>
    <w:rsid w:val="00F7108E"/>
    <w:rsid w:val="00F710E2"/>
    <w:rsid w:val="00F71551"/>
    <w:rsid w:val="00F71757"/>
    <w:rsid w:val="00F7176C"/>
    <w:rsid w:val="00F71810"/>
    <w:rsid w:val="00F71B2C"/>
    <w:rsid w:val="00F71C9D"/>
    <w:rsid w:val="00F71D7E"/>
    <w:rsid w:val="00F71ED7"/>
    <w:rsid w:val="00F7202A"/>
    <w:rsid w:val="00F72189"/>
    <w:rsid w:val="00F724DF"/>
    <w:rsid w:val="00F726ED"/>
    <w:rsid w:val="00F72AB6"/>
    <w:rsid w:val="00F73113"/>
    <w:rsid w:val="00F7318D"/>
    <w:rsid w:val="00F733ED"/>
    <w:rsid w:val="00F734ED"/>
    <w:rsid w:val="00F73792"/>
    <w:rsid w:val="00F738D8"/>
    <w:rsid w:val="00F74696"/>
    <w:rsid w:val="00F74A21"/>
    <w:rsid w:val="00F74AEF"/>
    <w:rsid w:val="00F74E60"/>
    <w:rsid w:val="00F75055"/>
    <w:rsid w:val="00F7575E"/>
    <w:rsid w:val="00F760BE"/>
    <w:rsid w:val="00F76DED"/>
    <w:rsid w:val="00F76E05"/>
    <w:rsid w:val="00F7763C"/>
    <w:rsid w:val="00F77C8C"/>
    <w:rsid w:val="00F77D64"/>
    <w:rsid w:val="00F80253"/>
    <w:rsid w:val="00F80F5B"/>
    <w:rsid w:val="00F80FD1"/>
    <w:rsid w:val="00F814D4"/>
    <w:rsid w:val="00F8180E"/>
    <w:rsid w:val="00F819C3"/>
    <w:rsid w:val="00F819F3"/>
    <w:rsid w:val="00F81B3C"/>
    <w:rsid w:val="00F81E81"/>
    <w:rsid w:val="00F828C8"/>
    <w:rsid w:val="00F82DE2"/>
    <w:rsid w:val="00F82F93"/>
    <w:rsid w:val="00F82FD2"/>
    <w:rsid w:val="00F83016"/>
    <w:rsid w:val="00F8302C"/>
    <w:rsid w:val="00F834A3"/>
    <w:rsid w:val="00F8355B"/>
    <w:rsid w:val="00F835E1"/>
    <w:rsid w:val="00F83656"/>
    <w:rsid w:val="00F8367D"/>
    <w:rsid w:val="00F83815"/>
    <w:rsid w:val="00F8408C"/>
    <w:rsid w:val="00F842F7"/>
    <w:rsid w:val="00F8449D"/>
    <w:rsid w:val="00F846F6"/>
    <w:rsid w:val="00F848B7"/>
    <w:rsid w:val="00F851C1"/>
    <w:rsid w:val="00F858AB"/>
    <w:rsid w:val="00F86692"/>
    <w:rsid w:val="00F86707"/>
    <w:rsid w:val="00F86A5F"/>
    <w:rsid w:val="00F86DB6"/>
    <w:rsid w:val="00F872EE"/>
    <w:rsid w:val="00F87A1C"/>
    <w:rsid w:val="00F87A71"/>
    <w:rsid w:val="00F87C04"/>
    <w:rsid w:val="00F87D70"/>
    <w:rsid w:val="00F9038B"/>
    <w:rsid w:val="00F90677"/>
    <w:rsid w:val="00F90BDE"/>
    <w:rsid w:val="00F90C35"/>
    <w:rsid w:val="00F90DCC"/>
    <w:rsid w:val="00F90E04"/>
    <w:rsid w:val="00F91314"/>
    <w:rsid w:val="00F916AA"/>
    <w:rsid w:val="00F91B00"/>
    <w:rsid w:val="00F91B07"/>
    <w:rsid w:val="00F91BA9"/>
    <w:rsid w:val="00F92033"/>
    <w:rsid w:val="00F92161"/>
    <w:rsid w:val="00F9259F"/>
    <w:rsid w:val="00F925F7"/>
    <w:rsid w:val="00F92675"/>
    <w:rsid w:val="00F929D1"/>
    <w:rsid w:val="00F92ECD"/>
    <w:rsid w:val="00F93463"/>
    <w:rsid w:val="00F937EF"/>
    <w:rsid w:val="00F94041"/>
    <w:rsid w:val="00F9416A"/>
    <w:rsid w:val="00F94322"/>
    <w:rsid w:val="00F943FB"/>
    <w:rsid w:val="00F9484D"/>
    <w:rsid w:val="00F94DF6"/>
    <w:rsid w:val="00F94E5E"/>
    <w:rsid w:val="00F94FB9"/>
    <w:rsid w:val="00F9502E"/>
    <w:rsid w:val="00F95392"/>
    <w:rsid w:val="00F9560D"/>
    <w:rsid w:val="00F95DAD"/>
    <w:rsid w:val="00F96349"/>
    <w:rsid w:val="00F96612"/>
    <w:rsid w:val="00F96D06"/>
    <w:rsid w:val="00F96F16"/>
    <w:rsid w:val="00F9788C"/>
    <w:rsid w:val="00F97B84"/>
    <w:rsid w:val="00FA0488"/>
    <w:rsid w:val="00FA1093"/>
    <w:rsid w:val="00FA110B"/>
    <w:rsid w:val="00FA1511"/>
    <w:rsid w:val="00FA1ABD"/>
    <w:rsid w:val="00FA20E2"/>
    <w:rsid w:val="00FA2261"/>
    <w:rsid w:val="00FA229B"/>
    <w:rsid w:val="00FA2499"/>
    <w:rsid w:val="00FA249B"/>
    <w:rsid w:val="00FA2871"/>
    <w:rsid w:val="00FA2922"/>
    <w:rsid w:val="00FA2BD1"/>
    <w:rsid w:val="00FA2FE2"/>
    <w:rsid w:val="00FA30AA"/>
    <w:rsid w:val="00FA3311"/>
    <w:rsid w:val="00FA3321"/>
    <w:rsid w:val="00FA33A5"/>
    <w:rsid w:val="00FA34B9"/>
    <w:rsid w:val="00FA3FB4"/>
    <w:rsid w:val="00FA4074"/>
    <w:rsid w:val="00FA44A1"/>
    <w:rsid w:val="00FA49F1"/>
    <w:rsid w:val="00FA4CF1"/>
    <w:rsid w:val="00FA4F42"/>
    <w:rsid w:val="00FA50DC"/>
    <w:rsid w:val="00FA5A54"/>
    <w:rsid w:val="00FA5F39"/>
    <w:rsid w:val="00FA6C5B"/>
    <w:rsid w:val="00FA6E9F"/>
    <w:rsid w:val="00FA75E1"/>
    <w:rsid w:val="00FA775C"/>
    <w:rsid w:val="00FA77DA"/>
    <w:rsid w:val="00FA7C6C"/>
    <w:rsid w:val="00FA7D69"/>
    <w:rsid w:val="00FA7DBA"/>
    <w:rsid w:val="00FB00DD"/>
    <w:rsid w:val="00FB0298"/>
    <w:rsid w:val="00FB0564"/>
    <w:rsid w:val="00FB06AC"/>
    <w:rsid w:val="00FB0C94"/>
    <w:rsid w:val="00FB1334"/>
    <w:rsid w:val="00FB1405"/>
    <w:rsid w:val="00FB19A7"/>
    <w:rsid w:val="00FB1D93"/>
    <w:rsid w:val="00FB1F22"/>
    <w:rsid w:val="00FB2403"/>
    <w:rsid w:val="00FB24BC"/>
    <w:rsid w:val="00FB25EA"/>
    <w:rsid w:val="00FB262F"/>
    <w:rsid w:val="00FB26C6"/>
    <w:rsid w:val="00FB30E0"/>
    <w:rsid w:val="00FB3111"/>
    <w:rsid w:val="00FB31BD"/>
    <w:rsid w:val="00FB47BA"/>
    <w:rsid w:val="00FB4A96"/>
    <w:rsid w:val="00FB4AD0"/>
    <w:rsid w:val="00FB4DCE"/>
    <w:rsid w:val="00FB4F1E"/>
    <w:rsid w:val="00FB4F46"/>
    <w:rsid w:val="00FB535B"/>
    <w:rsid w:val="00FB5648"/>
    <w:rsid w:val="00FB5654"/>
    <w:rsid w:val="00FB56F5"/>
    <w:rsid w:val="00FB5DDB"/>
    <w:rsid w:val="00FB6287"/>
    <w:rsid w:val="00FB664E"/>
    <w:rsid w:val="00FB6C16"/>
    <w:rsid w:val="00FB6C40"/>
    <w:rsid w:val="00FB72F0"/>
    <w:rsid w:val="00FC0137"/>
    <w:rsid w:val="00FC046F"/>
    <w:rsid w:val="00FC07DB"/>
    <w:rsid w:val="00FC09A8"/>
    <w:rsid w:val="00FC0AD0"/>
    <w:rsid w:val="00FC13A9"/>
    <w:rsid w:val="00FC1599"/>
    <w:rsid w:val="00FC16A5"/>
    <w:rsid w:val="00FC1BF6"/>
    <w:rsid w:val="00FC2741"/>
    <w:rsid w:val="00FC28C2"/>
    <w:rsid w:val="00FC323A"/>
    <w:rsid w:val="00FC3908"/>
    <w:rsid w:val="00FC3E1B"/>
    <w:rsid w:val="00FC442B"/>
    <w:rsid w:val="00FC45F4"/>
    <w:rsid w:val="00FC4A9F"/>
    <w:rsid w:val="00FC4D4A"/>
    <w:rsid w:val="00FC500D"/>
    <w:rsid w:val="00FC5017"/>
    <w:rsid w:val="00FC53CC"/>
    <w:rsid w:val="00FC53F5"/>
    <w:rsid w:val="00FC5483"/>
    <w:rsid w:val="00FC5D25"/>
    <w:rsid w:val="00FC5F70"/>
    <w:rsid w:val="00FC6215"/>
    <w:rsid w:val="00FC64D0"/>
    <w:rsid w:val="00FC6520"/>
    <w:rsid w:val="00FC6BA8"/>
    <w:rsid w:val="00FC6DA5"/>
    <w:rsid w:val="00FC6DFE"/>
    <w:rsid w:val="00FC7BFC"/>
    <w:rsid w:val="00FC7DE4"/>
    <w:rsid w:val="00FD01F4"/>
    <w:rsid w:val="00FD0B23"/>
    <w:rsid w:val="00FD0E18"/>
    <w:rsid w:val="00FD1688"/>
    <w:rsid w:val="00FD1AA8"/>
    <w:rsid w:val="00FD1C82"/>
    <w:rsid w:val="00FD1F13"/>
    <w:rsid w:val="00FD2A40"/>
    <w:rsid w:val="00FD2C00"/>
    <w:rsid w:val="00FD2C32"/>
    <w:rsid w:val="00FD3165"/>
    <w:rsid w:val="00FD33E8"/>
    <w:rsid w:val="00FD3C5E"/>
    <w:rsid w:val="00FD4296"/>
    <w:rsid w:val="00FD42A5"/>
    <w:rsid w:val="00FD4469"/>
    <w:rsid w:val="00FD49CF"/>
    <w:rsid w:val="00FD5F82"/>
    <w:rsid w:val="00FD6ED6"/>
    <w:rsid w:val="00FD72E9"/>
    <w:rsid w:val="00FD76DB"/>
    <w:rsid w:val="00FD78E2"/>
    <w:rsid w:val="00FD7996"/>
    <w:rsid w:val="00FD7CB3"/>
    <w:rsid w:val="00FE094D"/>
    <w:rsid w:val="00FE0AA7"/>
    <w:rsid w:val="00FE0E01"/>
    <w:rsid w:val="00FE1309"/>
    <w:rsid w:val="00FE1375"/>
    <w:rsid w:val="00FE13C3"/>
    <w:rsid w:val="00FE19D3"/>
    <w:rsid w:val="00FE1D32"/>
    <w:rsid w:val="00FE1E0E"/>
    <w:rsid w:val="00FE258F"/>
    <w:rsid w:val="00FE29A8"/>
    <w:rsid w:val="00FE29AB"/>
    <w:rsid w:val="00FE2B74"/>
    <w:rsid w:val="00FE3126"/>
    <w:rsid w:val="00FE3143"/>
    <w:rsid w:val="00FE31DE"/>
    <w:rsid w:val="00FE3700"/>
    <w:rsid w:val="00FE381E"/>
    <w:rsid w:val="00FE3F14"/>
    <w:rsid w:val="00FE3F8E"/>
    <w:rsid w:val="00FE420F"/>
    <w:rsid w:val="00FE493D"/>
    <w:rsid w:val="00FE4B90"/>
    <w:rsid w:val="00FE4E3C"/>
    <w:rsid w:val="00FE5A41"/>
    <w:rsid w:val="00FE5C40"/>
    <w:rsid w:val="00FE6955"/>
    <w:rsid w:val="00FE6CB9"/>
    <w:rsid w:val="00FE6D52"/>
    <w:rsid w:val="00FE6F40"/>
    <w:rsid w:val="00FE71F2"/>
    <w:rsid w:val="00FE7228"/>
    <w:rsid w:val="00FE7255"/>
    <w:rsid w:val="00FE7F73"/>
    <w:rsid w:val="00FF00DF"/>
    <w:rsid w:val="00FF075D"/>
    <w:rsid w:val="00FF09F3"/>
    <w:rsid w:val="00FF0EFD"/>
    <w:rsid w:val="00FF1144"/>
    <w:rsid w:val="00FF14D8"/>
    <w:rsid w:val="00FF1816"/>
    <w:rsid w:val="00FF1844"/>
    <w:rsid w:val="00FF1E7D"/>
    <w:rsid w:val="00FF2614"/>
    <w:rsid w:val="00FF2A3C"/>
    <w:rsid w:val="00FF2B8C"/>
    <w:rsid w:val="00FF2D73"/>
    <w:rsid w:val="00FF2EC6"/>
    <w:rsid w:val="00FF305E"/>
    <w:rsid w:val="00FF312B"/>
    <w:rsid w:val="00FF31B4"/>
    <w:rsid w:val="00FF3241"/>
    <w:rsid w:val="00FF3806"/>
    <w:rsid w:val="00FF3B73"/>
    <w:rsid w:val="00FF3BDA"/>
    <w:rsid w:val="00FF3E0B"/>
    <w:rsid w:val="00FF4182"/>
    <w:rsid w:val="00FF42CC"/>
    <w:rsid w:val="00FF4364"/>
    <w:rsid w:val="00FF4542"/>
    <w:rsid w:val="00FF4CC2"/>
    <w:rsid w:val="00FF523B"/>
    <w:rsid w:val="00FF5420"/>
    <w:rsid w:val="00FF5B98"/>
    <w:rsid w:val="00FF6157"/>
    <w:rsid w:val="00FF629D"/>
    <w:rsid w:val="00FF6BC8"/>
    <w:rsid w:val="00FF6E4B"/>
    <w:rsid w:val="00FF70FE"/>
    <w:rsid w:val="00FF728F"/>
    <w:rsid w:val="00FF76BB"/>
    <w:rsid w:val="00FF78D1"/>
    <w:rsid w:val="00FF7CB2"/>
    <w:rsid w:val="010657DF"/>
    <w:rsid w:val="010718CE"/>
    <w:rsid w:val="01091FE6"/>
    <w:rsid w:val="01142DDE"/>
    <w:rsid w:val="01165C2A"/>
    <w:rsid w:val="01204C39"/>
    <w:rsid w:val="012333A7"/>
    <w:rsid w:val="01272897"/>
    <w:rsid w:val="012A5BF7"/>
    <w:rsid w:val="012B6B2A"/>
    <w:rsid w:val="0130583B"/>
    <w:rsid w:val="01331A01"/>
    <w:rsid w:val="0135503A"/>
    <w:rsid w:val="013E285E"/>
    <w:rsid w:val="013E479A"/>
    <w:rsid w:val="01413EAA"/>
    <w:rsid w:val="01420392"/>
    <w:rsid w:val="01424299"/>
    <w:rsid w:val="0143077F"/>
    <w:rsid w:val="014378F9"/>
    <w:rsid w:val="014925E5"/>
    <w:rsid w:val="014D5683"/>
    <w:rsid w:val="014F6965"/>
    <w:rsid w:val="0154651D"/>
    <w:rsid w:val="0156045E"/>
    <w:rsid w:val="01582F00"/>
    <w:rsid w:val="015A3E47"/>
    <w:rsid w:val="015B7E90"/>
    <w:rsid w:val="015D0C08"/>
    <w:rsid w:val="01621821"/>
    <w:rsid w:val="01657836"/>
    <w:rsid w:val="016D2158"/>
    <w:rsid w:val="017055F2"/>
    <w:rsid w:val="01721F6D"/>
    <w:rsid w:val="017463CE"/>
    <w:rsid w:val="017B2044"/>
    <w:rsid w:val="01817CD5"/>
    <w:rsid w:val="01822417"/>
    <w:rsid w:val="01823F36"/>
    <w:rsid w:val="01832B5D"/>
    <w:rsid w:val="01871BF6"/>
    <w:rsid w:val="01872240"/>
    <w:rsid w:val="01882081"/>
    <w:rsid w:val="01884A28"/>
    <w:rsid w:val="018C23C4"/>
    <w:rsid w:val="018E3353"/>
    <w:rsid w:val="01937359"/>
    <w:rsid w:val="019519CB"/>
    <w:rsid w:val="01971318"/>
    <w:rsid w:val="01992E82"/>
    <w:rsid w:val="01995C9E"/>
    <w:rsid w:val="019D5CC9"/>
    <w:rsid w:val="019E45E0"/>
    <w:rsid w:val="019F49BB"/>
    <w:rsid w:val="01A74C33"/>
    <w:rsid w:val="01AC57EE"/>
    <w:rsid w:val="01C5609C"/>
    <w:rsid w:val="01C613EB"/>
    <w:rsid w:val="01D143C0"/>
    <w:rsid w:val="01D54DCE"/>
    <w:rsid w:val="01D7620F"/>
    <w:rsid w:val="01D807DD"/>
    <w:rsid w:val="01D96D56"/>
    <w:rsid w:val="01DA29AF"/>
    <w:rsid w:val="01DB6594"/>
    <w:rsid w:val="01E17BB0"/>
    <w:rsid w:val="01E21CDA"/>
    <w:rsid w:val="01E220B8"/>
    <w:rsid w:val="01E8120D"/>
    <w:rsid w:val="01F369B0"/>
    <w:rsid w:val="01F422B0"/>
    <w:rsid w:val="01FC3CA9"/>
    <w:rsid w:val="020456CF"/>
    <w:rsid w:val="0205241B"/>
    <w:rsid w:val="020846ED"/>
    <w:rsid w:val="020A03D3"/>
    <w:rsid w:val="020A33F7"/>
    <w:rsid w:val="02100A04"/>
    <w:rsid w:val="021357A1"/>
    <w:rsid w:val="02137F33"/>
    <w:rsid w:val="02173C28"/>
    <w:rsid w:val="02223CB0"/>
    <w:rsid w:val="022364A8"/>
    <w:rsid w:val="022A4D9B"/>
    <w:rsid w:val="022B3AD0"/>
    <w:rsid w:val="022C335D"/>
    <w:rsid w:val="02321273"/>
    <w:rsid w:val="02361B91"/>
    <w:rsid w:val="02370C27"/>
    <w:rsid w:val="02381043"/>
    <w:rsid w:val="0239482C"/>
    <w:rsid w:val="023B1DB8"/>
    <w:rsid w:val="023C24DA"/>
    <w:rsid w:val="024727B1"/>
    <w:rsid w:val="02486256"/>
    <w:rsid w:val="024902C2"/>
    <w:rsid w:val="024B7985"/>
    <w:rsid w:val="024C5603"/>
    <w:rsid w:val="024D0876"/>
    <w:rsid w:val="0252175D"/>
    <w:rsid w:val="025257B3"/>
    <w:rsid w:val="02564BC1"/>
    <w:rsid w:val="025A0D2F"/>
    <w:rsid w:val="025A4C7E"/>
    <w:rsid w:val="025B3D2B"/>
    <w:rsid w:val="025B51E6"/>
    <w:rsid w:val="025C001F"/>
    <w:rsid w:val="025D66B5"/>
    <w:rsid w:val="025F2778"/>
    <w:rsid w:val="02615A53"/>
    <w:rsid w:val="02631922"/>
    <w:rsid w:val="02645C6B"/>
    <w:rsid w:val="02654C28"/>
    <w:rsid w:val="027D0A0A"/>
    <w:rsid w:val="027D47B5"/>
    <w:rsid w:val="02817DE5"/>
    <w:rsid w:val="028333A7"/>
    <w:rsid w:val="02864188"/>
    <w:rsid w:val="02881EB9"/>
    <w:rsid w:val="02896677"/>
    <w:rsid w:val="028E0CD2"/>
    <w:rsid w:val="028F437D"/>
    <w:rsid w:val="02912B61"/>
    <w:rsid w:val="02916BE3"/>
    <w:rsid w:val="02997B60"/>
    <w:rsid w:val="029F446B"/>
    <w:rsid w:val="02A133D7"/>
    <w:rsid w:val="02A8560F"/>
    <w:rsid w:val="02B213DC"/>
    <w:rsid w:val="02B2247B"/>
    <w:rsid w:val="02B446C8"/>
    <w:rsid w:val="02B95B07"/>
    <w:rsid w:val="02BA2E87"/>
    <w:rsid w:val="02BE3151"/>
    <w:rsid w:val="02C42232"/>
    <w:rsid w:val="02C51EB1"/>
    <w:rsid w:val="02C55763"/>
    <w:rsid w:val="02C846A4"/>
    <w:rsid w:val="02C870DA"/>
    <w:rsid w:val="02CA56E1"/>
    <w:rsid w:val="02CB4CB3"/>
    <w:rsid w:val="02D27FB5"/>
    <w:rsid w:val="02D630AF"/>
    <w:rsid w:val="02D71062"/>
    <w:rsid w:val="02D743D2"/>
    <w:rsid w:val="02DE633C"/>
    <w:rsid w:val="02E53C3E"/>
    <w:rsid w:val="02F503D2"/>
    <w:rsid w:val="02FE42D5"/>
    <w:rsid w:val="03041354"/>
    <w:rsid w:val="0306733A"/>
    <w:rsid w:val="03083B09"/>
    <w:rsid w:val="030B4468"/>
    <w:rsid w:val="030E50C2"/>
    <w:rsid w:val="031562D8"/>
    <w:rsid w:val="0317677D"/>
    <w:rsid w:val="031B7B49"/>
    <w:rsid w:val="031F6AC8"/>
    <w:rsid w:val="032262B7"/>
    <w:rsid w:val="032733AB"/>
    <w:rsid w:val="03286C4F"/>
    <w:rsid w:val="033557B1"/>
    <w:rsid w:val="03370502"/>
    <w:rsid w:val="0338313A"/>
    <w:rsid w:val="033A02EC"/>
    <w:rsid w:val="033C63BF"/>
    <w:rsid w:val="033D0C2F"/>
    <w:rsid w:val="03435D1E"/>
    <w:rsid w:val="03437900"/>
    <w:rsid w:val="03442A84"/>
    <w:rsid w:val="0345150A"/>
    <w:rsid w:val="034B7DD1"/>
    <w:rsid w:val="034F6CA4"/>
    <w:rsid w:val="03523046"/>
    <w:rsid w:val="03530BBE"/>
    <w:rsid w:val="035438F1"/>
    <w:rsid w:val="035465AA"/>
    <w:rsid w:val="035530F9"/>
    <w:rsid w:val="03573935"/>
    <w:rsid w:val="035C1133"/>
    <w:rsid w:val="035F279D"/>
    <w:rsid w:val="036063D4"/>
    <w:rsid w:val="03633B5F"/>
    <w:rsid w:val="0365649E"/>
    <w:rsid w:val="036C114D"/>
    <w:rsid w:val="036D7BC9"/>
    <w:rsid w:val="03705B34"/>
    <w:rsid w:val="0371427D"/>
    <w:rsid w:val="03743E6E"/>
    <w:rsid w:val="037875C1"/>
    <w:rsid w:val="037C537C"/>
    <w:rsid w:val="03805A6D"/>
    <w:rsid w:val="038825ED"/>
    <w:rsid w:val="038D4B70"/>
    <w:rsid w:val="03934681"/>
    <w:rsid w:val="039573B9"/>
    <w:rsid w:val="039A2C59"/>
    <w:rsid w:val="039C0D25"/>
    <w:rsid w:val="039C732F"/>
    <w:rsid w:val="039D4B0A"/>
    <w:rsid w:val="039F4DC1"/>
    <w:rsid w:val="03A057CE"/>
    <w:rsid w:val="03A16903"/>
    <w:rsid w:val="03A2352B"/>
    <w:rsid w:val="03A7733B"/>
    <w:rsid w:val="03AA046C"/>
    <w:rsid w:val="03AB08C3"/>
    <w:rsid w:val="03AF4F8D"/>
    <w:rsid w:val="03B5123A"/>
    <w:rsid w:val="03B54F31"/>
    <w:rsid w:val="03BD1748"/>
    <w:rsid w:val="03C455AD"/>
    <w:rsid w:val="03C63100"/>
    <w:rsid w:val="03C860ED"/>
    <w:rsid w:val="03CA3BF5"/>
    <w:rsid w:val="03CB6303"/>
    <w:rsid w:val="03D1088B"/>
    <w:rsid w:val="03D348F0"/>
    <w:rsid w:val="03D34CEE"/>
    <w:rsid w:val="03D43FB5"/>
    <w:rsid w:val="03D5363E"/>
    <w:rsid w:val="03D810C1"/>
    <w:rsid w:val="03D82325"/>
    <w:rsid w:val="03DD4B78"/>
    <w:rsid w:val="03E35B1B"/>
    <w:rsid w:val="03E57339"/>
    <w:rsid w:val="03E85259"/>
    <w:rsid w:val="03E94A39"/>
    <w:rsid w:val="03F05ECC"/>
    <w:rsid w:val="03F17AFD"/>
    <w:rsid w:val="03F360F2"/>
    <w:rsid w:val="03F74ACB"/>
    <w:rsid w:val="03F85405"/>
    <w:rsid w:val="03FF3DBC"/>
    <w:rsid w:val="04057F5D"/>
    <w:rsid w:val="0411629F"/>
    <w:rsid w:val="04141417"/>
    <w:rsid w:val="041F4198"/>
    <w:rsid w:val="0425093B"/>
    <w:rsid w:val="042602F8"/>
    <w:rsid w:val="04266D15"/>
    <w:rsid w:val="0428614F"/>
    <w:rsid w:val="042C7F1B"/>
    <w:rsid w:val="043106A0"/>
    <w:rsid w:val="04315706"/>
    <w:rsid w:val="043459A2"/>
    <w:rsid w:val="04353C39"/>
    <w:rsid w:val="043A0F8E"/>
    <w:rsid w:val="04413F8A"/>
    <w:rsid w:val="04464B89"/>
    <w:rsid w:val="04466FB0"/>
    <w:rsid w:val="0451269D"/>
    <w:rsid w:val="045133F3"/>
    <w:rsid w:val="0457538A"/>
    <w:rsid w:val="04580F1E"/>
    <w:rsid w:val="045A064E"/>
    <w:rsid w:val="045C5839"/>
    <w:rsid w:val="0460044E"/>
    <w:rsid w:val="0460413F"/>
    <w:rsid w:val="0460653F"/>
    <w:rsid w:val="04637585"/>
    <w:rsid w:val="04647A3B"/>
    <w:rsid w:val="04710375"/>
    <w:rsid w:val="047524BC"/>
    <w:rsid w:val="04756289"/>
    <w:rsid w:val="047D3405"/>
    <w:rsid w:val="04887712"/>
    <w:rsid w:val="048948A4"/>
    <w:rsid w:val="048B0DFA"/>
    <w:rsid w:val="048D24E0"/>
    <w:rsid w:val="048E6155"/>
    <w:rsid w:val="048F4D47"/>
    <w:rsid w:val="04972F13"/>
    <w:rsid w:val="04A161F2"/>
    <w:rsid w:val="04A51DB5"/>
    <w:rsid w:val="04A71439"/>
    <w:rsid w:val="04A875D5"/>
    <w:rsid w:val="04A91258"/>
    <w:rsid w:val="04B87602"/>
    <w:rsid w:val="04BB39C4"/>
    <w:rsid w:val="04C7106A"/>
    <w:rsid w:val="04CA3EE4"/>
    <w:rsid w:val="04CC43CA"/>
    <w:rsid w:val="04D41134"/>
    <w:rsid w:val="04D46D6B"/>
    <w:rsid w:val="04D638BA"/>
    <w:rsid w:val="04DA3B9E"/>
    <w:rsid w:val="04EB09A0"/>
    <w:rsid w:val="04EC0C42"/>
    <w:rsid w:val="04EC388A"/>
    <w:rsid w:val="04F058FF"/>
    <w:rsid w:val="04F10484"/>
    <w:rsid w:val="04F13D80"/>
    <w:rsid w:val="04F82918"/>
    <w:rsid w:val="04FA2CEE"/>
    <w:rsid w:val="04FC13DD"/>
    <w:rsid w:val="05020074"/>
    <w:rsid w:val="05071A22"/>
    <w:rsid w:val="050C1FE6"/>
    <w:rsid w:val="05150F00"/>
    <w:rsid w:val="05187F5E"/>
    <w:rsid w:val="051A3E00"/>
    <w:rsid w:val="052027CE"/>
    <w:rsid w:val="05217F95"/>
    <w:rsid w:val="05224B45"/>
    <w:rsid w:val="05237CC3"/>
    <w:rsid w:val="05256A19"/>
    <w:rsid w:val="05334291"/>
    <w:rsid w:val="05355D93"/>
    <w:rsid w:val="05362E81"/>
    <w:rsid w:val="053A10B5"/>
    <w:rsid w:val="053D540A"/>
    <w:rsid w:val="053E76ED"/>
    <w:rsid w:val="05436495"/>
    <w:rsid w:val="05456ECC"/>
    <w:rsid w:val="05472E3B"/>
    <w:rsid w:val="05495804"/>
    <w:rsid w:val="054F0CF7"/>
    <w:rsid w:val="05501B8B"/>
    <w:rsid w:val="05516594"/>
    <w:rsid w:val="056604CC"/>
    <w:rsid w:val="056C10FE"/>
    <w:rsid w:val="05721D39"/>
    <w:rsid w:val="05722C92"/>
    <w:rsid w:val="05737D8F"/>
    <w:rsid w:val="0574361A"/>
    <w:rsid w:val="05752626"/>
    <w:rsid w:val="05760156"/>
    <w:rsid w:val="057F5804"/>
    <w:rsid w:val="05837619"/>
    <w:rsid w:val="058E4D9C"/>
    <w:rsid w:val="058E4E24"/>
    <w:rsid w:val="05903C6A"/>
    <w:rsid w:val="059846E6"/>
    <w:rsid w:val="0599724F"/>
    <w:rsid w:val="059D0B1E"/>
    <w:rsid w:val="05A245CB"/>
    <w:rsid w:val="05A45AC1"/>
    <w:rsid w:val="05A66F4A"/>
    <w:rsid w:val="05A8339D"/>
    <w:rsid w:val="05AA4FE5"/>
    <w:rsid w:val="05AB3AD8"/>
    <w:rsid w:val="05AF78EB"/>
    <w:rsid w:val="05B45841"/>
    <w:rsid w:val="05BA5103"/>
    <w:rsid w:val="05BB1942"/>
    <w:rsid w:val="05BC0D27"/>
    <w:rsid w:val="05BE6A83"/>
    <w:rsid w:val="05C17F41"/>
    <w:rsid w:val="05C211BA"/>
    <w:rsid w:val="05C25B5C"/>
    <w:rsid w:val="05C501E3"/>
    <w:rsid w:val="05C610D7"/>
    <w:rsid w:val="05C6435B"/>
    <w:rsid w:val="05C64BF9"/>
    <w:rsid w:val="05C75A0F"/>
    <w:rsid w:val="05CA2AF2"/>
    <w:rsid w:val="05CA35DB"/>
    <w:rsid w:val="05D003AC"/>
    <w:rsid w:val="05D403D2"/>
    <w:rsid w:val="05DC1A16"/>
    <w:rsid w:val="05E21D28"/>
    <w:rsid w:val="05E54B56"/>
    <w:rsid w:val="05E566EC"/>
    <w:rsid w:val="05E72914"/>
    <w:rsid w:val="05E80C33"/>
    <w:rsid w:val="05EF5D79"/>
    <w:rsid w:val="05F04CBD"/>
    <w:rsid w:val="05F441B1"/>
    <w:rsid w:val="05F50493"/>
    <w:rsid w:val="05F60043"/>
    <w:rsid w:val="05F779E1"/>
    <w:rsid w:val="05F851E8"/>
    <w:rsid w:val="05F86D02"/>
    <w:rsid w:val="06072546"/>
    <w:rsid w:val="06086E9E"/>
    <w:rsid w:val="060C0E4D"/>
    <w:rsid w:val="060D17CE"/>
    <w:rsid w:val="060E0577"/>
    <w:rsid w:val="060E37F6"/>
    <w:rsid w:val="06126B04"/>
    <w:rsid w:val="06252A0E"/>
    <w:rsid w:val="062F7A2C"/>
    <w:rsid w:val="06305C69"/>
    <w:rsid w:val="06362EA5"/>
    <w:rsid w:val="06380FEA"/>
    <w:rsid w:val="06395B03"/>
    <w:rsid w:val="06396D5E"/>
    <w:rsid w:val="063C4EB5"/>
    <w:rsid w:val="063C6D7F"/>
    <w:rsid w:val="063F04C9"/>
    <w:rsid w:val="063F36D2"/>
    <w:rsid w:val="063F7B6E"/>
    <w:rsid w:val="06426BC1"/>
    <w:rsid w:val="06464239"/>
    <w:rsid w:val="06496F18"/>
    <w:rsid w:val="0655538C"/>
    <w:rsid w:val="06557C6F"/>
    <w:rsid w:val="065741F5"/>
    <w:rsid w:val="065C6600"/>
    <w:rsid w:val="06645E76"/>
    <w:rsid w:val="0667110F"/>
    <w:rsid w:val="0669511C"/>
    <w:rsid w:val="066A1896"/>
    <w:rsid w:val="066C3403"/>
    <w:rsid w:val="066D04BA"/>
    <w:rsid w:val="0678314F"/>
    <w:rsid w:val="067A6C7E"/>
    <w:rsid w:val="067F3167"/>
    <w:rsid w:val="06825BCF"/>
    <w:rsid w:val="068503EB"/>
    <w:rsid w:val="06882895"/>
    <w:rsid w:val="06897574"/>
    <w:rsid w:val="06976F47"/>
    <w:rsid w:val="06A03988"/>
    <w:rsid w:val="06A11F88"/>
    <w:rsid w:val="06A3775C"/>
    <w:rsid w:val="06A52316"/>
    <w:rsid w:val="06A86C07"/>
    <w:rsid w:val="06A905D5"/>
    <w:rsid w:val="06A94360"/>
    <w:rsid w:val="06B2049D"/>
    <w:rsid w:val="06B25AF7"/>
    <w:rsid w:val="06B429D8"/>
    <w:rsid w:val="06B568EC"/>
    <w:rsid w:val="06C029E2"/>
    <w:rsid w:val="06C40EBF"/>
    <w:rsid w:val="06C43F5E"/>
    <w:rsid w:val="06CA3761"/>
    <w:rsid w:val="06CB6087"/>
    <w:rsid w:val="06CC32FB"/>
    <w:rsid w:val="06D31E30"/>
    <w:rsid w:val="06D701A3"/>
    <w:rsid w:val="06DA631E"/>
    <w:rsid w:val="06E43F86"/>
    <w:rsid w:val="06EA796C"/>
    <w:rsid w:val="06F02A0B"/>
    <w:rsid w:val="06F56A84"/>
    <w:rsid w:val="06FA1E64"/>
    <w:rsid w:val="070C3A6D"/>
    <w:rsid w:val="070D23DF"/>
    <w:rsid w:val="070D7B65"/>
    <w:rsid w:val="070F77C7"/>
    <w:rsid w:val="07120648"/>
    <w:rsid w:val="071557C8"/>
    <w:rsid w:val="07172658"/>
    <w:rsid w:val="07184A52"/>
    <w:rsid w:val="071B3703"/>
    <w:rsid w:val="071D656C"/>
    <w:rsid w:val="071D6D82"/>
    <w:rsid w:val="071F3272"/>
    <w:rsid w:val="072324D6"/>
    <w:rsid w:val="072577D1"/>
    <w:rsid w:val="07262944"/>
    <w:rsid w:val="07287BC2"/>
    <w:rsid w:val="07290F67"/>
    <w:rsid w:val="07294306"/>
    <w:rsid w:val="072C16CC"/>
    <w:rsid w:val="07330058"/>
    <w:rsid w:val="073444F9"/>
    <w:rsid w:val="0734645C"/>
    <w:rsid w:val="07377FAB"/>
    <w:rsid w:val="073A7398"/>
    <w:rsid w:val="073B6EE9"/>
    <w:rsid w:val="073C55EB"/>
    <w:rsid w:val="073D2EF3"/>
    <w:rsid w:val="073E25C3"/>
    <w:rsid w:val="07401E7E"/>
    <w:rsid w:val="07444ECC"/>
    <w:rsid w:val="07473BFC"/>
    <w:rsid w:val="074B1825"/>
    <w:rsid w:val="07530BC3"/>
    <w:rsid w:val="0754137B"/>
    <w:rsid w:val="07573FBB"/>
    <w:rsid w:val="07577DB9"/>
    <w:rsid w:val="07596886"/>
    <w:rsid w:val="0763692B"/>
    <w:rsid w:val="07645071"/>
    <w:rsid w:val="07693190"/>
    <w:rsid w:val="076B6631"/>
    <w:rsid w:val="077242C9"/>
    <w:rsid w:val="07730B75"/>
    <w:rsid w:val="07733CB0"/>
    <w:rsid w:val="07766ADA"/>
    <w:rsid w:val="077703A5"/>
    <w:rsid w:val="077D20AC"/>
    <w:rsid w:val="07852BFD"/>
    <w:rsid w:val="078620D5"/>
    <w:rsid w:val="07896D64"/>
    <w:rsid w:val="078B1E63"/>
    <w:rsid w:val="078C136C"/>
    <w:rsid w:val="07914B18"/>
    <w:rsid w:val="0791657D"/>
    <w:rsid w:val="07921213"/>
    <w:rsid w:val="07950A9E"/>
    <w:rsid w:val="07965266"/>
    <w:rsid w:val="079675D0"/>
    <w:rsid w:val="07982B76"/>
    <w:rsid w:val="079D2717"/>
    <w:rsid w:val="07A02E81"/>
    <w:rsid w:val="07AB288B"/>
    <w:rsid w:val="07B11357"/>
    <w:rsid w:val="07B34C38"/>
    <w:rsid w:val="07B40C3C"/>
    <w:rsid w:val="07B62B27"/>
    <w:rsid w:val="07B8169D"/>
    <w:rsid w:val="07B86CBD"/>
    <w:rsid w:val="07C12009"/>
    <w:rsid w:val="07C453D5"/>
    <w:rsid w:val="07C748B4"/>
    <w:rsid w:val="07C95F65"/>
    <w:rsid w:val="07CC58A4"/>
    <w:rsid w:val="07CE6F9F"/>
    <w:rsid w:val="07D03D27"/>
    <w:rsid w:val="07D10DF7"/>
    <w:rsid w:val="07D531A4"/>
    <w:rsid w:val="07D6482D"/>
    <w:rsid w:val="07D9129D"/>
    <w:rsid w:val="07D92FD2"/>
    <w:rsid w:val="07DA3875"/>
    <w:rsid w:val="07DC41E9"/>
    <w:rsid w:val="07DD7772"/>
    <w:rsid w:val="07DF473A"/>
    <w:rsid w:val="07E1109B"/>
    <w:rsid w:val="07E323C5"/>
    <w:rsid w:val="07E41392"/>
    <w:rsid w:val="07E4160C"/>
    <w:rsid w:val="07EB3877"/>
    <w:rsid w:val="07F050D1"/>
    <w:rsid w:val="07F13D7D"/>
    <w:rsid w:val="07F6320C"/>
    <w:rsid w:val="07F65B64"/>
    <w:rsid w:val="07F9401E"/>
    <w:rsid w:val="07FE2798"/>
    <w:rsid w:val="08023068"/>
    <w:rsid w:val="0803530C"/>
    <w:rsid w:val="08072EBC"/>
    <w:rsid w:val="08081D0B"/>
    <w:rsid w:val="080B7D45"/>
    <w:rsid w:val="080C5FAC"/>
    <w:rsid w:val="080F4F35"/>
    <w:rsid w:val="081073F5"/>
    <w:rsid w:val="081138F6"/>
    <w:rsid w:val="08134D73"/>
    <w:rsid w:val="08143FD0"/>
    <w:rsid w:val="08185EDD"/>
    <w:rsid w:val="08195A0B"/>
    <w:rsid w:val="081E632B"/>
    <w:rsid w:val="08215E40"/>
    <w:rsid w:val="08226640"/>
    <w:rsid w:val="0825666A"/>
    <w:rsid w:val="082F3DD4"/>
    <w:rsid w:val="0833528A"/>
    <w:rsid w:val="08347FA3"/>
    <w:rsid w:val="08395947"/>
    <w:rsid w:val="083B477A"/>
    <w:rsid w:val="083C5E42"/>
    <w:rsid w:val="08467E38"/>
    <w:rsid w:val="084A781D"/>
    <w:rsid w:val="084B257C"/>
    <w:rsid w:val="084F793B"/>
    <w:rsid w:val="085021A8"/>
    <w:rsid w:val="085210BB"/>
    <w:rsid w:val="085629DD"/>
    <w:rsid w:val="08566672"/>
    <w:rsid w:val="0859239F"/>
    <w:rsid w:val="085C4E04"/>
    <w:rsid w:val="085F241A"/>
    <w:rsid w:val="08687095"/>
    <w:rsid w:val="086A6178"/>
    <w:rsid w:val="086B3DC7"/>
    <w:rsid w:val="086C658B"/>
    <w:rsid w:val="086F6C33"/>
    <w:rsid w:val="087051B7"/>
    <w:rsid w:val="08752B36"/>
    <w:rsid w:val="087B76CF"/>
    <w:rsid w:val="087D56EB"/>
    <w:rsid w:val="087E2C5C"/>
    <w:rsid w:val="0880324D"/>
    <w:rsid w:val="08820189"/>
    <w:rsid w:val="08847B03"/>
    <w:rsid w:val="08862CE9"/>
    <w:rsid w:val="08863C6E"/>
    <w:rsid w:val="08997552"/>
    <w:rsid w:val="089B6966"/>
    <w:rsid w:val="089D176C"/>
    <w:rsid w:val="089F2CCD"/>
    <w:rsid w:val="08A4318D"/>
    <w:rsid w:val="08A605CA"/>
    <w:rsid w:val="08AB42DA"/>
    <w:rsid w:val="08B05A7B"/>
    <w:rsid w:val="08B37B04"/>
    <w:rsid w:val="08B45A60"/>
    <w:rsid w:val="08B506DF"/>
    <w:rsid w:val="08B66DFC"/>
    <w:rsid w:val="08B871BA"/>
    <w:rsid w:val="08B9034A"/>
    <w:rsid w:val="08BA662A"/>
    <w:rsid w:val="08C51488"/>
    <w:rsid w:val="08C64C3E"/>
    <w:rsid w:val="08C76826"/>
    <w:rsid w:val="08C85F62"/>
    <w:rsid w:val="08CB0CD0"/>
    <w:rsid w:val="08CB407E"/>
    <w:rsid w:val="08CB73DF"/>
    <w:rsid w:val="08CD7D33"/>
    <w:rsid w:val="08D4109C"/>
    <w:rsid w:val="08D57F44"/>
    <w:rsid w:val="08DC5E13"/>
    <w:rsid w:val="08DD25A7"/>
    <w:rsid w:val="08DE7CAA"/>
    <w:rsid w:val="08DF3193"/>
    <w:rsid w:val="08E04F41"/>
    <w:rsid w:val="08E2614A"/>
    <w:rsid w:val="08E4519A"/>
    <w:rsid w:val="08E57C47"/>
    <w:rsid w:val="08E82021"/>
    <w:rsid w:val="08EE750D"/>
    <w:rsid w:val="08F01E53"/>
    <w:rsid w:val="08F212E1"/>
    <w:rsid w:val="08F3050B"/>
    <w:rsid w:val="08F30B4E"/>
    <w:rsid w:val="08F42959"/>
    <w:rsid w:val="08F56C87"/>
    <w:rsid w:val="08FE2186"/>
    <w:rsid w:val="08FE7F68"/>
    <w:rsid w:val="090474CA"/>
    <w:rsid w:val="0906640E"/>
    <w:rsid w:val="09082093"/>
    <w:rsid w:val="090A48EF"/>
    <w:rsid w:val="090A7772"/>
    <w:rsid w:val="090E3C7A"/>
    <w:rsid w:val="09114D5F"/>
    <w:rsid w:val="091163AF"/>
    <w:rsid w:val="09162A1A"/>
    <w:rsid w:val="09173E07"/>
    <w:rsid w:val="09182B01"/>
    <w:rsid w:val="091C1A63"/>
    <w:rsid w:val="0925234F"/>
    <w:rsid w:val="09293B5F"/>
    <w:rsid w:val="092A22AE"/>
    <w:rsid w:val="092B22CD"/>
    <w:rsid w:val="092D09C7"/>
    <w:rsid w:val="09307643"/>
    <w:rsid w:val="0934408F"/>
    <w:rsid w:val="094B3D91"/>
    <w:rsid w:val="094C6F19"/>
    <w:rsid w:val="09502010"/>
    <w:rsid w:val="09504063"/>
    <w:rsid w:val="095115E4"/>
    <w:rsid w:val="09511E2E"/>
    <w:rsid w:val="09550C84"/>
    <w:rsid w:val="0956621D"/>
    <w:rsid w:val="095A4DD9"/>
    <w:rsid w:val="095B09A3"/>
    <w:rsid w:val="095D78CA"/>
    <w:rsid w:val="095E289A"/>
    <w:rsid w:val="09641685"/>
    <w:rsid w:val="09642695"/>
    <w:rsid w:val="096775A3"/>
    <w:rsid w:val="096B420B"/>
    <w:rsid w:val="096C2F84"/>
    <w:rsid w:val="096C5A7E"/>
    <w:rsid w:val="097240E2"/>
    <w:rsid w:val="09731CB6"/>
    <w:rsid w:val="097351EC"/>
    <w:rsid w:val="0976417A"/>
    <w:rsid w:val="09771A52"/>
    <w:rsid w:val="09796818"/>
    <w:rsid w:val="097E7F32"/>
    <w:rsid w:val="098479AB"/>
    <w:rsid w:val="09851F9A"/>
    <w:rsid w:val="09853CC7"/>
    <w:rsid w:val="098A6039"/>
    <w:rsid w:val="098B6C4D"/>
    <w:rsid w:val="0991342B"/>
    <w:rsid w:val="09950857"/>
    <w:rsid w:val="09954F01"/>
    <w:rsid w:val="099A7C36"/>
    <w:rsid w:val="099E1C6D"/>
    <w:rsid w:val="099E33A6"/>
    <w:rsid w:val="099F42FE"/>
    <w:rsid w:val="09A47023"/>
    <w:rsid w:val="09A720EC"/>
    <w:rsid w:val="09A90BBE"/>
    <w:rsid w:val="09AE20DD"/>
    <w:rsid w:val="09AE6D5C"/>
    <w:rsid w:val="09B3360D"/>
    <w:rsid w:val="09B50D47"/>
    <w:rsid w:val="09B60BB5"/>
    <w:rsid w:val="09BA2136"/>
    <w:rsid w:val="09BA6350"/>
    <w:rsid w:val="09BE5C5D"/>
    <w:rsid w:val="09C27A19"/>
    <w:rsid w:val="09C64A7D"/>
    <w:rsid w:val="09C730C8"/>
    <w:rsid w:val="09CA1ABA"/>
    <w:rsid w:val="09CA313D"/>
    <w:rsid w:val="09CD78BA"/>
    <w:rsid w:val="09D06008"/>
    <w:rsid w:val="09D15768"/>
    <w:rsid w:val="09D36E40"/>
    <w:rsid w:val="09D938D9"/>
    <w:rsid w:val="09DA76D3"/>
    <w:rsid w:val="09DE1FDC"/>
    <w:rsid w:val="09DE636D"/>
    <w:rsid w:val="09DF4D5F"/>
    <w:rsid w:val="09E21CE0"/>
    <w:rsid w:val="09E54CC1"/>
    <w:rsid w:val="09EF085F"/>
    <w:rsid w:val="09EF3539"/>
    <w:rsid w:val="09F804B8"/>
    <w:rsid w:val="09FB5D09"/>
    <w:rsid w:val="09FC5AE3"/>
    <w:rsid w:val="09FE1F38"/>
    <w:rsid w:val="0A02198C"/>
    <w:rsid w:val="0A0710B1"/>
    <w:rsid w:val="0A0B7D86"/>
    <w:rsid w:val="0A0F587E"/>
    <w:rsid w:val="0A161576"/>
    <w:rsid w:val="0A1739A7"/>
    <w:rsid w:val="0A2C2E4E"/>
    <w:rsid w:val="0A2E0845"/>
    <w:rsid w:val="0A3073CE"/>
    <w:rsid w:val="0A323E44"/>
    <w:rsid w:val="0A3432C8"/>
    <w:rsid w:val="0A36256D"/>
    <w:rsid w:val="0A36403A"/>
    <w:rsid w:val="0A371350"/>
    <w:rsid w:val="0A3E499D"/>
    <w:rsid w:val="0A3F0117"/>
    <w:rsid w:val="0A4010C0"/>
    <w:rsid w:val="0A42796F"/>
    <w:rsid w:val="0A4336D9"/>
    <w:rsid w:val="0A47067C"/>
    <w:rsid w:val="0A470E9F"/>
    <w:rsid w:val="0A4A1A3D"/>
    <w:rsid w:val="0A4B48D0"/>
    <w:rsid w:val="0A5009A2"/>
    <w:rsid w:val="0A515381"/>
    <w:rsid w:val="0A545D39"/>
    <w:rsid w:val="0A573BF9"/>
    <w:rsid w:val="0A592EF2"/>
    <w:rsid w:val="0A5C3941"/>
    <w:rsid w:val="0A5D7547"/>
    <w:rsid w:val="0A5E42D7"/>
    <w:rsid w:val="0A5F0CC3"/>
    <w:rsid w:val="0A5F57D4"/>
    <w:rsid w:val="0A6147E8"/>
    <w:rsid w:val="0A641F21"/>
    <w:rsid w:val="0A660336"/>
    <w:rsid w:val="0A68786B"/>
    <w:rsid w:val="0A6D0A23"/>
    <w:rsid w:val="0A6D3810"/>
    <w:rsid w:val="0A7231F0"/>
    <w:rsid w:val="0A723B76"/>
    <w:rsid w:val="0A732B8E"/>
    <w:rsid w:val="0A74166D"/>
    <w:rsid w:val="0A7929E8"/>
    <w:rsid w:val="0A7D7D21"/>
    <w:rsid w:val="0A7F651F"/>
    <w:rsid w:val="0A805C0B"/>
    <w:rsid w:val="0A8319C7"/>
    <w:rsid w:val="0A8C5ABD"/>
    <w:rsid w:val="0A8F39AA"/>
    <w:rsid w:val="0A8F4A42"/>
    <w:rsid w:val="0A91253B"/>
    <w:rsid w:val="0A927AE1"/>
    <w:rsid w:val="0A973A30"/>
    <w:rsid w:val="0AA0558D"/>
    <w:rsid w:val="0AA43AA0"/>
    <w:rsid w:val="0AA476B5"/>
    <w:rsid w:val="0AA56C77"/>
    <w:rsid w:val="0AA66168"/>
    <w:rsid w:val="0ABB6CBC"/>
    <w:rsid w:val="0ABE0AE3"/>
    <w:rsid w:val="0ABF2BA4"/>
    <w:rsid w:val="0AC160F2"/>
    <w:rsid w:val="0AC5530C"/>
    <w:rsid w:val="0ACE0F3B"/>
    <w:rsid w:val="0ACE1331"/>
    <w:rsid w:val="0AD20694"/>
    <w:rsid w:val="0AD76E9C"/>
    <w:rsid w:val="0ADC5B5B"/>
    <w:rsid w:val="0AE10FC2"/>
    <w:rsid w:val="0AE30EE3"/>
    <w:rsid w:val="0AE41969"/>
    <w:rsid w:val="0AE52FE7"/>
    <w:rsid w:val="0AE9131F"/>
    <w:rsid w:val="0AEC4D43"/>
    <w:rsid w:val="0AF7003C"/>
    <w:rsid w:val="0AF95C2B"/>
    <w:rsid w:val="0AFD6B0A"/>
    <w:rsid w:val="0B015558"/>
    <w:rsid w:val="0B03615E"/>
    <w:rsid w:val="0B1041F6"/>
    <w:rsid w:val="0B16449A"/>
    <w:rsid w:val="0B207456"/>
    <w:rsid w:val="0B212408"/>
    <w:rsid w:val="0B254981"/>
    <w:rsid w:val="0B26250B"/>
    <w:rsid w:val="0B2704E7"/>
    <w:rsid w:val="0B2C2F04"/>
    <w:rsid w:val="0B2E76DD"/>
    <w:rsid w:val="0B353F2C"/>
    <w:rsid w:val="0B3715F0"/>
    <w:rsid w:val="0B413AC1"/>
    <w:rsid w:val="0B454AA1"/>
    <w:rsid w:val="0B455D3E"/>
    <w:rsid w:val="0B4663B8"/>
    <w:rsid w:val="0B4968C3"/>
    <w:rsid w:val="0B4A7E1C"/>
    <w:rsid w:val="0B4C46E2"/>
    <w:rsid w:val="0B4E00DC"/>
    <w:rsid w:val="0B4E36C3"/>
    <w:rsid w:val="0B543038"/>
    <w:rsid w:val="0B544E57"/>
    <w:rsid w:val="0B5F1C82"/>
    <w:rsid w:val="0B5F7200"/>
    <w:rsid w:val="0B60395E"/>
    <w:rsid w:val="0B6069F2"/>
    <w:rsid w:val="0B615174"/>
    <w:rsid w:val="0B6335A4"/>
    <w:rsid w:val="0B64665C"/>
    <w:rsid w:val="0B6950A3"/>
    <w:rsid w:val="0B6A40EC"/>
    <w:rsid w:val="0B732062"/>
    <w:rsid w:val="0B751DF6"/>
    <w:rsid w:val="0B776A03"/>
    <w:rsid w:val="0B7771D7"/>
    <w:rsid w:val="0B7D237F"/>
    <w:rsid w:val="0B7D4A66"/>
    <w:rsid w:val="0B7E3F45"/>
    <w:rsid w:val="0B7F0615"/>
    <w:rsid w:val="0B7F142B"/>
    <w:rsid w:val="0B820FAF"/>
    <w:rsid w:val="0B84460E"/>
    <w:rsid w:val="0B87129C"/>
    <w:rsid w:val="0B907361"/>
    <w:rsid w:val="0B917B15"/>
    <w:rsid w:val="0B92449A"/>
    <w:rsid w:val="0B953433"/>
    <w:rsid w:val="0B9631A9"/>
    <w:rsid w:val="0B9E7A59"/>
    <w:rsid w:val="0BA01959"/>
    <w:rsid w:val="0BA21B7A"/>
    <w:rsid w:val="0BA5253F"/>
    <w:rsid w:val="0BA61BBA"/>
    <w:rsid w:val="0BA8479F"/>
    <w:rsid w:val="0BA84C4E"/>
    <w:rsid w:val="0BAC310E"/>
    <w:rsid w:val="0BAF349F"/>
    <w:rsid w:val="0BB14944"/>
    <w:rsid w:val="0BB36901"/>
    <w:rsid w:val="0BB53AB1"/>
    <w:rsid w:val="0BB54001"/>
    <w:rsid w:val="0BB84C37"/>
    <w:rsid w:val="0BC03ED5"/>
    <w:rsid w:val="0BC15AF4"/>
    <w:rsid w:val="0BC2643C"/>
    <w:rsid w:val="0BC749B1"/>
    <w:rsid w:val="0BCD518C"/>
    <w:rsid w:val="0BCE01DD"/>
    <w:rsid w:val="0BCF4DA5"/>
    <w:rsid w:val="0BD452FD"/>
    <w:rsid w:val="0BD46DE8"/>
    <w:rsid w:val="0BD5476A"/>
    <w:rsid w:val="0BD55981"/>
    <w:rsid w:val="0BD7294D"/>
    <w:rsid w:val="0BDA127C"/>
    <w:rsid w:val="0BDD1E2C"/>
    <w:rsid w:val="0BE20814"/>
    <w:rsid w:val="0BEC7D8A"/>
    <w:rsid w:val="0BED639F"/>
    <w:rsid w:val="0BF00955"/>
    <w:rsid w:val="0BF061FE"/>
    <w:rsid w:val="0BF909B8"/>
    <w:rsid w:val="0C0D54B5"/>
    <w:rsid w:val="0C0F3AC4"/>
    <w:rsid w:val="0C115608"/>
    <w:rsid w:val="0C1F5C71"/>
    <w:rsid w:val="0C217B4D"/>
    <w:rsid w:val="0C27270D"/>
    <w:rsid w:val="0C2E5F95"/>
    <w:rsid w:val="0C2F10B5"/>
    <w:rsid w:val="0C327998"/>
    <w:rsid w:val="0C3911C6"/>
    <w:rsid w:val="0C395B7C"/>
    <w:rsid w:val="0C3B3FEC"/>
    <w:rsid w:val="0C421240"/>
    <w:rsid w:val="0C47558F"/>
    <w:rsid w:val="0C481479"/>
    <w:rsid w:val="0C4868EC"/>
    <w:rsid w:val="0C49685B"/>
    <w:rsid w:val="0C4B3AA3"/>
    <w:rsid w:val="0C4F556E"/>
    <w:rsid w:val="0C4F59BC"/>
    <w:rsid w:val="0C577EB4"/>
    <w:rsid w:val="0C5B2720"/>
    <w:rsid w:val="0C6859E8"/>
    <w:rsid w:val="0C6E6C37"/>
    <w:rsid w:val="0C746E26"/>
    <w:rsid w:val="0C7E0975"/>
    <w:rsid w:val="0C800A79"/>
    <w:rsid w:val="0C822960"/>
    <w:rsid w:val="0C88669E"/>
    <w:rsid w:val="0C8A0EE4"/>
    <w:rsid w:val="0C8C0823"/>
    <w:rsid w:val="0C8D3570"/>
    <w:rsid w:val="0C8D451B"/>
    <w:rsid w:val="0C8E4D9C"/>
    <w:rsid w:val="0C926851"/>
    <w:rsid w:val="0C93751B"/>
    <w:rsid w:val="0C971E20"/>
    <w:rsid w:val="0C99262C"/>
    <w:rsid w:val="0C9B2BF9"/>
    <w:rsid w:val="0C9E37E4"/>
    <w:rsid w:val="0CA15227"/>
    <w:rsid w:val="0CA8713A"/>
    <w:rsid w:val="0CA922AC"/>
    <w:rsid w:val="0CAA6000"/>
    <w:rsid w:val="0CB0004E"/>
    <w:rsid w:val="0CB51FD5"/>
    <w:rsid w:val="0CB8486C"/>
    <w:rsid w:val="0CB901E9"/>
    <w:rsid w:val="0CC35C0E"/>
    <w:rsid w:val="0CC365A1"/>
    <w:rsid w:val="0CC64097"/>
    <w:rsid w:val="0CC641A9"/>
    <w:rsid w:val="0CC75E28"/>
    <w:rsid w:val="0CC849E0"/>
    <w:rsid w:val="0CC90AA9"/>
    <w:rsid w:val="0CCB51B6"/>
    <w:rsid w:val="0CCC0E13"/>
    <w:rsid w:val="0CCF23DA"/>
    <w:rsid w:val="0CD2100B"/>
    <w:rsid w:val="0CD213D0"/>
    <w:rsid w:val="0CD36B2A"/>
    <w:rsid w:val="0CD52354"/>
    <w:rsid w:val="0CD53E1B"/>
    <w:rsid w:val="0CD64649"/>
    <w:rsid w:val="0CD81B9F"/>
    <w:rsid w:val="0CD8774C"/>
    <w:rsid w:val="0CDA3C2B"/>
    <w:rsid w:val="0CDB5964"/>
    <w:rsid w:val="0CE42C5F"/>
    <w:rsid w:val="0CE52083"/>
    <w:rsid w:val="0CE545CE"/>
    <w:rsid w:val="0CE77D4D"/>
    <w:rsid w:val="0CEA4ACA"/>
    <w:rsid w:val="0CF109FA"/>
    <w:rsid w:val="0CF4556F"/>
    <w:rsid w:val="0CF61A56"/>
    <w:rsid w:val="0CF704D5"/>
    <w:rsid w:val="0CF743E4"/>
    <w:rsid w:val="0CFA6F97"/>
    <w:rsid w:val="0CFB1AA1"/>
    <w:rsid w:val="0CFD23F6"/>
    <w:rsid w:val="0D001918"/>
    <w:rsid w:val="0D03332E"/>
    <w:rsid w:val="0D0E5E6F"/>
    <w:rsid w:val="0D0F6FAD"/>
    <w:rsid w:val="0D1409AD"/>
    <w:rsid w:val="0D147D35"/>
    <w:rsid w:val="0D1636FA"/>
    <w:rsid w:val="0D167359"/>
    <w:rsid w:val="0D1857E9"/>
    <w:rsid w:val="0D1C1805"/>
    <w:rsid w:val="0D2E6364"/>
    <w:rsid w:val="0D363F07"/>
    <w:rsid w:val="0D383648"/>
    <w:rsid w:val="0D3C42A6"/>
    <w:rsid w:val="0D3D7F78"/>
    <w:rsid w:val="0D3E7D75"/>
    <w:rsid w:val="0D3F1493"/>
    <w:rsid w:val="0D456DDC"/>
    <w:rsid w:val="0D464A8A"/>
    <w:rsid w:val="0D4735FB"/>
    <w:rsid w:val="0D4F113E"/>
    <w:rsid w:val="0D550D8A"/>
    <w:rsid w:val="0D5948E6"/>
    <w:rsid w:val="0D5B362F"/>
    <w:rsid w:val="0D6061F7"/>
    <w:rsid w:val="0D687CBD"/>
    <w:rsid w:val="0D6B6208"/>
    <w:rsid w:val="0D6B62A2"/>
    <w:rsid w:val="0D740E28"/>
    <w:rsid w:val="0D7966F3"/>
    <w:rsid w:val="0D7A6164"/>
    <w:rsid w:val="0D7C69C5"/>
    <w:rsid w:val="0D8209CB"/>
    <w:rsid w:val="0D854609"/>
    <w:rsid w:val="0D8929D1"/>
    <w:rsid w:val="0D8E09D7"/>
    <w:rsid w:val="0D8F0E3E"/>
    <w:rsid w:val="0D901DAF"/>
    <w:rsid w:val="0D947F69"/>
    <w:rsid w:val="0D96451C"/>
    <w:rsid w:val="0D9B6843"/>
    <w:rsid w:val="0D9E039F"/>
    <w:rsid w:val="0DA46A5A"/>
    <w:rsid w:val="0DA54AB7"/>
    <w:rsid w:val="0DA8464B"/>
    <w:rsid w:val="0DB071FA"/>
    <w:rsid w:val="0DB2672A"/>
    <w:rsid w:val="0DB37969"/>
    <w:rsid w:val="0DB43725"/>
    <w:rsid w:val="0DB63855"/>
    <w:rsid w:val="0DB64F5F"/>
    <w:rsid w:val="0DBA54AE"/>
    <w:rsid w:val="0DBE2E08"/>
    <w:rsid w:val="0DC274E4"/>
    <w:rsid w:val="0DCB6158"/>
    <w:rsid w:val="0DCE1266"/>
    <w:rsid w:val="0DD1030F"/>
    <w:rsid w:val="0DD457DA"/>
    <w:rsid w:val="0DD81981"/>
    <w:rsid w:val="0DDA339B"/>
    <w:rsid w:val="0DDB7B9E"/>
    <w:rsid w:val="0DE5347B"/>
    <w:rsid w:val="0DE95717"/>
    <w:rsid w:val="0DEA397B"/>
    <w:rsid w:val="0DF04603"/>
    <w:rsid w:val="0DF3474B"/>
    <w:rsid w:val="0DF542A3"/>
    <w:rsid w:val="0DFD4DE5"/>
    <w:rsid w:val="0E07577F"/>
    <w:rsid w:val="0E085298"/>
    <w:rsid w:val="0E090381"/>
    <w:rsid w:val="0E0C79D1"/>
    <w:rsid w:val="0E1236F2"/>
    <w:rsid w:val="0E144D78"/>
    <w:rsid w:val="0E1725C1"/>
    <w:rsid w:val="0E1D5EA6"/>
    <w:rsid w:val="0E24525F"/>
    <w:rsid w:val="0E2D4D36"/>
    <w:rsid w:val="0E2E7527"/>
    <w:rsid w:val="0E333ABF"/>
    <w:rsid w:val="0E3B5CA9"/>
    <w:rsid w:val="0E3F5EF9"/>
    <w:rsid w:val="0E43718E"/>
    <w:rsid w:val="0E4E36B1"/>
    <w:rsid w:val="0E4F05CA"/>
    <w:rsid w:val="0E4F6673"/>
    <w:rsid w:val="0E502986"/>
    <w:rsid w:val="0E505064"/>
    <w:rsid w:val="0E545D43"/>
    <w:rsid w:val="0E5B3DEC"/>
    <w:rsid w:val="0E5D05FF"/>
    <w:rsid w:val="0E656C51"/>
    <w:rsid w:val="0E662347"/>
    <w:rsid w:val="0E695F66"/>
    <w:rsid w:val="0E6D0A49"/>
    <w:rsid w:val="0E724B04"/>
    <w:rsid w:val="0E74535B"/>
    <w:rsid w:val="0E771555"/>
    <w:rsid w:val="0E790FA8"/>
    <w:rsid w:val="0E7A73A9"/>
    <w:rsid w:val="0E7B3DE2"/>
    <w:rsid w:val="0E7E0DF8"/>
    <w:rsid w:val="0E8643CA"/>
    <w:rsid w:val="0E877E93"/>
    <w:rsid w:val="0E896F44"/>
    <w:rsid w:val="0E8A1297"/>
    <w:rsid w:val="0E8C3FA1"/>
    <w:rsid w:val="0E8F1B94"/>
    <w:rsid w:val="0E935AEC"/>
    <w:rsid w:val="0E936023"/>
    <w:rsid w:val="0E9801E9"/>
    <w:rsid w:val="0E9B6C8F"/>
    <w:rsid w:val="0EA4645C"/>
    <w:rsid w:val="0EA71A84"/>
    <w:rsid w:val="0EB00E3D"/>
    <w:rsid w:val="0EB13AF0"/>
    <w:rsid w:val="0EB17A21"/>
    <w:rsid w:val="0EB228C2"/>
    <w:rsid w:val="0EB64A41"/>
    <w:rsid w:val="0EB75C71"/>
    <w:rsid w:val="0EB93E47"/>
    <w:rsid w:val="0EBB7D1C"/>
    <w:rsid w:val="0EC11B1D"/>
    <w:rsid w:val="0EC41DB7"/>
    <w:rsid w:val="0EC75802"/>
    <w:rsid w:val="0ECA5F67"/>
    <w:rsid w:val="0ECC355B"/>
    <w:rsid w:val="0ECE07F7"/>
    <w:rsid w:val="0ED135CE"/>
    <w:rsid w:val="0ED92A85"/>
    <w:rsid w:val="0ED95027"/>
    <w:rsid w:val="0EDB040D"/>
    <w:rsid w:val="0EDB1A2F"/>
    <w:rsid w:val="0EE1474D"/>
    <w:rsid w:val="0EE325EA"/>
    <w:rsid w:val="0EE7322C"/>
    <w:rsid w:val="0EEC1290"/>
    <w:rsid w:val="0EEC591F"/>
    <w:rsid w:val="0EEE0E45"/>
    <w:rsid w:val="0EEF2155"/>
    <w:rsid w:val="0EEF2F98"/>
    <w:rsid w:val="0EEF43A9"/>
    <w:rsid w:val="0EF1355D"/>
    <w:rsid w:val="0EF14CF9"/>
    <w:rsid w:val="0EF27871"/>
    <w:rsid w:val="0F005C24"/>
    <w:rsid w:val="0F025381"/>
    <w:rsid w:val="0F0260EB"/>
    <w:rsid w:val="0F040F28"/>
    <w:rsid w:val="0F074F46"/>
    <w:rsid w:val="0F0B4DF0"/>
    <w:rsid w:val="0F0D47A1"/>
    <w:rsid w:val="0F141A49"/>
    <w:rsid w:val="0F1653A1"/>
    <w:rsid w:val="0F187EB0"/>
    <w:rsid w:val="0F1B32F7"/>
    <w:rsid w:val="0F1F067E"/>
    <w:rsid w:val="0F1F3DD5"/>
    <w:rsid w:val="0F1F4AE8"/>
    <w:rsid w:val="0F2B1C79"/>
    <w:rsid w:val="0F3070DB"/>
    <w:rsid w:val="0F39319C"/>
    <w:rsid w:val="0F426899"/>
    <w:rsid w:val="0F440822"/>
    <w:rsid w:val="0F4564E5"/>
    <w:rsid w:val="0F4702BE"/>
    <w:rsid w:val="0F474F7B"/>
    <w:rsid w:val="0F4B131E"/>
    <w:rsid w:val="0F4B6F9F"/>
    <w:rsid w:val="0F4F6D00"/>
    <w:rsid w:val="0F5041BD"/>
    <w:rsid w:val="0F507F57"/>
    <w:rsid w:val="0F510354"/>
    <w:rsid w:val="0F562ADD"/>
    <w:rsid w:val="0F5D41FA"/>
    <w:rsid w:val="0F61684F"/>
    <w:rsid w:val="0F6419A3"/>
    <w:rsid w:val="0F671BA8"/>
    <w:rsid w:val="0F684710"/>
    <w:rsid w:val="0F694621"/>
    <w:rsid w:val="0F6C3DAE"/>
    <w:rsid w:val="0F6F51CD"/>
    <w:rsid w:val="0F71586E"/>
    <w:rsid w:val="0F73031A"/>
    <w:rsid w:val="0F79232D"/>
    <w:rsid w:val="0F7D114C"/>
    <w:rsid w:val="0F7D336F"/>
    <w:rsid w:val="0F866CE6"/>
    <w:rsid w:val="0F886D8D"/>
    <w:rsid w:val="0F8D1E18"/>
    <w:rsid w:val="0F9168F7"/>
    <w:rsid w:val="0F955AD2"/>
    <w:rsid w:val="0F96012D"/>
    <w:rsid w:val="0F96177E"/>
    <w:rsid w:val="0F9A2664"/>
    <w:rsid w:val="0F9A2D39"/>
    <w:rsid w:val="0FA42DCE"/>
    <w:rsid w:val="0FA55004"/>
    <w:rsid w:val="0FA73F7A"/>
    <w:rsid w:val="0FA94470"/>
    <w:rsid w:val="0FAF0232"/>
    <w:rsid w:val="0FB10CAC"/>
    <w:rsid w:val="0FB47D84"/>
    <w:rsid w:val="0FB73F2D"/>
    <w:rsid w:val="0FB907DC"/>
    <w:rsid w:val="0FB97A11"/>
    <w:rsid w:val="0FBC2794"/>
    <w:rsid w:val="0FBC5A56"/>
    <w:rsid w:val="0FBE3B48"/>
    <w:rsid w:val="0FC002CF"/>
    <w:rsid w:val="0FC430A7"/>
    <w:rsid w:val="0FC73EEC"/>
    <w:rsid w:val="0FC9086F"/>
    <w:rsid w:val="0FCA78AB"/>
    <w:rsid w:val="0FDA096C"/>
    <w:rsid w:val="0FDB0F10"/>
    <w:rsid w:val="0FDB78E5"/>
    <w:rsid w:val="0FE06297"/>
    <w:rsid w:val="0FE33E99"/>
    <w:rsid w:val="0FE36959"/>
    <w:rsid w:val="0FE43FC7"/>
    <w:rsid w:val="0FE50B7A"/>
    <w:rsid w:val="0FE6656B"/>
    <w:rsid w:val="0FE87FAB"/>
    <w:rsid w:val="0FEB729B"/>
    <w:rsid w:val="0FED6709"/>
    <w:rsid w:val="0FED7ACD"/>
    <w:rsid w:val="100103C5"/>
    <w:rsid w:val="10013A14"/>
    <w:rsid w:val="100975BD"/>
    <w:rsid w:val="100B6A0E"/>
    <w:rsid w:val="100C169A"/>
    <w:rsid w:val="10121ECC"/>
    <w:rsid w:val="10142CAF"/>
    <w:rsid w:val="10146021"/>
    <w:rsid w:val="10147EAE"/>
    <w:rsid w:val="101D2D0C"/>
    <w:rsid w:val="10233E41"/>
    <w:rsid w:val="10275962"/>
    <w:rsid w:val="1028298E"/>
    <w:rsid w:val="102960C5"/>
    <w:rsid w:val="102C6DC5"/>
    <w:rsid w:val="102F1401"/>
    <w:rsid w:val="10340658"/>
    <w:rsid w:val="10353193"/>
    <w:rsid w:val="1039385E"/>
    <w:rsid w:val="103A4BDA"/>
    <w:rsid w:val="103B56CB"/>
    <w:rsid w:val="103B7B05"/>
    <w:rsid w:val="103E6821"/>
    <w:rsid w:val="1048557E"/>
    <w:rsid w:val="104974A5"/>
    <w:rsid w:val="104B4CF5"/>
    <w:rsid w:val="104B6F81"/>
    <w:rsid w:val="104C6502"/>
    <w:rsid w:val="104E02EB"/>
    <w:rsid w:val="105552AF"/>
    <w:rsid w:val="105A4CC4"/>
    <w:rsid w:val="1060759E"/>
    <w:rsid w:val="10776A51"/>
    <w:rsid w:val="107B7798"/>
    <w:rsid w:val="107E5E9D"/>
    <w:rsid w:val="107E68D1"/>
    <w:rsid w:val="108018C3"/>
    <w:rsid w:val="10832719"/>
    <w:rsid w:val="10843C8A"/>
    <w:rsid w:val="108A70DC"/>
    <w:rsid w:val="108B5AD0"/>
    <w:rsid w:val="10971FB8"/>
    <w:rsid w:val="109A5FCE"/>
    <w:rsid w:val="10A260BE"/>
    <w:rsid w:val="10A626B8"/>
    <w:rsid w:val="10A759E5"/>
    <w:rsid w:val="10AB5663"/>
    <w:rsid w:val="10AE7D5B"/>
    <w:rsid w:val="10B025DC"/>
    <w:rsid w:val="10B10131"/>
    <w:rsid w:val="10B131B9"/>
    <w:rsid w:val="10B13D6A"/>
    <w:rsid w:val="10B60BAB"/>
    <w:rsid w:val="10B83963"/>
    <w:rsid w:val="10B9729E"/>
    <w:rsid w:val="10BB41A6"/>
    <w:rsid w:val="10C60398"/>
    <w:rsid w:val="10C73DE0"/>
    <w:rsid w:val="10C906F1"/>
    <w:rsid w:val="10CC29B5"/>
    <w:rsid w:val="10CF5E0C"/>
    <w:rsid w:val="10D110F5"/>
    <w:rsid w:val="10D33732"/>
    <w:rsid w:val="10DD13B2"/>
    <w:rsid w:val="10DE23B3"/>
    <w:rsid w:val="10E162D8"/>
    <w:rsid w:val="10E4213A"/>
    <w:rsid w:val="10EC686D"/>
    <w:rsid w:val="10EE338F"/>
    <w:rsid w:val="10FB4DEC"/>
    <w:rsid w:val="11061BFE"/>
    <w:rsid w:val="11085FBA"/>
    <w:rsid w:val="110B1031"/>
    <w:rsid w:val="1111369E"/>
    <w:rsid w:val="11145033"/>
    <w:rsid w:val="111531AB"/>
    <w:rsid w:val="111D7204"/>
    <w:rsid w:val="11227732"/>
    <w:rsid w:val="112A4200"/>
    <w:rsid w:val="112F025E"/>
    <w:rsid w:val="113032E9"/>
    <w:rsid w:val="113473AB"/>
    <w:rsid w:val="113C4517"/>
    <w:rsid w:val="114275DE"/>
    <w:rsid w:val="11431E48"/>
    <w:rsid w:val="1147150C"/>
    <w:rsid w:val="114C141E"/>
    <w:rsid w:val="11561EF1"/>
    <w:rsid w:val="115761F7"/>
    <w:rsid w:val="115A4ED1"/>
    <w:rsid w:val="116133A7"/>
    <w:rsid w:val="11635844"/>
    <w:rsid w:val="116933BA"/>
    <w:rsid w:val="116D18F2"/>
    <w:rsid w:val="1175464F"/>
    <w:rsid w:val="117752FE"/>
    <w:rsid w:val="1178745A"/>
    <w:rsid w:val="117B1B41"/>
    <w:rsid w:val="117C7185"/>
    <w:rsid w:val="117D23C5"/>
    <w:rsid w:val="117E3491"/>
    <w:rsid w:val="117E7C3B"/>
    <w:rsid w:val="11801AB4"/>
    <w:rsid w:val="1188454A"/>
    <w:rsid w:val="118C30CF"/>
    <w:rsid w:val="118D583D"/>
    <w:rsid w:val="119172CB"/>
    <w:rsid w:val="119458BA"/>
    <w:rsid w:val="11950FE9"/>
    <w:rsid w:val="119C09CB"/>
    <w:rsid w:val="119C1C03"/>
    <w:rsid w:val="119C6AB6"/>
    <w:rsid w:val="119D4857"/>
    <w:rsid w:val="119F1DF1"/>
    <w:rsid w:val="11A72B52"/>
    <w:rsid w:val="11A72F1A"/>
    <w:rsid w:val="11A73B46"/>
    <w:rsid w:val="11A86F90"/>
    <w:rsid w:val="11AB4FB1"/>
    <w:rsid w:val="11B13918"/>
    <w:rsid w:val="11B33F53"/>
    <w:rsid w:val="11B96852"/>
    <w:rsid w:val="11B97501"/>
    <w:rsid w:val="11BB1C79"/>
    <w:rsid w:val="11BD56D7"/>
    <w:rsid w:val="11C07F2B"/>
    <w:rsid w:val="11C355CB"/>
    <w:rsid w:val="11C43B5A"/>
    <w:rsid w:val="11C836E9"/>
    <w:rsid w:val="11CC45A1"/>
    <w:rsid w:val="11CD701F"/>
    <w:rsid w:val="11CF49FC"/>
    <w:rsid w:val="11CF6F45"/>
    <w:rsid w:val="11D059B5"/>
    <w:rsid w:val="11D24CE2"/>
    <w:rsid w:val="11D361B8"/>
    <w:rsid w:val="11D5154D"/>
    <w:rsid w:val="11D711C0"/>
    <w:rsid w:val="11D90F5F"/>
    <w:rsid w:val="11D930C7"/>
    <w:rsid w:val="11D9570F"/>
    <w:rsid w:val="11DF3D6E"/>
    <w:rsid w:val="11E16BC0"/>
    <w:rsid w:val="11E23748"/>
    <w:rsid w:val="11E47DA2"/>
    <w:rsid w:val="11E90591"/>
    <w:rsid w:val="11EA2B0D"/>
    <w:rsid w:val="11ED4DB6"/>
    <w:rsid w:val="11EE1AD3"/>
    <w:rsid w:val="11EF379E"/>
    <w:rsid w:val="11F05886"/>
    <w:rsid w:val="11F52119"/>
    <w:rsid w:val="11F752AB"/>
    <w:rsid w:val="11F77356"/>
    <w:rsid w:val="11FA6A8B"/>
    <w:rsid w:val="11FD1BB9"/>
    <w:rsid w:val="11FF16DF"/>
    <w:rsid w:val="12021289"/>
    <w:rsid w:val="12021834"/>
    <w:rsid w:val="120502A5"/>
    <w:rsid w:val="120778B3"/>
    <w:rsid w:val="12087F72"/>
    <w:rsid w:val="120A3376"/>
    <w:rsid w:val="120D7CE3"/>
    <w:rsid w:val="120F04DC"/>
    <w:rsid w:val="120F75D5"/>
    <w:rsid w:val="12131057"/>
    <w:rsid w:val="1213263C"/>
    <w:rsid w:val="12151ED0"/>
    <w:rsid w:val="121671DE"/>
    <w:rsid w:val="121B7C6F"/>
    <w:rsid w:val="121E159C"/>
    <w:rsid w:val="121E50E6"/>
    <w:rsid w:val="12223F58"/>
    <w:rsid w:val="122A42E5"/>
    <w:rsid w:val="122B0202"/>
    <w:rsid w:val="123433D6"/>
    <w:rsid w:val="1235311C"/>
    <w:rsid w:val="12376193"/>
    <w:rsid w:val="123917FB"/>
    <w:rsid w:val="123D6C23"/>
    <w:rsid w:val="12425881"/>
    <w:rsid w:val="12492FC9"/>
    <w:rsid w:val="12504DCF"/>
    <w:rsid w:val="1251112C"/>
    <w:rsid w:val="12517A64"/>
    <w:rsid w:val="125642B9"/>
    <w:rsid w:val="1256564A"/>
    <w:rsid w:val="12585398"/>
    <w:rsid w:val="1258733C"/>
    <w:rsid w:val="125945B6"/>
    <w:rsid w:val="12666EBC"/>
    <w:rsid w:val="12726963"/>
    <w:rsid w:val="127276D8"/>
    <w:rsid w:val="128579F7"/>
    <w:rsid w:val="12874812"/>
    <w:rsid w:val="12890924"/>
    <w:rsid w:val="1292333C"/>
    <w:rsid w:val="12933931"/>
    <w:rsid w:val="129602A0"/>
    <w:rsid w:val="12971E35"/>
    <w:rsid w:val="129A20CD"/>
    <w:rsid w:val="129B6A3B"/>
    <w:rsid w:val="129E053C"/>
    <w:rsid w:val="129F2D82"/>
    <w:rsid w:val="129F6386"/>
    <w:rsid w:val="12A172AA"/>
    <w:rsid w:val="12A62149"/>
    <w:rsid w:val="12A6304F"/>
    <w:rsid w:val="12AA3F73"/>
    <w:rsid w:val="12AC57B9"/>
    <w:rsid w:val="12AE2FB4"/>
    <w:rsid w:val="12B10A83"/>
    <w:rsid w:val="12B84FDE"/>
    <w:rsid w:val="12BB07D6"/>
    <w:rsid w:val="12BF0423"/>
    <w:rsid w:val="12C004D6"/>
    <w:rsid w:val="12C90C5E"/>
    <w:rsid w:val="12CC6D3B"/>
    <w:rsid w:val="12D42E8C"/>
    <w:rsid w:val="12DE5E53"/>
    <w:rsid w:val="12DF53B0"/>
    <w:rsid w:val="12E66526"/>
    <w:rsid w:val="12EB0E9D"/>
    <w:rsid w:val="12ED1885"/>
    <w:rsid w:val="12EE1C5E"/>
    <w:rsid w:val="12F01150"/>
    <w:rsid w:val="12F2342C"/>
    <w:rsid w:val="12F40434"/>
    <w:rsid w:val="12F54DF1"/>
    <w:rsid w:val="12F63204"/>
    <w:rsid w:val="12F648C7"/>
    <w:rsid w:val="12F958FC"/>
    <w:rsid w:val="12FC654D"/>
    <w:rsid w:val="13023393"/>
    <w:rsid w:val="13027434"/>
    <w:rsid w:val="131229AC"/>
    <w:rsid w:val="131806C9"/>
    <w:rsid w:val="131A369D"/>
    <w:rsid w:val="131A59B7"/>
    <w:rsid w:val="131A6773"/>
    <w:rsid w:val="13202EE4"/>
    <w:rsid w:val="13233897"/>
    <w:rsid w:val="132B4785"/>
    <w:rsid w:val="132C0DBF"/>
    <w:rsid w:val="132D1857"/>
    <w:rsid w:val="13316052"/>
    <w:rsid w:val="133A79EE"/>
    <w:rsid w:val="13427667"/>
    <w:rsid w:val="13443646"/>
    <w:rsid w:val="134735D9"/>
    <w:rsid w:val="134F309B"/>
    <w:rsid w:val="135545A0"/>
    <w:rsid w:val="13575D5F"/>
    <w:rsid w:val="13596815"/>
    <w:rsid w:val="1365288B"/>
    <w:rsid w:val="136630F1"/>
    <w:rsid w:val="136C59BB"/>
    <w:rsid w:val="136D7CE2"/>
    <w:rsid w:val="136E6E56"/>
    <w:rsid w:val="137779D2"/>
    <w:rsid w:val="13797E90"/>
    <w:rsid w:val="137B4F96"/>
    <w:rsid w:val="137F4B52"/>
    <w:rsid w:val="138279C3"/>
    <w:rsid w:val="13831463"/>
    <w:rsid w:val="13874765"/>
    <w:rsid w:val="13880730"/>
    <w:rsid w:val="1388483A"/>
    <w:rsid w:val="138C08DB"/>
    <w:rsid w:val="138C09AD"/>
    <w:rsid w:val="138E37C8"/>
    <w:rsid w:val="13941FC7"/>
    <w:rsid w:val="13964F3F"/>
    <w:rsid w:val="139926D3"/>
    <w:rsid w:val="139C3D29"/>
    <w:rsid w:val="139C5E1F"/>
    <w:rsid w:val="139D24AD"/>
    <w:rsid w:val="13A045A7"/>
    <w:rsid w:val="13A4602C"/>
    <w:rsid w:val="13A51B52"/>
    <w:rsid w:val="13A760C0"/>
    <w:rsid w:val="13A83488"/>
    <w:rsid w:val="13AD164A"/>
    <w:rsid w:val="13AE3752"/>
    <w:rsid w:val="13BA41B4"/>
    <w:rsid w:val="13C1221C"/>
    <w:rsid w:val="13C8218C"/>
    <w:rsid w:val="13CC12D2"/>
    <w:rsid w:val="13CD5412"/>
    <w:rsid w:val="13D03EEB"/>
    <w:rsid w:val="13D17F4F"/>
    <w:rsid w:val="13D81914"/>
    <w:rsid w:val="13D86BD0"/>
    <w:rsid w:val="13DC0A85"/>
    <w:rsid w:val="13DD336A"/>
    <w:rsid w:val="13DD6FCA"/>
    <w:rsid w:val="13DE25E3"/>
    <w:rsid w:val="13E10682"/>
    <w:rsid w:val="13E51A8A"/>
    <w:rsid w:val="13EA538E"/>
    <w:rsid w:val="13EE39D6"/>
    <w:rsid w:val="13F54CD8"/>
    <w:rsid w:val="13F86B78"/>
    <w:rsid w:val="13FF23A7"/>
    <w:rsid w:val="14034AD1"/>
    <w:rsid w:val="140B33DC"/>
    <w:rsid w:val="14121A76"/>
    <w:rsid w:val="14134BF4"/>
    <w:rsid w:val="141363EF"/>
    <w:rsid w:val="141566B4"/>
    <w:rsid w:val="141C3922"/>
    <w:rsid w:val="141E5FAE"/>
    <w:rsid w:val="141F69FC"/>
    <w:rsid w:val="14205E32"/>
    <w:rsid w:val="14210335"/>
    <w:rsid w:val="14216C58"/>
    <w:rsid w:val="14255931"/>
    <w:rsid w:val="14271E18"/>
    <w:rsid w:val="143004FE"/>
    <w:rsid w:val="14301A42"/>
    <w:rsid w:val="14334DD2"/>
    <w:rsid w:val="14345CBA"/>
    <w:rsid w:val="1436687C"/>
    <w:rsid w:val="14372720"/>
    <w:rsid w:val="143E1FB8"/>
    <w:rsid w:val="1445130C"/>
    <w:rsid w:val="14456630"/>
    <w:rsid w:val="144D1447"/>
    <w:rsid w:val="144D3312"/>
    <w:rsid w:val="144F03A7"/>
    <w:rsid w:val="145118F5"/>
    <w:rsid w:val="14514924"/>
    <w:rsid w:val="14573FBA"/>
    <w:rsid w:val="14581D7D"/>
    <w:rsid w:val="146167F9"/>
    <w:rsid w:val="146F2415"/>
    <w:rsid w:val="1470141E"/>
    <w:rsid w:val="14756041"/>
    <w:rsid w:val="14763206"/>
    <w:rsid w:val="14767884"/>
    <w:rsid w:val="147846C5"/>
    <w:rsid w:val="147A28B4"/>
    <w:rsid w:val="14865D7F"/>
    <w:rsid w:val="148E2B35"/>
    <w:rsid w:val="148E3257"/>
    <w:rsid w:val="14963FAF"/>
    <w:rsid w:val="14965799"/>
    <w:rsid w:val="149C103E"/>
    <w:rsid w:val="149E0420"/>
    <w:rsid w:val="149E6AAA"/>
    <w:rsid w:val="149F2A1B"/>
    <w:rsid w:val="14A12AED"/>
    <w:rsid w:val="14A25058"/>
    <w:rsid w:val="14A93E17"/>
    <w:rsid w:val="14AF32AC"/>
    <w:rsid w:val="14AF4A2C"/>
    <w:rsid w:val="14B55225"/>
    <w:rsid w:val="14B92896"/>
    <w:rsid w:val="14BA7156"/>
    <w:rsid w:val="14C35B14"/>
    <w:rsid w:val="14C66EE3"/>
    <w:rsid w:val="14C76A42"/>
    <w:rsid w:val="14CA410A"/>
    <w:rsid w:val="14D27824"/>
    <w:rsid w:val="14D30FDF"/>
    <w:rsid w:val="14D31B9B"/>
    <w:rsid w:val="14D743A3"/>
    <w:rsid w:val="14D91C8A"/>
    <w:rsid w:val="14D936F5"/>
    <w:rsid w:val="14DB7F27"/>
    <w:rsid w:val="14DC2022"/>
    <w:rsid w:val="14DC43C7"/>
    <w:rsid w:val="14DC7D61"/>
    <w:rsid w:val="14DD0B72"/>
    <w:rsid w:val="14DD7B54"/>
    <w:rsid w:val="14DE2EA7"/>
    <w:rsid w:val="14E119B2"/>
    <w:rsid w:val="14E11AFD"/>
    <w:rsid w:val="14E14377"/>
    <w:rsid w:val="14E80E24"/>
    <w:rsid w:val="14E85C89"/>
    <w:rsid w:val="14ED5E66"/>
    <w:rsid w:val="14F3384B"/>
    <w:rsid w:val="14F47040"/>
    <w:rsid w:val="14F65A8A"/>
    <w:rsid w:val="14F93025"/>
    <w:rsid w:val="14F94F75"/>
    <w:rsid w:val="14FD25DC"/>
    <w:rsid w:val="15006CDD"/>
    <w:rsid w:val="15007F5F"/>
    <w:rsid w:val="15023E92"/>
    <w:rsid w:val="15052325"/>
    <w:rsid w:val="15093AC3"/>
    <w:rsid w:val="15093E6E"/>
    <w:rsid w:val="150B29DA"/>
    <w:rsid w:val="150E069A"/>
    <w:rsid w:val="150E0893"/>
    <w:rsid w:val="150E15FF"/>
    <w:rsid w:val="150E2FB8"/>
    <w:rsid w:val="15110C84"/>
    <w:rsid w:val="15130BFE"/>
    <w:rsid w:val="151509A1"/>
    <w:rsid w:val="15171423"/>
    <w:rsid w:val="151814D4"/>
    <w:rsid w:val="151A47F8"/>
    <w:rsid w:val="151F28F1"/>
    <w:rsid w:val="151F5B63"/>
    <w:rsid w:val="15206EE9"/>
    <w:rsid w:val="15264009"/>
    <w:rsid w:val="152A3B08"/>
    <w:rsid w:val="152B3312"/>
    <w:rsid w:val="15317806"/>
    <w:rsid w:val="15390FA4"/>
    <w:rsid w:val="153A6AEB"/>
    <w:rsid w:val="153E3AB0"/>
    <w:rsid w:val="154066F2"/>
    <w:rsid w:val="1542134B"/>
    <w:rsid w:val="154441E8"/>
    <w:rsid w:val="15450BFF"/>
    <w:rsid w:val="15462F15"/>
    <w:rsid w:val="154726A3"/>
    <w:rsid w:val="154C14EE"/>
    <w:rsid w:val="154C3870"/>
    <w:rsid w:val="155032A8"/>
    <w:rsid w:val="15505396"/>
    <w:rsid w:val="1556270F"/>
    <w:rsid w:val="15574AC5"/>
    <w:rsid w:val="15577A28"/>
    <w:rsid w:val="15577DA2"/>
    <w:rsid w:val="15625607"/>
    <w:rsid w:val="15664800"/>
    <w:rsid w:val="15672A73"/>
    <w:rsid w:val="156D073A"/>
    <w:rsid w:val="156E7D73"/>
    <w:rsid w:val="15726BD9"/>
    <w:rsid w:val="15727606"/>
    <w:rsid w:val="15763E3D"/>
    <w:rsid w:val="157757B7"/>
    <w:rsid w:val="15801CA4"/>
    <w:rsid w:val="15862BFD"/>
    <w:rsid w:val="15985134"/>
    <w:rsid w:val="159A4261"/>
    <w:rsid w:val="159B3C85"/>
    <w:rsid w:val="159D2B7C"/>
    <w:rsid w:val="159D5E3E"/>
    <w:rsid w:val="159F0A66"/>
    <w:rsid w:val="15A65350"/>
    <w:rsid w:val="15A70C75"/>
    <w:rsid w:val="15A97D9C"/>
    <w:rsid w:val="15AA5775"/>
    <w:rsid w:val="15AA5ADD"/>
    <w:rsid w:val="15AC2E9C"/>
    <w:rsid w:val="15B72763"/>
    <w:rsid w:val="15B8245F"/>
    <w:rsid w:val="15B920A7"/>
    <w:rsid w:val="15BD3BE3"/>
    <w:rsid w:val="15C34BCE"/>
    <w:rsid w:val="15D22AAC"/>
    <w:rsid w:val="15DC5063"/>
    <w:rsid w:val="15E02F25"/>
    <w:rsid w:val="15E273F1"/>
    <w:rsid w:val="15E8472C"/>
    <w:rsid w:val="15EB5E52"/>
    <w:rsid w:val="15EF3E21"/>
    <w:rsid w:val="15F0077F"/>
    <w:rsid w:val="15F17FFE"/>
    <w:rsid w:val="15F8130C"/>
    <w:rsid w:val="15F81A1A"/>
    <w:rsid w:val="15FC5C92"/>
    <w:rsid w:val="16000304"/>
    <w:rsid w:val="16027386"/>
    <w:rsid w:val="16125A68"/>
    <w:rsid w:val="16143EB9"/>
    <w:rsid w:val="161C40F0"/>
    <w:rsid w:val="161F06DE"/>
    <w:rsid w:val="162177D1"/>
    <w:rsid w:val="16242F3A"/>
    <w:rsid w:val="16254BA3"/>
    <w:rsid w:val="162769D8"/>
    <w:rsid w:val="162E2C01"/>
    <w:rsid w:val="16316556"/>
    <w:rsid w:val="163456A7"/>
    <w:rsid w:val="16370011"/>
    <w:rsid w:val="163769CE"/>
    <w:rsid w:val="16385638"/>
    <w:rsid w:val="163D2A2B"/>
    <w:rsid w:val="164255A7"/>
    <w:rsid w:val="16440553"/>
    <w:rsid w:val="164F69DA"/>
    <w:rsid w:val="1653673D"/>
    <w:rsid w:val="16550932"/>
    <w:rsid w:val="1655540B"/>
    <w:rsid w:val="16564EC1"/>
    <w:rsid w:val="16593A77"/>
    <w:rsid w:val="165C5AE9"/>
    <w:rsid w:val="165E08D0"/>
    <w:rsid w:val="16627600"/>
    <w:rsid w:val="16670340"/>
    <w:rsid w:val="16670C95"/>
    <w:rsid w:val="166755E4"/>
    <w:rsid w:val="166A70DE"/>
    <w:rsid w:val="166C4521"/>
    <w:rsid w:val="16712CB0"/>
    <w:rsid w:val="16721A60"/>
    <w:rsid w:val="167227EA"/>
    <w:rsid w:val="16744DA0"/>
    <w:rsid w:val="167B3BE5"/>
    <w:rsid w:val="168029F5"/>
    <w:rsid w:val="168105D4"/>
    <w:rsid w:val="168215E5"/>
    <w:rsid w:val="16852BC1"/>
    <w:rsid w:val="1685413B"/>
    <w:rsid w:val="168B1DBB"/>
    <w:rsid w:val="168C5952"/>
    <w:rsid w:val="169722C8"/>
    <w:rsid w:val="16985DCE"/>
    <w:rsid w:val="169869EC"/>
    <w:rsid w:val="16990CCF"/>
    <w:rsid w:val="169E6F47"/>
    <w:rsid w:val="16A2786D"/>
    <w:rsid w:val="16A72C20"/>
    <w:rsid w:val="16AD7ADC"/>
    <w:rsid w:val="16B046AA"/>
    <w:rsid w:val="16B5726C"/>
    <w:rsid w:val="16B714D6"/>
    <w:rsid w:val="16B749FC"/>
    <w:rsid w:val="16BA1330"/>
    <w:rsid w:val="16BC1439"/>
    <w:rsid w:val="16C230D9"/>
    <w:rsid w:val="16C27F93"/>
    <w:rsid w:val="16C41A36"/>
    <w:rsid w:val="16C87C06"/>
    <w:rsid w:val="16CC7ED4"/>
    <w:rsid w:val="16CE5DAD"/>
    <w:rsid w:val="16D96A9E"/>
    <w:rsid w:val="16DA4D22"/>
    <w:rsid w:val="16DB18E2"/>
    <w:rsid w:val="16DD1F2D"/>
    <w:rsid w:val="16DE21A2"/>
    <w:rsid w:val="16DE7C8B"/>
    <w:rsid w:val="16E10EA3"/>
    <w:rsid w:val="16E12004"/>
    <w:rsid w:val="16E14887"/>
    <w:rsid w:val="16E15456"/>
    <w:rsid w:val="16E93AEE"/>
    <w:rsid w:val="16E97567"/>
    <w:rsid w:val="16F042C8"/>
    <w:rsid w:val="16F37CF0"/>
    <w:rsid w:val="16F6326A"/>
    <w:rsid w:val="16F947D4"/>
    <w:rsid w:val="16FB23F0"/>
    <w:rsid w:val="16FD6F6F"/>
    <w:rsid w:val="17077511"/>
    <w:rsid w:val="1708620C"/>
    <w:rsid w:val="170A0225"/>
    <w:rsid w:val="170A079E"/>
    <w:rsid w:val="170E41A6"/>
    <w:rsid w:val="170F6A5B"/>
    <w:rsid w:val="171209AA"/>
    <w:rsid w:val="171C4785"/>
    <w:rsid w:val="171E392F"/>
    <w:rsid w:val="172154F1"/>
    <w:rsid w:val="172939C1"/>
    <w:rsid w:val="17336368"/>
    <w:rsid w:val="17381F24"/>
    <w:rsid w:val="173833B3"/>
    <w:rsid w:val="173A3FB0"/>
    <w:rsid w:val="173B2396"/>
    <w:rsid w:val="17402D52"/>
    <w:rsid w:val="1747123C"/>
    <w:rsid w:val="174910D0"/>
    <w:rsid w:val="17496169"/>
    <w:rsid w:val="174E0A8D"/>
    <w:rsid w:val="175B62CE"/>
    <w:rsid w:val="175C3180"/>
    <w:rsid w:val="175F53CD"/>
    <w:rsid w:val="17601AF9"/>
    <w:rsid w:val="176E6940"/>
    <w:rsid w:val="177731F5"/>
    <w:rsid w:val="177D6D5E"/>
    <w:rsid w:val="178E737E"/>
    <w:rsid w:val="17936015"/>
    <w:rsid w:val="17940DB0"/>
    <w:rsid w:val="179A2009"/>
    <w:rsid w:val="179A7350"/>
    <w:rsid w:val="179B3AC6"/>
    <w:rsid w:val="179B67FE"/>
    <w:rsid w:val="179C4251"/>
    <w:rsid w:val="179F101C"/>
    <w:rsid w:val="179F10C4"/>
    <w:rsid w:val="17A54315"/>
    <w:rsid w:val="17A76379"/>
    <w:rsid w:val="17A82D87"/>
    <w:rsid w:val="17AA2C4B"/>
    <w:rsid w:val="17AD005B"/>
    <w:rsid w:val="17AF09A3"/>
    <w:rsid w:val="17B57ACE"/>
    <w:rsid w:val="17B67442"/>
    <w:rsid w:val="17B77FC9"/>
    <w:rsid w:val="17B84678"/>
    <w:rsid w:val="17BA7C1F"/>
    <w:rsid w:val="17BC4CEE"/>
    <w:rsid w:val="17BD3D4F"/>
    <w:rsid w:val="17C2002D"/>
    <w:rsid w:val="17C653C1"/>
    <w:rsid w:val="17CA3229"/>
    <w:rsid w:val="17D10981"/>
    <w:rsid w:val="17D17785"/>
    <w:rsid w:val="17D20EDE"/>
    <w:rsid w:val="17D42F91"/>
    <w:rsid w:val="17D57108"/>
    <w:rsid w:val="17DD0C3C"/>
    <w:rsid w:val="17DE133F"/>
    <w:rsid w:val="17E16D40"/>
    <w:rsid w:val="17E47921"/>
    <w:rsid w:val="17EB31F8"/>
    <w:rsid w:val="17EB6912"/>
    <w:rsid w:val="17F048B8"/>
    <w:rsid w:val="17F6427A"/>
    <w:rsid w:val="17F72A6B"/>
    <w:rsid w:val="17F8401C"/>
    <w:rsid w:val="17F86232"/>
    <w:rsid w:val="17FA285B"/>
    <w:rsid w:val="17FD54A7"/>
    <w:rsid w:val="17FF57DC"/>
    <w:rsid w:val="18061A77"/>
    <w:rsid w:val="18061E4F"/>
    <w:rsid w:val="180751D0"/>
    <w:rsid w:val="180A4A4D"/>
    <w:rsid w:val="180C5537"/>
    <w:rsid w:val="180D6603"/>
    <w:rsid w:val="180F0199"/>
    <w:rsid w:val="180F0534"/>
    <w:rsid w:val="1811076B"/>
    <w:rsid w:val="181108A1"/>
    <w:rsid w:val="181337B9"/>
    <w:rsid w:val="18154EF3"/>
    <w:rsid w:val="1816221F"/>
    <w:rsid w:val="181A4E6D"/>
    <w:rsid w:val="181E415F"/>
    <w:rsid w:val="18210DDE"/>
    <w:rsid w:val="18216F70"/>
    <w:rsid w:val="182922BA"/>
    <w:rsid w:val="182B1E65"/>
    <w:rsid w:val="182B2210"/>
    <w:rsid w:val="182D3D99"/>
    <w:rsid w:val="182E6F62"/>
    <w:rsid w:val="183567B9"/>
    <w:rsid w:val="183705ED"/>
    <w:rsid w:val="18371D58"/>
    <w:rsid w:val="183B4F76"/>
    <w:rsid w:val="184E3E22"/>
    <w:rsid w:val="184F7B3C"/>
    <w:rsid w:val="18543321"/>
    <w:rsid w:val="185504F6"/>
    <w:rsid w:val="185777B1"/>
    <w:rsid w:val="185A746A"/>
    <w:rsid w:val="185E59FD"/>
    <w:rsid w:val="185E693E"/>
    <w:rsid w:val="185F4C9D"/>
    <w:rsid w:val="1864452A"/>
    <w:rsid w:val="18683A28"/>
    <w:rsid w:val="186D5A78"/>
    <w:rsid w:val="18707DE0"/>
    <w:rsid w:val="18715B6A"/>
    <w:rsid w:val="1873561D"/>
    <w:rsid w:val="18822472"/>
    <w:rsid w:val="18937164"/>
    <w:rsid w:val="1894041A"/>
    <w:rsid w:val="18943EF0"/>
    <w:rsid w:val="18964287"/>
    <w:rsid w:val="18984BF6"/>
    <w:rsid w:val="189A6038"/>
    <w:rsid w:val="189E0B2D"/>
    <w:rsid w:val="189F1B14"/>
    <w:rsid w:val="18A20AAF"/>
    <w:rsid w:val="18A22906"/>
    <w:rsid w:val="18A71A2B"/>
    <w:rsid w:val="18AA1DB1"/>
    <w:rsid w:val="18AA72B9"/>
    <w:rsid w:val="18AC3011"/>
    <w:rsid w:val="18B10314"/>
    <w:rsid w:val="18B155CA"/>
    <w:rsid w:val="18B22C11"/>
    <w:rsid w:val="18BC3BDC"/>
    <w:rsid w:val="18BF33F5"/>
    <w:rsid w:val="18BF46FF"/>
    <w:rsid w:val="18C1019B"/>
    <w:rsid w:val="18C143E8"/>
    <w:rsid w:val="18C80682"/>
    <w:rsid w:val="18C83F1F"/>
    <w:rsid w:val="18CA2742"/>
    <w:rsid w:val="18CF4E29"/>
    <w:rsid w:val="18D10031"/>
    <w:rsid w:val="18DE4598"/>
    <w:rsid w:val="18E05D50"/>
    <w:rsid w:val="18E1719D"/>
    <w:rsid w:val="18EA06BD"/>
    <w:rsid w:val="18F20C38"/>
    <w:rsid w:val="18F43645"/>
    <w:rsid w:val="18F65601"/>
    <w:rsid w:val="18F804EF"/>
    <w:rsid w:val="18FB4204"/>
    <w:rsid w:val="19002B2D"/>
    <w:rsid w:val="19035C84"/>
    <w:rsid w:val="19064C1F"/>
    <w:rsid w:val="190B0865"/>
    <w:rsid w:val="190E05CE"/>
    <w:rsid w:val="19142E9F"/>
    <w:rsid w:val="191C31EE"/>
    <w:rsid w:val="19213376"/>
    <w:rsid w:val="192A0DDC"/>
    <w:rsid w:val="192B3462"/>
    <w:rsid w:val="192F35CB"/>
    <w:rsid w:val="192F69AA"/>
    <w:rsid w:val="19344EC0"/>
    <w:rsid w:val="193E1FAC"/>
    <w:rsid w:val="193E33CD"/>
    <w:rsid w:val="19444BA0"/>
    <w:rsid w:val="19444C36"/>
    <w:rsid w:val="194735FF"/>
    <w:rsid w:val="194D0382"/>
    <w:rsid w:val="194E3147"/>
    <w:rsid w:val="1953020F"/>
    <w:rsid w:val="19561DD7"/>
    <w:rsid w:val="1959213F"/>
    <w:rsid w:val="19646E6A"/>
    <w:rsid w:val="19677086"/>
    <w:rsid w:val="196B50CD"/>
    <w:rsid w:val="1970164C"/>
    <w:rsid w:val="19703171"/>
    <w:rsid w:val="197334D5"/>
    <w:rsid w:val="19762D89"/>
    <w:rsid w:val="19770AA4"/>
    <w:rsid w:val="1979433B"/>
    <w:rsid w:val="197C61B8"/>
    <w:rsid w:val="197E7822"/>
    <w:rsid w:val="19847576"/>
    <w:rsid w:val="198563BF"/>
    <w:rsid w:val="198B6C9E"/>
    <w:rsid w:val="198E4C92"/>
    <w:rsid w:val="198F0970"/>
    <w:rsid w:val="1991072A"/>
    <w:rsid w:val="1994506D"/>
    <w:rsid w:val="199656AB"/>
    <w:rsid w:val="199A5E7B"/>
    <w:rsid w:val="199D5D45"/>
    <w:rsid w:val="19A3785E"/>
    <w:rsid w:val="19A50C95"/>
    <w:rsid w:val="19A71EE3"/>
    <w:rsid w:val="19A80660"/>
    <w:rsid w:val="19A93827"/>
    <w:rsid w:val="19B65B04"/>
    <w:rsid w:val="19B7075B"/>
    <w:rsid w:val="19B954DD"/>
    <w:rsid w:val="19BD2BFE"/>
    <w:rsid w:val="19BD7140"/>
    <w:rsid w:val="19BF4E2D"/>
    <w:rsid w:val="19C337F1"/>
    <w:rsid w:val="19C371B4"/>
    <w:rsid w:val="19C65A37"/>
    <w:rsid w:val="19C779A8"/>
    <w:rsid w:val="19C938E5"/>
    <w:rsid w:val="19D10BD8"/>
    <w:rsid w:val="19D44817"/>
    <w:rsid w:val="19D471E8"/>
    <w:rsid w:val="19D47908"/>
    <w:rsid w:val="19D76A97"/>
    <w:rsid w:val="19DC7D2A"/>
    <w:rsid w:val="19DC7F4A"/>
    <w:rsid w:val="19DF2A5B"/>
    <w:rsid w:val="19E134F7"/>
    <w:rsid w:val="19E51568"/>
    <w:rsid w:val="19E70001"/>
    <w:rsid w:val="19EC2969"/>
    <w:rsid w:val="19F32A03"/>
    <w:rsid w:val="19F3322A"/>
    <w:rsid w:val="19F50A09"/>
    <w:rsid w:val="19F9174A"/>
    <w:rsid w:val="19F95FB7"/>
    <w:rsid w:val="19FB742F"/>
    <w:rsid w:val="19FC5CAF"/>
    <w:rsid w:val="19FD19A3"/>
    <w:rsid w:val="1A0920F8"/>
    <w:rsid w:val="1A0C4ED8"/>
    <w:rsid w:val="1A116264"/>
    <w:rsid w:val="1A16318A"/>
    <w:rsid w:val="1A167FD5"/>
    <w:rsid w:val="1A185AB6"/>
    <w:rsid w:val="1A192B69"/>
    <w:rsid w:val="1A1E3CA2"/>
    <w:rsid w:val="1A2059B7"/>
    <w:rsid w:val="1A207783"/>
    <w:rsid w:val="1A2A6EFF"/>
    <w:rsid w:val="1A2E26BD"/>
    <w:rsid w:val="1A2E5BA5"/>
    <w:rsid w:val="1A363C9D"/>
    <w:rsid w:val="1A3838A7"/>
    <w:rsid w:val="1A3C2547"/>
    <w:rsid w:val="1A435E46"/>
    <w:rsid w:val="1A475C9B"/>
    <w:rsid w:val="1A48411F"/>
    <w:rsid w:val="1A4D2CCB"/>
    <w:rsid w:val="1A4E6037"/>
    <w:rsid w:val="1A51567F"/>
    <w:rsid w:val="1A564320"/>
    <w:rsid w:val="1A610E0F"/>
    <w:rsid w:val="1A723E76"/>
    <w:rsid w:val="1A75019E"/>
    <w:rsid w:val="1A750AA7"/>
    <w:rsid w:val="1A750BA4"/>
    <w:rsid w:val="1A825F4C"/>
    <w:rsid w:val="1A845CA0"/>
    <w:rsid w:val="1A850F66"/>
    <w:rsid w:val="1A892AC6"/>
    <w:rsid w:val="1A8D57AF"/>
    <w:rsid w:val="1A901410"/>
    <w:rsid w:val="1A906252"/>
    <w:rsid w:val="1AA23AC8"/>
    <w:rsid w:val="1AA24E07"/>
    <w:rsid w:val="1AA32244"/>
    <w:rsid w:val="1AA64732"/>
    <w:rsid w:val="1AA71731"/>
    <w:rsid w:val="1AA74E85"/>
    <w:rsid w:val="1AAE2DD8"/>
    <w:rsid w:val="1AB41140"/>
    <w:rsid w:val="1AB505B4"/>
    <w:rsid w:val="1AB71C8F"/>
    <w:rsid w:val="1AB9111B"/>
    <w:rsid w:val="1ABA3774"/>
    <w:rsid w:val="1AC11B23"/>
    <w:rsid w:val="1AC20304"/>
    <w:rsid w:val="1AC5575A"/>
    <w:rsid w:val="1AC903A4"/>
    <w:rsid w:val="1AC92FC5"/>
    <w:rsid w:val="1ACA4676"/>
    <w:rsid w:val="1ACB3FB2"/>
    <w:rsid w:val="1ACE5154"/>
    <w:rsid w:val="1AD00DA6"/>
    <w:rsid w:val="1AD7068F"/>
    <w:rsid w:val="1AD878DB"/>
    <w:rsid w:val="1ADD3BE2"/>
    <w:rsid w:val="1ADE3238"/>
    <w:rsid w:val="1AEB627F"/>
    <w:rsid w:val="1AEC1666"/>
    <w:rsid w:val="1AED20BC"/>
    <w:rsid w:val="1AF87F20"/>
    <w:rsid w:val="1AFD526C"/>
    <w:rsid w:val="1B045CBB"/>
    <w:rsid w:val="1B05367E"/>
    <w:rsid w:val="1B065154"/>
    <w:rsid w:val="1B0D4E3F"/>
    <w:rsid w:val="1B1154F4"/>
    <w:rsid w:val="1B13239C"/>
    <w:rsid w:val="1B135DDB"/>
    <w:rsid w:val="1B141F9F"/>
    <w:rsid w:val="1B147F82"/>
    <w:rsid w:val="1B1901CA"/>
    <w:rsid w:val="1B1B3B3F"/>
    <w:rsid w:val="1B1B4B8D"/>
    <w:rsid w:val="1B1C1E09"/>
    <w:rsid w:val="1B1F1120"/>
    <w:rsid w:val="1B2A6E4B"/>
    <w:rsid w:val="1B2D512D"/>
    <w:rsid w:val="1B2F3E1D"/>
    <w:rsid w:val="1B361E8A"/>
    <w:rsid w:val="1B3D724A"/>
    <w:rsid w:val="1B3E10CE"/>
    <w:rsid w:val="1B404367"/>
    <w:rsid w:val="1B4405A7"/>
    <w:rsid w:val="1B462128"/>
    <w:rsid w:val="1B466390"/>
    <w:rsid w:val="1B4C5D4E"/>
    <w:rsid w:val="1B533CA3"/>
    <w:rsid w:val="1B5531C0"/>
    <w:rsid w:val="1B57173B"/>
    <w:rsid w:val="1B596F3E"/>
    <w:rsid w:val="1B611209"/>
    <w:rsid w:val="1B627070"/>
    <w:rsid w:val="1B654891"/>
    <w:rsid w:val="1B654C0C"/>
    <w:rsid w:val="1B671E2E"/>
    <w:rsid w:val="1B6742F2"/>
    <w:rsid w:val="1B6F5104"/>
    <w:rsid w:val="1B732192"/>
    <w:rsid w:val="1B736028"/>
    <w:rsid w:val="1B757AFA"/>
    <w:rsid w:val="1B7E080E"/>
    <w:rsid w:val="1B7E5D39"/>
    <w:rsid w:val="1B832B5A"/>
    <w:rsid w:val="1B8A6C1D"/>
    <w:rsid w:val="1B8E0EEE"/>
    <w:rsid w:val="1B8F45F7"/>
    <w:rsid w:val="1B9A6844"/>
    <w:rsid w:val="1B9D6E7E"/>
    <w:rsid w:val="1B9F0976"/>
    <w:rsid w:val="1BA223B1"/>
    <w:rsid w:val="1BA249BE"/>
    <w:rsid w:val="1BA272E6"/>
    <w:rsid w:val="1BA73D9E"/>
    <w:rsid w:val="1BA75C11"/>
    <w:rsid w:val="1BA77DB8"/>
    <w:rsid w:val="1BAF3A10"/>
    <w:rsid w:val="1BB35E19"/>
    <w:rsid w:val="1BBD3957"/>
    <w:rsid w:val="1BC03D0A"/>
    <w:rsid w:val="1BC83DBD"/>
    <w:rsid w:val="1BD31EE3"/>
    <w:rsid w:val="1BD64AB3"/>
    <w:rsid w:val="1BE33F43"/>
    <w:rsid w:val="1BE401D7"/>
    <w:rsid w:val="1BEF7293"/>
    <w:rsid w:val="1BF14438"/>
    <w:rsid w:val="1BF33835"/>
    <w:rsid w:val="1BF61870"/>
    <w:rsid w:val="1BF8612B"/>
    <w:rsid w:val="1BFA6B90"/>
    <w:rsid w:val="1C043522"/>
    <w:rsid w:val="1C052CE8"/>
    <w:rsid w:val="1C0576E6"/>
    <w:rsid w:val="1C097AB3"/>
    <w:rsid w:val="1C1115D9"/>
    <w:rsid w:val="1C120289"/>
    <w:rsid w:val="1C124C17"/>
    <w:rsid w:val="1C130A3D"/>
    <w:rsid w:val="1C151486"/>
    <w:rsid w:val="1C152E07"/>
    <w:rsid w:val="1C1568E5"/>
    <w:rsid w:val="1C16409B"/>
    <w:rsid w:val="1C196B9B"/>
    <w:rsid w:val="1C1A222C"/>
    <w:rsid w:val="1C1A311C"/>
    <w:rsid w:val="1C1C45DF"/>
    <w:rsid w:val="1C1E15B3"/>
    <w:rsid w:val="1C234ADD"/>
    <w:rsid w:val="1C250D12"/>
    <w:rsid w:val="1C253D62"/>
    <w:rsid w:val="1C2622E1"/>
    <w:rsid w:val="1C277AF5"/>
    <w:rsid w:val="1C2B5FFF"/>
    <w:rsid w:val="1C2C4368"/>
    <w:rsid w:val="1C2E39B5"/>
    <w:rsid w:val="1C303E2E"/>
    <w:rsid w:val="1C321228"/>
    <w:rsid w:val="1C332C45"/>
    <w:rsid w:val="1C337440"/>
    <w:rsid w:val="1C346562"/>
    <w:rsid w:val="1C37085F"/>
    <w:rsid w:val="1C4178A8"/>
    <w:rsid w:val="1C454D36"/>
    <w:rsid w:val="1C4551F2"/>
    <w:rsid w:val="1C4744A4"/>
    <w:rsid w:val="1C4938E2"/>
    <w:rsid w:val="1C516A2D"/>
    <w:rsid w:val="1C524F50"/>
    <w:rsid w:val="1C543817"/>
    <w:rsid w:val="1C554FAB"/>
    <w:rsid w:val="1C562B61"/>
    <w:rsid w:val="1C5A2CC2"/>
    <w:rsid w:val="1C5B3D71"/>
    <w:rsid w:val="1C605597"/>
    <w:rsid w:val="1C626536"/>
    <w:rsid w:val="1C647F2B"/>
    <w:rsid w:val="1C691AAB"/>
    <w:rsid w:val="1C695D65"/>
    <w:rsid w:val="1C6D471F"/>
    <w:rsid w:val="1C6E59F2"/>
    <w:rsid w:val="1C6F072B"/>
    <w:rsid w:val="1C7A0262"/>
    <w:rsid w:val="1C7A3761"/>
    <w:rsid w:val="1C7D6575"/>
    <w:rsid w:val="1C7E57D4"/>
    <w:rsid w:val="1C835B7B"/>
    <w:rsid w:val="1C846260"/>
    <w:rsid w:val="1C85019A"/>
    <w:rsid w:val="1C8A05B6"/>
    <w:rsid w:val="1C970798"/>
    <w:rsid w:val="1C9C4605"/>
    <w:rsid w:val="1C9E4A69"/>
    <w:rsid w:val="1CA147A4"/>
    <w:rsid w:val="1CA15119"/>
    <w:rsid w:val="1CAA2AE8"/>
    <w:rsid w:val="1CAB62DB"/>
    <w:rsid w:val="1CAD7C15"/>
    <w:rsid w:val="1CAF5260"/>
    <w:rsid w:val="1CB22FC2"/>
    <w:rsid w:val="1CB33401"/>
    <w:rsid w:val="1CB54876"/>
    <w:rsid w:val="1CB85DEA"/>
    <w:rsid w:val="1CBC17A6"/>
    <w:rsid w:val="1CC357EB"/>
    <w:rsid w:val="1CC65537"/>
    <w:rsid w:val="1CC77B5F"/>
    <w:rsid w:val="1CCD20FC"/>
    <w:rsid w:val="1CD006B7"/>
    <w:rsid w:val="1CD40FF5"/>
    <w:rsid w:val="1CD843A3"/>
    <w:rsid w:val="1CD92EBF"/>
    <w:rsid w:val="1CD97AA5"/>
    <w:rsid w:val="1CDB5B7D"/>
    <w:rsid w:val="1CDB7CF0"/>
    <w:rsid w:val="1CDD4191"/>
    <w:rsid w:val="1CDD4D7A"/>
    <w:rsid w:val="1CE75B5D"/>
    <w:rsid w:val="1CEC2124"/>
    <w:rsid w:val="1CED39AA"/>
    <w:rsid w:val="1CEF5749"/>
    <w:rsid w:val="1CF2685E"/>
    <w:rsid w:val="1CF92AFA"/>
    <w:rsid w:val="1D004CBE"/>
    <w:rsid w:val="1D043D4D"/>
    <w:rsid w:val="1D057B6C"/>
    <w:rsid w:val="1D08247A"/>
    <w:rsid w:val="1D0E26D8"/>
    <w:rsid w:val="1D0E4D81"/>
    <w:rsid w:val="1D1302EC"/>
    <w:rsid w:val="1D1471B1"/>
    <w:rsid w:val="1D171F76"/>
    <w:rsid w:val="1D192A02"/>
    <w:rsid w:val="1D1B692A"/>
    <w:rsid w:val="1D1F5985"/>
    <w:rsid w:val="1D226A38"/>
    <w:rsid w:val="1D2F4DCB"/>
    <w:rsid w:val="1D337978"/>
    <w:rsid w:val="1D3660DA"/>
    <w:rsid w:val="1D382E73"/>
    <w:rsid w:val="1D430975"/>
    <w:rsid w:val="1D51351D"/>
    <w:rsid w:val="1D5B61BF"/>
    <w:rsid w:val="1D5E6AFF"/>
    <w:rsid w:val="1D5F1FD8"/>
    <w:rsid w:val="1D5F4840"/>
    <w:rsid w:val="1D604890"/>
    <w:rsid w:val="1D635C52"/>
    <w:rsid w:val="1D6601DF"/>
    <w:rsid w:val="1D693502"/>
    <w:rsid w:val="1D6A1286"/>
    <w:rsid w:val="1D6A3478"/>
    <w:rsid w:val="1D761C59"/>
    <w:rsid w:val="1D777648"/>
    <w:rsid w:val="1D7D37AB"/>
    <w:rsid w:val="1D7D47B3"/>
    <w:rsid w:val="1D7E7BDA"/>
    <w:rsid w:val="1D7F14AE"/>
    <w:rsid w:val="1D8D0A27"/>
    <w:rsid w:val="1D8E1D01"/>
    <w:rsid w:val="1D8E7ED5"/>
    <w:rsid w:val="1D906B7D"/>
    <w:rsid w:val="1D91298E"/>
    <w:rsid w:val="1D914A89"/>
    <w:rsid w:val="1D925BB7"/>
    <w:rsid w:val="1D934857"/>
    <w:rsid w:val="1D945BC8"/>
    <w:rsid w:val="1D967E6A"/>
    <w:rsid w:val="1DA25120"/>
    <w:rsid w:val="1DA3476D"/>
    <w:rsid w:val="1DA533B0"/>
    <w:rsid w:val="1DAB435E"/>
    <w:rsid w:val="1DAD12FC"/>
    <w:rsid w:val="1DB26310"/>
    <w:rsid w:val="1DB51FEF"/>
    <w:rsid w:val="1DBC548A"/>
    <w:rsid w:val="1DBF5A07"/>
    <w:rsid w:val="1DC2576D"/>
    <w:rsid w:val="1DC865A1"/>
    <w:rsid w:val="1DCA12B2"/>
    <w:rsid w:val="1DCA334F"/>
    <w:rsid w:val="1DCF31CB"/>
    <w:rsid w:val="1DD26334"/>
    <w:rsid w:val="1DD30D40"/>
    <w:rsid w:val="1DD479F1"/>
    <w:rsid w:val="1DDA1DC3"/>
    <w:rsid w:val="1DDA4B0D"/>
    <w:rsid w:val="1DDD5571"/>
    <w:rsid w:val="1DDE7525"/>
    <w:rsid w:val="1DE21E8D"/>
    <w:rsid w:val="1DE37C42"/>
    <w:rsid w:val="1DE66BCE"/>
    <w:rsid w:val="1DED7BB6"/>
    <w:rsid w:val="1DF31488"/>
    <w:rsid w:val="1DF97D5E"/>
    <w:rsid w:val="1DFA3889"/>
    <w:rsid w:val="1E032BE2"/>
    <w:rsid w:val="1E09681C"/>
    <w:rsid w:val="1E0C0718"/>
    <w:rsid w:val="1E0D2865"/>
    <w:rsid w:val="1E112BFC"/>
    <w:rsid w:val="1E1172D6"/>
    <w:rsid w:val="1E1349D3"/>
    <w:rsid w:val="1E1A3800"/>
    <w:rsid w:val="1E1A396E"/>
    <w:rsid w:val="1E237E2B"/>
    <w:rsid w:val="1E27520A"/>
    <w:rsid w:val="1E27529A"/>
    <w:rsid w:val="1E287BD6"/>
    <w:rsid w:val="1E2D0ECC"/>
    <w:rsid w:val="1E2E7B89"/>
    <w:rsid w:val="1E303FA6"/>
    <w:rsid w:val="1E3B224C"/>
    <w:rsid w:val="1E3B756E"/>
    <w:rsid w:val="1E3E22A8"/>
    <w:rsid w:val="1E3F342F"/>
    <w:rsid w:val="1E402634"/>
    <w:rsid w:val="1E42689E"/>
    <w:rsid w:val="1E471552"/>
    <w:rsid w:val="1E4965F6"/>
    <w:rsid w:val="1E4B7ED3"/>
    <w:rsid w:val="1E4D25AB"/>
    <w:rsid w:val="1E4F1E69"/>
    <w:rsid w:val="1E570FB5"/>
    <w:rsid w:val="1E591921"/>
    <w:rsid w:val="1E5A01E8"/>
    <w:rsid w:val="1E5A1F9F"/>
    <w:rsid w:val="1E5E1520"/>
    <w:rsid w:val="1E5F3D8B"/>
    <w:rsid w:val="1E621C00"/>
    <w:rsid w:val="1E635FD6"/>
    <w:rsid w:val="1E6576DA"/>
    <w:rsid w:val="1E6662EE"/>
    <w:rsid w:val="1E6665A1"/>
    <w:rsid w:val="1E6D69B8"/>
    <w:rsid w:val="1E716367"/>
    <w:rsid w:val="1E72064B"/>
    <w:rsid w:val="1E721BDE"/>
    <w:rsid w:val="1E7543BD"/>
    <w:rsid w:val="1E7871AC"/>
    <w:rsid w:val="1E7D1406"/>
    <w:rsid w:val="1E7E6F5B"/>
    <w:rsid w:val="1E7F2795"/>
    <w:rsid w:val="1E840C44"/>
    <w:rsid w:val="1E844886"/>
    <w:rsid w:val="1E8807DD"/>
    <w:rsid w:val="1E945452"/>
    <w:rsid w:val="1E952DA0"/>
    <w:rsid w:val="1E960718"/>
    <w:rsid w:val="1E9B2B24"/>
    <w:rsid w:val="1E9C1928"/>
    <w:rsid w:val="1EA3116F"/>
    <w:rsid w:val="1EA6109E"/>
    <w:rsid w:val="1EA706A0"/>
    <w:rsid w:val="1EAA0E76"/>
    <w:rsid w:val="1EAC20FE"/>
    <w:rsid w:val="1EB90415"/>
    <w:rsid w:val="1EBA024F"/>
    <w:rsid w:val="1EBD4A62"/>
    <w:rsid w:val="1EBE7473"/>
    <w:rsid w:val="1EC07664"/>
    <w:rsid w:val="1EC12DC5"/>
    <w:rsid w:val="1ED10A77"/>
    <w:rsid w:val="1ED318A0"/>
    <w:rsid w:val="1EDB75BF"/>
    <w:rsid w:val="1EDD0E4B"/>
    <w:rsid w:val="1EDF559B"/>
    <w:rsid w:val="1EDF6E79"/>
    <w:rsid w:val="1EE06948"/>
    <w:rsid w:val="1EE33F2B"/>
    <w:rsid w:val="1EE5670B"/>
    <w:rsid w:val="1EED1B54"/>
    <w:rsid w:val="1EF307B9"/>
    <w:rsid w:val="1EF52B19"/>
    <w:rsid w:val="1EF9480C"/>
    <w:rsid w:val="1EFB0632"/>
    <w:rsid w:val="1EFE6178"/>
    <w:rsid w:val="1F0437B4"/>
    <w:rsid w:val="1F070808"/>
    <w:rsid w:val="1F0713B1"/>
    <w:rsid w:val="1F0C4BD9"/>
    <w:rsid w:val="1F120905"/>
    <w:rsid w:val="1F12228A"/>
    <w:rsid w:val="1F133B6C"/>
    <w:rsid w:val="1F135D44"/>
    <w:rsid w:val="1F1803A4"/>
    <w:rsid w:val="1F225C42"/>
    <w:rsid w:val="1F246046"/>
    <w:rsid w:val="1F2574E2"/>
    <w:rsid w:val="1F2851D9"/>
    <w:rsid w:val="1F32599E"/>
    <w:rsid w:val="1F3A31FB"/>
    <w:rsid w:val="1F3B45EA"/>
    <w:rsid w:val="1F3E79C1"/>
    <w:rsid w:val="1F3F19E4"/>
    <w:rsid w:val="1F4E4A66"/>
    <w:rsid w:val="1F5372AF"/>
    <w:rsid w:val="1F560980"/>
    <w:rsid w:val="1F5B271C"/>
    <w:rsid w:val="1F5F02FD"/>
    <w:rsid w:val="1F622E0D"/>
    <w:rsid w:val="1F6907E8"/>
    <w:rsid w:val="1F6972F9"/>
    <w:rsid w:val="1F6A24CC"/>
    <w:rsid w:val="1F6A4D58"/>
    <w:rsid w:val="1F75462D"/>
    <w:rsid w:val="1F7920CA"/>
    <w:rsid w:val="1F7C75CD"/>
    <w:rsid w:val="1F800644"/>
    <w:rsid w:val="1F8131D1"/>
    <w:rsid w:val="1F8F1BC7"/>
    <w:rsid w:val="1F8F27FD"/>
    <w:rsid w:val="1F8F3978"/>
    <w:rsid w:val="1F910174"/>
    <w:rsid w:val="1F913417"/>
    <w:rsid w:val="1F991E16"/>
    <w:rsid w:val="1F992BAF"/>
    <w:rsid w:val="1F9C005D"/>
    <w:rsid w:val="1FA52525"/>
    <w:rsid w:val="1FAC1B3E"/>
    <w:rsid w:val="1FAD05DC"/>
    <w:rsid w:val="1FAF3C08"/>
    <w:rsid w:val="1FB06D67"/>
    <w:rsid w:val="1FB27114"/>
    <w:rsid w:val="1FBC202F"/>
    <w:rsid w:val="1FBC4FF6"/>
    <w:rsid w:val="1FC27E3A"/>
    <w:rsid w:val="1FC35119"/>
    <w:rsid w:val="1FC91704"/>
    <w:rsid w:val="1FCD4B47"/>
    <w:rsid w:val="1FE548F9"/>
    <w:rsid w:val="1FED3DE5"/>
    <w:rsid w:val="1FED44F8"/>
    <w:rsid w:val="1FEE76D3"/>
    <w:rsid w:val="1FEF496C"/>
    <w:rsid w:val="1FF0032B"/>
    <w:rsid w:val="1FF108A4"/>
    <w:rsid w:val="1FF25835"/>
    <w:rsid w:val="1FF26843"/>
    <w:rsid w:val="1FF330A8"/>
    <w:rsid w:val="1FF3696A"/>
    <w:rsid w:val="1FF50D51"/>
    <w:rsid w:val="1FF60459"/>
    <w:rsid w:val="2003161A"/>
    <w:rsid w:val="2004475D"/>
    <w:rsid w:val="2009549B"/>
    <w:rsid w:val="20095FC9"/>
    <w:rsid w:val="200A2496"/>
    <w:rsid w:val="200E5806"/>
    <w:rsid w:val="20121B78"/>
    <w:rsid w:val="201506F8"/>
    <w:rsid w:val="20163333"/>
    <w:rsid w:val="20167EC9"/>
    <w:rsid w:val="20190BB9"/>
    <w:rsid w:val="20196ED1"/>
    <w:rsid w:val="201D058D"/>
    <w:rsid w:val="201F7C56"/>
    <w:rsid w:val="20236686"/>
    <w:rsid w:val="20255365"/>
    <w:rsid w:val="2026213A"/>
    <w:rsid w:val="20266641"/>
    <w:rsid w:val="2029414D"/>
    <w:rsid w:val="202D31D4"/>
    <w:rsid w:val="202F1B41"/>
    <w:rsid w:val="20330431"/>
    <w:rsid w:val="203B4618"/>
    <w:rsid w:val="203B7AEF"/>
    <w:rsid w:val="203B7B9C"/>
    <w:rsid w:val="203D154B"/>
    <w:rsid w:val="20463482"/>
    <w:rsid w:val="204942C6"/>
    <w:rsid w:val="204C205C"/>
    <w:rsid w:val="204D6D61"/>
    <w:rsid w:val="20501B5C"/>
    <w:rsid w:val="20501D16"/>
    <w:rsid w:val="205125E7"/>
    <w:rsid w:val="20547250"/>
    <w:rsid w:val="205B633E"/>
    <w:rsid w:val="206238D7"/>
    <w:rsid w:val="206846C5"/>
    <w:rsid w:val="206D63FA"/>
    <w:rsid w:val="20703648"/>
    <w:rsid w:val="207164E4"/>
    <w:rsid w:val="20796B0C"/>
    <w:rsid w:val="207C704E"/>
    <w:rsid w:val="20833052"/>
    <w:rsid w:val="20847491"/>
    <w:rsid w:val="20890B87"/>
    <w:rsid w:val="20891292"/>
    <w:rsid w:val="208D1B94"/>
    <w:rsid w:val="20993750"/>
    <w:rsid w:val="20A23A37"/>
    <w:rsid w:val="20A47F7A"/>
    <w:rsid w:val="20A60895"/>
    <w:rsid w:val="20A82869"/>
    <w:rsid w:val="20A96935"/>
    <w:rsid w:val="20A97B43"/>
    <w:rsid w:val="20AD2989"/>
    <w:rsid w:val="20AD2B9D"/>
    <w:rsid w:val="20B1167F"/>
    <w:rsid w:val="20B3267A"/>
    <w:rsid w:val="20B40B31"/>
    <w:rsid w:val="20B639D3"/>
    <w:rsid w:val="20BE7015"/>
    <w:rsid w:val="20BF0987"/>
    <w:rsid w:val="20C10C70"/>
    <w:rsid w:val="20C13D30"/>
    <w:rsid w:val="20C34E43"/>
    <w:rsid w:val="20C73F68"/>
    <w:rsid w:val="20C76D2D"/>
    <w:rsid w:val="20CC4C5C"/>
    <w:rsid w:val="20D04AF0"/>
    <w:rsid w:val="20D23CA0"/>
    <w:rsid w:val="20D32D27"/>
    <w:rsid w:val="20DA5216"/>
    <w:rsid w:val="20DB5CE7"/>
    <w:rsid w:val="20DD3D8A"/>
    <w:rsid w:val="20DF169E"/>
    <w:rsid w:val="20DF5699"/>
    <w:rsid w:val="20E15448"/>
    <w:rsid w:val="20E16ED3"/>
    <w:rsid w:val="20E41FFD"/>
    <w:rsid w:val="20E517CF"/>
    <w:rsid w:val="20E51CA0"/>
    <w:rsid w:val="20E816E3"/>
    <w:rsid w:val="20F01F03"/>
    <w:rsid w:val="20F35DC8"/>
    <w:rsid w:val="20F53603"/>
    <w:rsid w:val="20F7704B"/>
    <w:rsid w:val="20F920E6"/>
    <w:rsid w:val="210C5A62"/>
    <w:rsid w:val="210F44E3"/>
    <w:rsid w:val="211100C0"/>
    <w:rsid w:val="21130FA7"/>
    <w:rsid w:val="21161EA9"/>
    <w:rsid w:val="21175F44"/>
    <w:rsid w:val="21192F26"/>
    <w:rsid w:val="211A4D58"/>
    <w:rsid w:val="211B37F6"/>
    <w:rsid w:val="211C5AB4"/>
    <w:rsid w:val="212575FD"/>
    <w:rsid w:val="2129076D"/>
    <w:rsid w:val="212C65CF"/>
    <w:rsid w:val="213010DB"/>
    <w:rsid w:val="21372FAF"/>
    <w:rsid w:val="213A3D4D"/>
    <w:rsid w:val="213F0813"/>
    <w:rsid w:val="21431CEC"/>
    <w:rsid w:val="21437267"/>
    <w:rsid w:val="214562CD"/>
    <w:rsid w:val="21497815"/>
    <w:rsid w:val="214A7A10"/>
    <w:rsid w:val="214D0151"/>
    <w:rsid w:val="2150580E"/>
    <w:rsid w:val="21534364"/>
    <w:rsid w:val="2157624E"/>
    <w:rsid w:val="215828C2"/>
    <w:rsid w:val="215B3DE2"/>
    <w:rsid w:val="215B6D87"/>
    <w:rsid w:val="215D5695"/>
    <w:rsid w:val="21601786"/>
    <w:rsid w:val="21632CB0"/>
    <w:rsid w:val="21643D50"/>
    <w:rsid w:val="2166517F"/>
    <w:rsid w:val="21681CDC"/>
    <w:rsid w:val="216A06DC"/>
    <w:rsid w:val="217053DC"/>
    <w:rsid w:val="217262EA"/>
    <w:rsid w:val="21730755"/>
    <w:rsid w:val="21761850"/>
    <w:rsid w:val="21763DBA"/>
    <w:rsid w:val="217709B2"/>
    <w:rsid w:val="217908FB"/>
    <w:rsid w:val="21792E3E"/>
    <w:rsid w:val="217A466A"/>
    <w:rsid w:val="217A6891"/>
    <w:rsid w:val="218513C3"/>
    <w:rsid w:val="21852EF1"/>
    <w:rsid w:val="21881C7B"/>
    <w:rsid w:val="218B36F5"/>
    <w:rsid w:val="218C443E"/>
    <w:rsid w:val="218F3C24"/>
    <w:rsid w:val="21921D0E"/>
    <w:rsid w:val="219242EE"/>
    <w:rsid w:val="21944A16"/>
    <w:rsid w:val="21991C00"/>
    <w:rsid w:val="21A26790"/>
    <w:rsid w:val="21A47763"/>
    <w:rsid w:val="21A9456F"/>
    <w:rsid w:val="21AE6903"/>
    <w:rsid w:val="21AF7A72"/>
    <w:rsid w:val="21B2351B"/>
    <w:rsid w:val="21B60312"/>
    <w:rsid w:val="21B633D1"/>
    <w:rsid w:val="21BF522F"/>
    <w:rsid w:val="21C134E9"/>
    <w:rsid w:val="21C51724"/>
    <w:rsid w:val="21C566A0"/>
    <w:rsid w:val="21C9069D"/>
    <w:rsid w:val="21CA23B2"/>
    <w:rsid w:val="21CA2963"/>
    <w:rsid w:val="21CA5466"/>
    <w:rsid w:val="21CC08F5"/>
    <w:rsid w:val="21CD0897"/>
    <w:rsid w:val="21CD089B"/>
    <w:rsid w:val="21CE132F"/>
    <w:rsid w:val="21D3691B"/>
    <w:rsid w:val="21D45FDF"/>
    <w:rsid w:val="21D95BA2"/>
    <w:rsid w:val="21DD7919"/>
    <w:rsid w:val="21E002C0"/>
    <w:rsid w:val="21E01BC2"/>
    <w:rsid w:val="21E635FE"/>
    <w:rsid w:val="21E805BB"/>
    <w:rsid w:val="21F06FD1"/>
    <w:rsid w:val="21F17D90"/>
    <w:rsid w:val="21F72A28"/>
    <w:rsid w:val="21F836D3"/>
    <w:rsid w:val="21F84E93"/>
    <w:rsid w:val="21FB2EE9"/>
    <w:rsid w:val="21FD744F"/>
    <w:rsid w:val="22000A11"/>
    <w:rsid w:val="22006580"/>
    <w:rsid w:val="22080F20"/>
    <w:rsid w:val="220B72EA"/>
    <w:rsid w:val="220E0FE6"/>
    <w:rsid w:val="22114345"/>
    <w:rsid w:val="221648BA"/>
    <w:rsid w:val="22172173"/>
    <w:rsid w:val="22193265"/>
    <w:rsid w:val="221B6C2B"/>
    <w:rsid w:val="221E25AC"/>
    <w:rsid w:val="221E796F"/>
    <w:rsid w:val="222639B8"/>
    <w:rsid w:val="22266892"/>
    <w:rsid w:val="222908E7"/>
    <w:rsid w:val="222A2B60"/>
    <w:rsid w:val="222F7158"/>
    <w:rsid w:val="22306D64"/>
    <w:rsid w:val="22322737"/>
    <w:rsid w:val="223A3F31"/>
    <w:rsid w:val="224241EA"/>
    <w:rsid w:val="2243651D"/>
    <w:rsid w:val="22463C61"/>
    <w:rsid w:val="22482FAC"/>
    <w:rsid w:val="22494C4B"/>
    <w:rsid w:val="224E42D5"/>
    <w:rsid w:val="225074F6"/>
    <w:rsid w:val="22530010"/>
    <w:rsid w:val="22555CBD"/>
    <w:rsid w:val="22563B7C"/>
    <w:rsid w:val="2259568B"/>
    <w:rsid w:val="225A74BA"/>
    <w:rsid w:val="225B7C8E"/>
    <w:rsid w:val="225D0962"/>
    <w:rsid w:val="22625DAF"/>
    <w:rsid w:val="226330F0"/>
    <w:rsid w:val="226757D4"/>
    <w:rsid w:val="226D1668"/>
    <w:rsid w:val="22726FC5"/>
    <w:rsid w:val="22737D4F"/>
    <w:rsid w:val="22781268"/>
    <w:rsid w:val="22784DC7"/>
    <w:rsid w:val="2279343B"/>
    <w:rsid w:val="227A62A3"/>
    <w:rsid w:val="227D226C"/>
    <w:rsid w:val="228E7034"/>
    <w:rsid w:val="228F2D68"/>
    <w:rsid w:val="229223F0"/>
    <w:rsid w:val="229470C1"/>
    <w:rsid w:val="229950FF"/>
    <w:rsid w:val="229A6CF1"/>
    <w:rsid w:val="229E0AA6"/>
    <w:rsid w:val="22A311DA"/>
    <w:rsid w:val="22A51B25"/>
    <w:rsid w:val="22AD38C9"/>
    <w:rsid w:val="22AD725C"/>
    <w:rsid w:val="22B063E2"/>
    <w:rsid w:val="22B06CEF"/>
    <w:rsid w:val="22B34D9E"/>
    <w:rsid w:val="22B97256"/>
    <w:rsid w:val="22BB4DC0"/>
    <w:rsid w:val="22C16104"/>
    <w:rsid w:val="22C5751C"/>
    <w:rsid w:val="22C81F81"/>
    <w:rsid w:val="22CA15B0"/>
    <w:rsid w:val="22CA21CC"/>
    <w:rsid w:val="22CE1EF0"/>
    <w:rsid w:val="22CE49FB"/>
    <w:rsid w:val="22CE56A7"/>
    <w:rsid w:val="22CF3F4F"/>
    <w:rsid w:val="22D9255C"/>
    <w:rsid w:val="22DC1D99"/>
    <w:rsid w:val="22DE1C5B"/>
    <w:rsid w:val="22E13680"/>
    <w:rsid w:val="22E43AE5"/>
    <w:rsid w:val="22E47753"/>
    <w:rsid w:val="22E60048"/>
    <w:rsid w:val="22E6588B"/>
    <w:rsid w:val="22F55436"/>
    <w:rsid w:val="22F67424"/>
    <w:rsid w:val="22F975B8"/>
    <w:rsid w:val="22FC128E"/>
    <w:rsid w:val="22FE42F0"/>
    <w:rsid w:val="22FE47DF"/>
    <w:rsid w:val="23041054"/>
    <w:rsid w:val="23065D11"/>
    <w:rsid w:val="23070C22"/>
    <w:rsid w:val="23082B59"/>
    <w:rsid w:val="230C5185"/>
    <w:rsid w:val="230D1323"/>
    <w:rsid w:val="23127C19"/>
    <w:rsid w:val="23133DB6"/>
    <w:rsid w:val="23182BE7"/>
    <w:rsid w:val="231839EB"/>
    <w:rsid w:val="231E50EE"/>
    <w:rsid w:val="231F0706"/>
    <w:rsid w:val="232010DE"/>
    <w:rsid w:val="23260E0D"/>
    <w:rsid w:val="232D4B46"/>
    <w:rsid w:val="232F15FF"/>
    <w:rsid w:val="23314CF1"/>
    <w:rsid w:val="233354DA"/>
    <w:rsid w:val="23346546"/>
    <w:rsid w:val="2334789E"/>
    <w:rsid w:val="233E0CF7"/>
    <w:rsid w:val="233F7673"/>
    <w:rsid w:val="2343225B"/>
    <w:rsid w:val="23460D1A"/>
    <w:rsid w:val="2346793C"/>
    <w:rsid w:val="23492762"/>
    <w:rsid w:val="234B2884"/>
    <w:rsid w:val="23501559"/>
    <w:rsid w:val="235026A8"/>
    <w:rsid w:val="23557311"/>
    <w:rsid w:val="235622D2"/>
    <w:rsid w:val="235749D7"/>
    <w:rsid w:val="23581B2C"/>
    <w:rsid w:val="23590D5E"/>
    <w:rsid w:val="235B2E5D"/>
    <w:rsid w:val="235C4661"/>
    <w:rsid w:val="236271E8"/>
    <w:rsid w:val="2364538C"/>
    <w:rsid w:val="23647EAE"/>
    <w:rsid w:val="23673EE6"/>
    <w:rsid w:val="236847E4"/>
    <w:rsid w:val="23687F40"/>
    <w:rsid w:val="2369179C"/>
    <w:rsid w:val="236A413C"/>
    <w:rsid w:val="236D253E"/>
    <w:rsid w:val="236E65CC"/>
    <w:rsid w:val="23702351"/>
    <w:rsid w:val="237038E7"/>
    <w:rsid w:val="23706CF1"/>
    <w:rsid w:val="23710E7F"/>
    <w:rsid w:val="237B3F46"/>
    <w:rsid w:val="237F700D"/>
    <w:rsid w:val="23856B18"/>
    <w:rsid w:val="23876E84"/>
    <w:rsid w:val="238B45D3"/>
    <w:rsid w:val="238C26EF"/>
    <w:rsid w:val="239539E6"/>
    <w:rsid w:val="239732B0"/>
    <w:rsid w:val="23975C46"/>
    <w:rsid w:val="2397649D"/>
    <w:rsid w:val="239A3E2D"/>
    <w:rsid w:val="239A7BDE"/>
    <w:rsid w:val="239E0D36"/>
    <w:rsid w:val="239E524D"/>
    <w:rsid w:val="23A06217"/>
    <w:rsid w:val="23B14E24"/>
    <w:rsid w:val="23B5488D"/>
    <w:rsid w:val="23B56145"/>
    <w:rsid w:val="23C0346E"/>
    <w:rsid w:val="23C17420"/>
    <w:rsid w:val="23C17C62"/>
    <w:rsid w:val="23C2196C"/>
    <w:rsid w:val="23C273BE"/>
    <w:rsid w:val="23C5517D"/>
    <w:rsid w:val="23C676E4"/>
    <w:rsid w:val="23D419C9"/>
    <w:rsid w:val="23D8151A"/>
    <w:rsid w:val="23E0542B"/>
    <w:rsid w:val="23E06BB1"/>
    <w:rsid w:val="23E32DA9"/>
    <w:rsid w:val="23E85ADC"/>
    <w:rsid w:val="23F12F60"/>
    <w:rsid w:val="23FA0113"/>
    <w:rsid w:val="23FA590C"/>
    <w:rsid w:val="24062289"/>
    <w:rsid w:val="24080356"/>
    <w:rsid w:val="240E4918"/>
    <w:rsid w:val="24121714"/>
    <w:rsid w:val="2419740A"/>
    <w:rsid w:val="241A0B5A"/>
    <w:rsid w:val="241B5B10"/>
    <w:rsid w:val="241D4DE3"/>
    <w:rsid w:val="241E0D13"/>
    <w:rsid w:val="24247083"/>
    <w:rsid w:val="242A7799"/>
    <w:rsid w:val="24341DC4"/>
    <w:rsid w:val="24363F9E"/>
    <w:rsid w:val="24382468"/>
    <w:rsid w:val="24401623"/>
    <w:rsid w:val="24454EA7"/>
    <w:rsid w:val="2448295F"/>
    <w:rsid w:val="2449540D"/>
    <w:rsid w:val="244B7EF5"/>
    <w:rsid w:val="24503FB1"/>
    <w:rsid w:val="2450702C"/>
    <w:rsid w:val="24524F05"/>
    <w:rsid w:val="24545417"/>
    <w:rsid w:val="24640BAB"/>
    <w:rsid w:val="24640C8F"/>
    <w:rsid w:val="246B50E4"/>
    <w:rsid w:val="246C7B07"/>
    <w:rsid w:val="24712C87"/>
    <w:rsid w:val="247D13F8"/>
    <w:rsid w:val="248071B5"/>
    <w:rsid w:val="24827CEB"/>
    <w:rsid w:val="2484414C"/>
    <w:rsid w:val="24891C41"/>
    <w:rsid w:val="24895609"/>
    <w:rsid w:val="248E366A"/>
    <w:rsid w:val="2493468A"/>
    <w:rsid w:val="249965F5"/>
    <w:rsid w:val="249D0A85"/>
    <w:rsid w:val="24A352A1"/>
    <w:rsid w:val="24AB2C59"/>
    <w:rsid w:val="24AE1234"/>
    <w:rsid w:val="24AF7F9D"/>
    <w:rsid w:val="24B81561"/>
    <w:rsid w:val="24B839D1"/>
    <w:rsid w:val="24B90626"/>
    <w:rsid w:val="24C05B08"/>
    <w:rsid w:val="24CA2ABE"/>
    <w:rsid w:val="24CA6C05"/>
    <w:rsid w:val="24CE3162"/>
    <w:rsid w:val="24D91B8D"/>
    <w:rsid w:val="24DD4E2B"/>
    <w:rsid w:val="24DE4794"/>
    <w:rsid w:val="24EA7BE7"/>
    <w:rsid w:val="24EC1945"/>
    <w:rsid w:val="24F75EAD"/>
    <w:rsid w:val="24FC4B18"/>
    <w:rsid w:val="24FD3F26"/>
    <w:rsid w:val="24FD6B12"/>
    <w:rsid w:val="25072752"/>
    <w:rsid w:val="250821FF"/>
    <w:rsid w:val="250927CC"/>
    <w:rsid w:val="25107E82"/>
    <w:rsid w:val="2512238F"/>
    <w:rsid w:val="2513463D"/>
    <w:rsid w:val="251746BB"/>
    <w:rsid w:val="25185BF3"/>
    <w:rsid w:val="25187973"/>
    <w:rsid w:val="251A3F0D"/>
    <w:rsid w:val="251F057F"/>
    <w:rsid w:val="2522256E"/>
    <w:rsid w:val="25246B9D"/>
    <w:rsid w:val="25262130"/>
    <w:rsid w:val="25290FA3"/>
    <w:rsid w:val="252914AD"/>
    <w:rsid w:val="252964AB"/>
    <w:rsid w:val="252E49EF"/>
    <w:rsid w:val="253134E1"/>
    <w:rsid w:val="253542F2"/>
    <w:rsid w:val="253707C7"/>
    <w:rsid w:val="25375C5B"/>
    <w:rsid w:val="25390064"/>
    <w:rsid w:val="253C1912"/>
    <w:rsid w:val="25414B8F"/>
    <w:rsid w:val="2545382F"/>
    <w:rsid w:val="2550129A"/>
    <w:rsid w:val="25532F90"/>
    <w:rsid w:val="25565E4F"/>
    <w:rsid w:val="255972F8"/>
    <w:rsid w:val="25603000"/>
    <w:rsid w:val="25604A52"/>
    <w:rsid w:val="25623A2D"/>
    <w:rsid w:val="25632B57"/>
    <w:rsid w:val="25685D39"/>
    <w:rsid w:val="256E218E"/>
    <w:rsid w:val="25744312"/>
    <w:rsid w:val="2578180F"/>
    <w:rsid w:val="257D0FAC"/>
    <w:rsid w:val="257D7881"/>
    <w:rsid w:val="257F2C92"/>
    <w:rsid w:val="25801CA0"/>
    <w:rsid w:val="25862ED4"/>
    <w:rsid w:val="258664D8"/>
    <w:rsid w:val="258E66B0"/>
    <w:rsid w:val="2593474F"/>
    <w:rsid w:val="259B38F3"/>
    <w:rsid w:val="259D2E2F"/>
    <w:rsid w:val="259E309A"/>
    <w:rsid w:val="25AA362A"/>
    <w:rsid w:val="25AA3915"/>
    <w:rsid w:val="25AB292F"/>
    <w:rsid w:val="25AC29B2"/>
    <w:rsid w:val="25AC3C99"/>
    <w:rsid w:val="25AE21AB"/>
    <w:rsid w:val="25B00339"/>
    <w:rsid w:val="25B24002"/>
    <w:rsid w:val="25BB7144"/>
    <w:rsid w:val="25BE4F62"/>
    <w:rsid w:val="25C30B68"/>
    <w:rsid w:val="25C576CC"/>
    <w:rsid w:val="25C8670C"/>
    <w:rsid w:val="25D0630C"/>
    <w:rsid w:val="25D32A87"/>
    <w:rsid w:val="25DF42FD"/>
    <w:rsid w:val="25DF7B86"/>
    <w:rsid w:val="25EB4C90"/>
    <w:rsid w:val="25EE09FB"/>
    <w:rsid w:val="25F13C1D"/>
    <w:rsid w:val="25F155B1"/>
    <w:rsid w:val="25FA278E"/>
    <w:rsid w:val="25FA6752"/>
    <w:rsid w:val="25FB7798"/>
    <w:rsid w:val="25FF4A41"/>
    <w:rsid w:val="26042C1D"/>
    <w:rsid w:val="26053A01"/>
    <w:rsid w:val="26062491"/>
    <w:rsid w:val="26087150"/>
    <w:rsid w:val="260B6E37"/>
    <w:rsid w:val="260C1F78"/>
    <w:rsid w:val="261164E8"/>
    <w:rsid w:val="2611700C"/>
    <w:rsid w:val="261170EC"/>
    <w:rsid w:val="26130AB4"/>
    <w:rsid w:val="26133BCC"/>
    <w:rsid w:val="26146DEF"/>
    <w:rsid w:val="26164F27"/>
    <w:rsid w:val="26203083"/>
    <w:rsid w:val="26211E0F"/>
    <w:rsid w:val="26216A0F"/>
    <w:rsid w:val="26242B30"/>
    <w:rsid w:val="2627256B"/>
    <w:rsid w:val="262A3AFB"/>
    <w:rsid w:val="262A3D47"/>
    <w:rsid w:val="262B19FD"/>
    <w:rsid w:val="26372A6D"/>
    <w:rsid w:val="263810FA"/>
    <w:rsid w:val="2638318A"/>
    <w:rsid w:val="26394C0C"/>
    <w:rsid w:val="263D5DA7"/>
    <w:rsid w:val="263F314D"/>
    <w:rsid w:val="263F65FA"/>
    <w:rsid w:val="26406A14"/>
    <w:rsid w:val="2643026F"/>
    <w:rsid w:val="26434223"/>
    <w:rsid w:val="26446741"/>
    <w:rsid w:val="26451506"/>
    <w:rsid w:val="264723F4"/>
    <w:rsid w:val="264B2108"/>
    <w:rsid w:val="26512F1F"/>
    <w:rsid w:val="26551D68"/>
    <w:rsid w:val="2657577F"/>
    <w:rsid w:val="26585CFD"/>
    <w:rsid w:val="265C32AE"/>
    <w:rsid w:val="265E6448"/>
    <w:rsid w:val="26654BA2"/>
    <w:rsid w:val="266F2560"/>
    <w:rsid w:val="266F6688"/>
    <w:rsid w:val="26722824"/>
    <w:rsid w:val="268227DF"/>
    <w:rsid w:val="26871977"/>
    <w:rsid w:val="268A0AC3"/>
    <w:rsid w:val="268D44C4"/>
    <w:rsid w:val="269B5A58"/>
    <w:rsid w:val="269F5793"/>
    <w:rsid w:val="26A06BAC"/>
    <w:rsid w:val="26A71F8A"/>
    <w:rsid w:val="26A75BB8"/>
    <w:rsid w:val="26AD54A3"/>
    <w:rsid w:val="26AF0B60"/>
    <w:rsid w:val="26B22B29"/>
    <w:rsid w:val="26B36A97"/>
    <w:rsid w:val="26BF769F"/>
    <w:rsid w:val="26C12ACA"/>
    <w:rsid w:val="26CD22F4"/>
    <w:rsid w:val="26CE017D"/>
    <w:rsid w:val="26D559B1"/>
    <w:rsid w:val="26DE3F80"/>
    <w:rsid w:val="26E073BD"/>
    <w:rsid w:val="26E301EF"/>
    <w:rsid w:val="26E607BA"/>
    <w:rsid w:val="26E67F4B"/>
    <w:rsid w:val="26EC19D0"/>
    <w:rsid w:val="26F037D1"/>
    <w:rsid w:val="26F47C43"/>
    <w:rsid w:val="26F72346"/>
    <w:rsid w:val="26F7299F"/>
    <w:rsid w:val="26F953CD"/>
    <w:rsid w:val="27007D2F"/>
    <w:rsid w:val="27011C73"/>
    <w:rsid w:val="27091790"/>
    <w:rsid w:val="271026AA"/>
    <w:rsid w:val="2713564B"/>
    <w:rsid w:val="2714540C"/>
    <w:rsid w:val="27190A9B"/>
    <w:rsid w:val="271E2410"/>
    <w:rsid w:val="271F43DF"/>
    <w:rsid w:val="27232253"/>
    <w:rsid w:val="2723362F"/>
    <w:rsid w:val="2729210F"/>
    <w:rsid w:val="272F482B"/>
    <w:rsid w:val="272F785F"/>
    <w:rsid w:val="273A79F4"/>
    <w:rsid w:val="273F18EB"/>
    <w:rsid w:val="273F7E57"/>
    <w:rsid w:val="27415CE5"/>
    <w:rsid w:val="2744559E"/>
    <w:rsid w:val="274A65C9"/>
    <w:rsid w:val="274B60C6"/>
    <w:rsid w:val="274B70A3"/>
    <w:rsid w:val="274E0155"/>
    <w:rsid w:val="274F591F"/>
    <w:rsid w:val="275053D1"/>
    <w:rsid w:val="275502D8"/>
    <w:rsid w:val="275836CE"/>
    <w:rsid w:val="27611371"/>
    <w:rsid w:val="27674E0C"/>
    <w:rsid w:val="276F6F70"/>
    <w:rsid w:val="27766F58"/>
    <w:rsid w:val="27767A96"/>
    <w:rsid w:val="277E1A90"/>
    <w:rsid w:val="277F0D28"/>
    <w:rsid w:val="278176D4"/>
    <w:rsid w:val="27836BC9"/>
    <w:rsid w:val="27867D35"/>
    <w:rsid w:val="27876D79"/>
    <w:rsid w:val="278871BD"/>
    <w:rsid w:val="27896441"/>
    <w:rsid w:val="278E1F22"/>
    <w:rsid w:val="27903A24"/>
    <w:rsid w:val="27911412"/>
    <w:rsid w:val="279454BD"/>
    <w:rsid w:val="2799526B"/>
    <w:rsid w:val="279B4E40"/>
    <w:rsid w:val="279C19A3"/>
    <w:rsid w:val="279E76CC"/>
    <w:rsid w:val="279F36F5"/>
    <w:rsid w:val="27A21845"/>
    <w:rsid w:val="27A537B2"/>
    <w:rsid w:val="27AD5286"/>
    <w:rsid w:val="27B21EBA"/>
    <w:rsid w:val="27B47460"/>
    <w:rsid w:val="27B51B73"/>
    <w:rsid w:val="27B53723"/>
    <w:rsid w:val="27B60853"/>
    <w:rsid w:val="27B61739"/>
    <w:rsid w:val="27B83802"/>
    <w:rsid w:val="27BE0319"/>
    <w:rsid w:val="27C00D92"/>
    <w:rsid w:val="27C3221C"/>
    <w:rsid w:val="27C47BC6"/>
    <w:rsid w:val="27C52A8A"/>
    <w:rsid w:val="27CD43AF"/>
    <w:rsid w:val="27D10612"/>
    <w:rsid w:val="27D23E75"/>
    <w:rsid w:val="27D25BBD"/>
    <w:rsid w:val="27D42C74"/>
    <w:rsid w:val="27D42D70"/>
    <w:rsid w:val="27E60325"/>
    <w:rsid w:val="27EE348E"/>
    <w:rsid w:val="27F23006"/>
    <w:rsid w:val="27F45022"/>
    <w:rsid w:val="27FB3195"/>
    <w:rsid w:val="27FC194A"/>
    <w:rsid w:val="280415FA"/>
    <w:rsid w:val="280C4D8D"/>
    <w:rsid w:val="280E25FC"/>
    <w:rsid w:val="280E7722"/>
    <w:rsid w:val="28110063"/>
    <w:rsid w:val="281101DF"/>
    <w:rsid w:val="281927A4"/>
    <w:rsid w:val="281D1FB7"/>
    <w:rsid w:val="282640B3"/>
    <w:rsid w:val="28292307"/>
    <w:rsid w:val="282E3D23"/>
    <w:rsid w:val="282F5CB1"/>
    <w:rsid w:val="2831342D"/>
    <w:rsid w:val="283236A3"/>
    <w:rsid w:val="2838673B"/>
    <w:rsid w:val="28390C25"/>
    <w:rsid w:val="283C3904"/>
    <w:rsid w:val="283E2BFF"/>
    <w:rsid w:val="283F495D"/>
    <w:rsid w:val="28456BD4"/>
    <w:rsid w:val="2846484A"/>
    <w:rsid w:val="284675C6"/>
    <w:rsid w:val="28470670"/>
    <w:rsid w:val="284752F3"/>
    <w:rsid w:val="284825CA"/>
    <w:rsid w:val="284B3A04"/>
    <w:rsid w:val="28501A27"/>
    <w:rsid w:val="285137B3"/>
    <w:rsid w:val="2853449F"/>
    <w:rsid w:val="28562386"/>
    <w:rsid w:val="2858192E"/>
    <w:rsid w:val="28593560"/>
    <w:rsid w:val="285A3C3E"/>
    <w:rsid w:val="285B0F8F"/>
    <w:rsid w:val="285D5CB3"/>
    <w:rsid w:val="285F2B9C"/>
    <w:rsid w:val="28603C6C"/>
    <w:rsid w:val="28620457"/>
    <w:rsid w:val="286F4FB2"/>
    <w:rsid w:val="286F7B78"/>
    <w:rsid w:val="28704E35"/>
    <w:rsid w:val="28734782"/>
    <w:rsid w:val="28753602"/>
    <w:rsid w:val="28760383"/>
    <w:rsid w:val="287616A8"/>
    <w:rsid w:val="287918D3"/>
    <w:rsid w:val="287A39D1"/>
    <w:rsid w:val="287B1509"/>
    <w:rsid w:val="287C1652"/>
    <w:rsid w:val="287C2C38"/>
    <w:rsid w:val="287D7F05"/>
    <w:rsid w:val="28833345"/>
    <w:rsid w:val="28853872"/>
    <w:rsid w:val="28862641"/>
    <w:rsid w:val="28876026"/>
    <w:rsid w:val="28891865"/>
    <w:rsid w:val="288C66C5"/>
    <w:rsid w:val="288F5223"/>
    <w:rsid w:val="28932C58"/>
    <w:rsid w:val="289379CA"/>
    <w:rsid w:val="289528E7"/>
    <w:rsid w:val="28971EE5"/>
    <w:rsid w:val="28995A44"/>
    <w:rsid w:val="289C7F77"/>
    <w:rsid w:val="28A010A7"/>
    <w:rsid w:val="28A15B6A"/>
    <w:rsid w:val="28A26EBC"/>
    <w:rsid w:val="28A56AC3"/>
    <w:rsid w:val="28AB2176"/>
    <w:rsid w:val="28AD56FA"/>
    <w:rsid w:val="28B61F42"/>
    <w:rsid w:val="28B66223"/>
    <w:rsid w:val="28B94FCE"/>
    <w:rsid w:val="28BA2D77"/>
    <w:rsid w:val="28C037A8"/>
    <w:rsid w:val="28C11F12"/>
    <w:rsid w:val="28C14AAA"/>
    <w:rsid w:val="28C22B8F"/>
    <w:rsid w:val="28C56544"/>
    <w:rsid w:val="28CA1478"/>
    <w:rsid w:val="28D85484"/>
    <w:rsid w:val="28D95C97"/>
    <w:rsid w:val="28DA7BB6"/>
    <w:rsid w:val="28DB3B2E"/>
    <w:rsid w:val="28DB7972"/>
    <w:rsid w:val="28E1020E"/>
    <w:rsid w:val="28E11A74"/>
    <w:rsid w:val="28E37826"/>
    <w:rsid w:val="28E76154"/>
    <w:rsid w:val="28EC1AB1"/>
    <w:rsid w:val="28EF0462"/>
    <w:rsid w:val="28F34418"/>
    <w:rsid w:val="28F42EA5"/>
    <w:rsid w:val="28F54793"/>
    <w:rsid w:val="28F70BE3"/>
    <w:rsid w:val="28FC2563"/>
    <w:rsid w:val="28FE1F2A"/>
    <w:rsid w:val="2901333D"/>
    <w:rsid w:val="2904196A"/>
    <w:rsid w:val="29061B26"/>
    <w:rsid w:val="290830E6"/>
    <w:rsid w:val="290B3347"/>
    <w:rsid w:val="290B3808"/>
    <w:rsid w:val="290E180A"/>
    <w:rsid w:val="2910298F"/>
    <w:rsid w:val="291054D9"/>
    <w:rsid w:val="29120805"/>
    <w:rsid w:val="29177B20"/>
    <w:rsid w:val="291A1890"/>
    <w:rsid w:val="291C01C0"/>
    <w:rsid w:val="29212292"/>
    <w:rsid w:val="29247878"/>
    <w:rsid w:val="2927018D"/>
    <w:rsid w:val="292F0C29"/>
    <w:rsid w:val="292F692D"/>
    <w:rsid w:val="29317105"/>
    <w:rsid w:val="2932049D"/>
    <w:rsid w:val="2936109E"/>
    <w:rsid w:val="29372C3F"/>
    <w:rsid w:val="293A5535"/>
    <w:rsid w:val="293C2C0A"/>
    <w:rsid w:val="293D3EE4"/>
    <w:rsid w:val="293E014F"/>
    <w:rsid w:val="29410C68"/>
    <w:rsid w:val="2945361F"/>
    <w:rsid w:val="29494C28"/>
    <w:rsid w:val="294B4477"/>
    <w:rsid w:val="294C026F"/>
    <w:rsid w:val="294E4926"/>
    <w:rsid w:val="294E67B6"/>
    <w:rsid w:val="295052C9"/>
    <w:rsid w:val="29505833"/>
    <w:rsid w:val="29534C60"/>
    <w:rsid w:val="29581E75"/>
    <w:rsid w:val="295C2813"/>
    <w:rsid w:val="295C442F"/>
    <w:rsid w:val="29625A3D"/>
    <w:rsid w:val="29661D34"/>
    <w:rsid w:val="296B542A"/>
    <w:rsid w:val="296D6D30"/>
    <w:rsid w:val="29722812"/>
    <w:rsid w:val="297771FC"/>
    <w:rsid w:val="29780FFD"/>
    <w:rsid w:val="29800B93"/>
    <w:rsid w:val="29816FE5"/>
    <w:rsid w:val="29837FDF"/>
    <w:rsid w:val="29864E7B"/>
    <w:rsid w:val="298B55AE"/>
    <w:rsid w:val="29910B2E"/>
    <w:rsid w:val="29910D17"/>
    <w:rsid w:val="29915D94"/>
    <w:rsid w:val="299902DC"/>
    <w:rsid w:val="29A1326B"/>
    <w:rsid w:val="29A2635B"/>
    <w:rsid w:val="29A26C90"/>
    <w:rsid w:val="29A94F2A"/>
    <w:rsid w:val="29AA42CF"/>
    <w:rsid w:val="29AC2CA2"/>
    <w:rsid w:val="29B32A5D"/>
    <w:rsid w:val="29B43AF6"/>
    <w:rsid w:val="29B921E0"/>
    <w:rsid w:val="29BA2A9E"/>
    <w:rsid w:val="29C32B0E"/>
    <w:rsid w:val="29C93CC7"/>
    <w:rsid w:val="29CD1D08"/>
    <w:rsid w:val="29CE1E58"/>
    <w:rsid w:val="29D3713F"/>
    <w:rsid w:val="29D72B00"/>
    <w:rsid w:val="29D85DBC"/>
    <w:rsid w:val="29DD0B0C"/>
    <w:rsid w:val="29E14917"/>
    <w:rsid w:val="29E17A80"/>
    <w:rsid w:val="29E244B1"/>
    <w:rsid w:val="29E25CC0"/>
    <w:rsid w:val="29E44059"/>
    <w:rsid w:val="29EA0AC9"/>
    <w:rsid w:val="29EB7EB0"/>
    <w:rsid w:val="29ED2DE6"/>
    <w:rsid w:val="29EF4AC7"/>
    <w:rsid w:val="29F23501"/>
    <w:rsid w:val="2A0126BE"/>
    <w:rsid w:val="2A072DEF"/>
    <w:rsid w:val="2A075B3D"/>
    <w:rsid w:val="2A08254B"/>
    <w:rsid w:val="2A090C3A"/>
    <w:rsid w:val="2A0A6F78"/>
    <w:rsid w:val="2A100C63"/>
    <w:rsid w:val="2A164CD0"/>
    <w:rsid w:val="2A1C127D"/>
    <w:rsid w:val="2A1D2742"/>
    <w:rsid w:val="2A2346A1"/>
    <w:rsid w:val="2A235BFD"/>
    <w:rsid w:val="2A2429FA"/>
    <w:rsid w:val="2A2449C7"/>
    <w:rsid w:val="2A274571"/>
    <w:rsid w:val="2A2A0AC2"/>
    <w:rsid w:val="2A2F76A6"/>
    <w:rsid w:val="2A332EAC"/>
    <w:rsid w:val="2A3869EC"/>
    <w:rsid w:val="2A3B4336"/>
    <w:rsid w:val="2A3B6959"/>
    <w:rsid w:val="2A40148B"/>
    <w:rsid w:val="2A424214"/>
    <w:rsid w:val="2A4426CF"/>
    <w:rsid w:val="2A475439"/>
    <w:rsid w:val="2A4D7BA4"/>
    <w:rsid w:val="2A4E190C"/>
    <w:rsid w:val="2A507F80"/>
    <w:rsid w:val="2A541E7B"/>
    <w:rsid w:val="2A5557BF"/>
    <w:rsid w:val="2A573430"/>
    <w:rsid w:val="2A5A0BE3"/>
    <w:rsid w:val="2A5A44B9"/>
    <w:rsid w:val="2A5D509A"/>
    <w:rsid w:val="2A5E57B7"/>
    <w:rsid w:val="2A603A2C"/>
    <w:rsid w:val="2A622AE8"/>
    <w:rsid w:val="2A641E9B"/>
    <w:rsid w:val="2A684F36"/>
    <w:rsid w:val="2A6912BC"/>
    <w:rsid w:val="2A6B2B50"/>
    <w:rsid w:val="2A6F0AB2"/>
    <w:rsid w:val="2A7D4CE1"/>
    <w:rsid w:val="2A7F06EA"/>
    <w:rsid w:val="2A80086A"/>
    <w:rsid w:val="2A814712"/>
    <w:rsid w:val="2A8265F8"/>
    <w:rsid w:val="2A8454D0"/>
    <w:rsid w:val="2A86716C"/>
    <w:rsid w:val="2A8963FA"/>
    <w:rsid w:val="2A8A47E9"/>
    <w:rsid w:val="2A8A7C0D"/>
    <w:rsid w:val="2A8D0947"/>
    <w:rsid w:val="2A8E36ED"/>
    <w:rsid w:val="2A953605"/>
    <w:rsid w:val="2A9A7BB5"/>
    <w:rsid w:val="2A9E0108"/>
    <w:rsid w:val="2AA8109F"/>
    <w:rsid w:val="2AB727D4"/>
    <w:rsid w:val="2AC92599"/>
    <w:rsid w:val="2AC946B8"/>
    <w:rsid w:val="2ACA3BB2"/>
    <w:rsid w:val="2ACB3638"/>
    <w:rsid w:val="2ACB3DF4"/>
    <w:rsid w:val="2ACD4497"/>
    <w:rsid w:val="2ACE738E"/>
    <w:rsid w:val="2AD01557"/>
    <w:rsid w:val="2AD04BC9"/>
    <w:rsid w:val="2AD335D4"/>
    <w:rsid w:val="2AD9649E"/>
    <w:rsid w:val="2ADB700C"/>
    <w:rsid w:val="2AE1363B"/>
    <w:rsid w:val="2AE30340"/>
    <w:rsid w:val="2AE812C5"/>
    <w:rsid w:val="2AE94450"/>
    <w:rsid w:val="2AEA3764"/>
    <w:rsid w:val="2AEB2FC5"/>
    <w:rsid w:val="2AF855E2"/>
    <w:rsid w:val="2AF956F6"/>
    <w:rsid w:val="2AFB16D7"/>
    <w:rsid w:val="2AFB1F3F"/>
    <w:rsid w:val="2AFC0E9C"/>
    <w:rsid w:val="2AFE7DE9"/>
    <w:rsid w:val="2AFF103F"/>
    <w:rsid w:val="2AFF294C"/>
    <w:rsid w:val="2B0569A6"/>
    <w:rsid w:val="2B073EAF"/>
    <w:rsid w:val="2B08402A"/>
    <w:rsid w:val="2B093CB6"/>
    <w:rsid w:val="2B097469"/>
    <w:rsid w:val="2B0A208F"/>
    <w:rsid w:val="2B0A665B"/>
    <w:rsid w:val="2B0D7979"/>
    <w:rsid w:val="2B0F1D08"/>
    <w:rsid w:val="2B0F2DAA"/>
    <w:rsid w:val="2B111502"/>
    <w:rsid w:val="2B19451E"/>
    <w:rsid w:val="2B1C1800"/>
    <w:rsid w:val="2B1F2331"/>
    <w:rsid w:val="2B221464"/>
    <w:rsid w:val="2B2A4D57"/>
    <w:rsid w:val="2B3115A1"/>
    <w:rsid w:val="2B315089"/>
    <w:rsid w:val="2B342962"/>
    <w:rsid w:val="2B3D2F37"/>
    <w:rsid w:val="2B3F4B4D"/>
    <w:rsid w:val="2B402AA2"/>
    <w:rsid w:val="2B44780E"/>
    <w:rsid w:val="2B4644EA"/>
    <w:rsid w:val="2B5000CB"/>
    <w:rsid w:val="2B5014C9"/>
    <w:rsid w:val="2B5B395A"/>
    <w:rsid w:val="2B5F1A38"/>
    <w:rsid w:val="2B606E0D"/>
    <w:rsid w:val="2B61581B"/>
    <w:rsid w:val="2B636826"/>
    <w:rsid w:val="2B675BB6"/>
    <w:rsid w:val="2B684424"/>
    <w:rsid w:val="2B6952B2"/>
    <w:rsid w:val="2B69537C"/>
    <w:rsid w:val="2B6B00EA"/>
    <w:rsid w:val="2B6F0292"/>
    <w:rsid w:val="2B6F1B95"/>
    <w:rsid w:val="2B7229EE"/>
    <w:rsid w:val="2B7711EF"/>
    <w:rsid w:val="2B772D6C"/>
    <w:rsid w:val="2B781817"/>
    <w:rsid w:val="2B792E82"/>
    <w:rsid w:val="2B7A5578"/>
    <w:rsid w:val="2B837C84"/>
    <w:rsid w:val="2B863B80"/>
    <w:rsid w:val="2B8B11B8"/>
    <w:rsid w:val="2B8B79EA"/>
    <w:rsid w:val="2B8D1DD5"/>
    <w:rsid w:val="2B933BBB"/>
    <w:rsid w:val="2B935A85"/>
    <w:rsid w:val="2B93671D"/>
    <w:rsid w:val="2B9431EC"/>
    <w:rsid w:val="2B977166"/>
    <w:rsid w:val="2B983D6B"/>
    <w:rsid w:val="2B9902A6"/>
    <w:rsid w:val="2B9A4D4C"/>
    <w:rsid w:val="2B9A72A9"/>
    <w:rsid w:val="2B9D4962"/>
    <w:rsid w:val="2BA15C3A"/>
    <w:rsid w:val="2BA37868"/>
    <w:rsid w:val="2BA76DEC"/>
    <w:rsid w:val="2BAB5C9E"/>
    <w:rsid w:val="2BB73303"/>
    <w:rsid w:val="2BBD3500"/>
    <w:rsid w:val="2BBE012A"/>
    <w:rsid w:val="2BBF5CA1"/>
    <w:rsid w:val="2BC13F5F"/>
    <w:rsid w:val="2BC35CD7"/>
    <w:rsid w:val="2BC57D69"/>
    <w:rsid w:val="2BC666ED"/>
    <w:rsid w:val="2BCB4C4C"/>
    <w:rsid w:val="2BCC6536"/>
    <w:rsid w:val="2BCC6CA7"/>
    <w:rsid w:val="2BCF460C"/>
    <w:rsid w:val="2BDF1AF9"/>
    <w:rsid w:val="2BDF2A33"/>
    <w:rsid w:val="2BDF7B73"/>
    <w:rsid w:val="2BE47B21"/>
    <w:rsid w:val="2BE5663D"/>
    <w:rsid w:val="2BF25095"/>
    <w:rsid w:val="2BF413CE"/>
    <w:rsid w:val="2BFA428E"/>
    <w:rsid w:val="2C004B2F"/>
    <w:rsid w:val="2C065C1C"/>
    <w:rsid w:val="2C0856F1"/>
    <w:rsid w:val="2C0E3026"/>
    <w:rsid w:val="2C0F42E1"/>
    <w:rsid w:val="2C0F526F"/>
    <w:rsid w:val="2C11308C"/>
    <w:rsid w:val="2C117FA7"/>
    <w:rsid w:val="2C142A53"/>
    <w:rsid w:val="2C1C5668"/>
    <w:rsid w:val="2C1D76BF"/>
    <w:rsid w:val="2C214DD1"/>
    <w:rsid w:val="2C2476FD"/>
    <w:rsid w:val="2C247753"/>
    <w:rsid w:val="2C2F69AE"/>
    <w:rsid w:val="2C320ABA"/>
    <w:rsid w:val="2C351143"/>
    <w:rsid w:val="2C3A482A"/>
    <w:rsid w:val="2C3C1B86"/>
    <w:rsid w:val="2C410C24"/>
    <w:rsid w:val="2C422E84"/>
    <w:rsid w:val="2C4423E2"/>
    <w:rsid w:val="2C4814C1"/>
    <w:rsid w:val="2C5866DC"/>
    <w:rsid w:val="2C593537"/>
    <w:rsid w:val="2C5B2E36"/>
    <w:rsid w:val="2C5C19A9"/>
    <w:rsid w:val="2C612AA2"/>
    <w:rsid w:val="2C635950"/>
    <w:rsid w:val="2C6458D3"/>
    <w:rsid w:val="2C674723"/>
    <w:rsid w:val="2C7045EB"/>
    <w:rsid w:val="2C71658F"/>
    <w:rsid w:val="2C7557FB"/>
    <w:rsid w:val="2C765CEA"/>
    <w:rsid w:val="2C7A6ECF"/>
    <w:rsid w:val="2C7D0AF5"/>
    <w:rsid w:val="2C814DD6"/>
    <w:rsid w:val="2C835938"/>
    <w:rsid w:val="2C840333"/>
    <w:rsid w:val="2C8D06EA"/>
    <w:rsid w:val="2C932414"/>
    <w:rsid w:val="2C94378A"/>
    <w:rsid w:val="2C9763EB"/>
    <w:rsid w:val="2CA10E51"/>
    <w:rsid w:val="2CA358C4"/>
    <w:rsid w:val="2CA87011"/>
    <w:rsid w:val="2CAF20A1"/>
    <w:rsid w:val="2CB1117E"/>
    <w:rsid w:val="2CB20D28"/>
    <w:rsid w:val="2CB663E1"/>
    <w:rsid w:val="2CBB4125"/>
    <w:rsid w:val="2CBC72C6"/>
    <w:rsid w:val="2CC33A9B"/>
    <w:rsid w:val="2CC63E5F"/>
    <w:rsid w:val="2CC80D58"/>
    <w:rsid w:val="2CCD2BC3"/>
    <w:rsid w:val="2CCF0641"/>
    <w:rsid w:val="2CD0551A"/>
    <w:rsid w:val="2CD25BA5"/>
    <w:rsid w:val="2CD3403A"/>
    <w:rsid w:val="2CD4303E"/>
    <w:rsid w:val="2CE1425A"/>
    <w:rsid w:val="2CE34EC0"/>
    <w:rsid w:val="2CEB33CC"/>
    <w:rsid w:val="2CEC5C60"/>
    <w:rsid w:val="2CF21C1D"/>
    <w:rsid w:val="2CF24293"/>
    <w:rsid w:val="2CF2695C"/>
    <w:rsid w:val="2CF34CB1"/>
    <w:rsid w:val="2CFA3D7D"/>
    <w:rsid w:val="2CFC236B"/>
    <w:rsid w:val="2CFC4AF8"/>
    <w:rsid w:val="2CFD00D7"/>
    <w:rsid w:val="2CFE0101"/>
    <w:rsid w:val="2CFF7070"/>
    <w:rsid w:val="2D00395A"/>
    <w:rsid w:val="2D044021"/>
    <w:rsid w:val="2D06606B"/>
    <w:rsid w:val="2D0C15CC"/>
    <w:rsid w:val="2D0C28EF"/>
    <w:rsid w:val="2D0D122B"/>
    <w:rsid w:val="2D0D6038"/>
    <w:rsid w:val="2D1046B1"/>
    <w:rsid w:val="2D141A8D"/>
    <w:rsid w:val="2D17515C"/>
    <w:rsid w:val="2D1767AC"/>
    <w:rsid w:val="2D1D1C02"/>
    <w:rsid w:val="2D1E1071"/>
    <w:rsid w:val="2D2221C8"/>
    <w:rsid w:val="2D262062"/>
    <w:rsid w:val="2D2833C1"/>
    <w:rsid w:val="2D2A462C"/>
    <w:rsid w:val="2D3A6F7A"/>
    <w:rsid w:val="2D3C02A3"/>
    <w:rsid w:val="2D41028F"/>
    <w:rsid w:val="2D452A7B"/>
    <w:rsid w:val="2D4817BE"/>
    <w:rsid w:val="2D49181E"/>
    <w:rsid w:val="2D4B12A6"/>
    <w:rsid w:val="2D556E89"/>
    <w:rsid w:val="2D56761B"/>
    <w:rsid w:val="2D587D38"/>
    <w:rsid w:val="2D664207"/>
    <w:rsid w:val="2D6712C3"/>
    <w:rsid w:val="2D683B96"/>
    <w:rsid w:val="2D6A47DE"/>
    <w:rsid w:val="2D6D6FD8"/>
    <w:rsid w:val="2D6E63C2"/>
    <w:rsid w:val="2D714409"/>
    <w:rsid w:val="2D72715C"/>
    <w:rsid w:val="2D7773D7"/>
    <w:rsid w:val="2D7848FD"/>
    <w:rsid w:val="2D7A3162"/>
    <w:rsid w:val="2D7D0FA3"/>
    <w:rsid w:val="2D7D1EC1"/>
    <w:rsid w:val="2D822639"/>
    <w:rsid w:val="2D824B2E"/>
    <w:rsid w:val="2D867F9F"/>
    <w:rsid w:val="2D8B78DA"/>
    <w:rsid w:val="2D900E88"/>
    <w:rsid w:val="2D916340"/>
    <w:rsid w:val="2D927DF5"/>
    <w:rsid w:val="2D9833D7"/>
    <w:rsid w:val="2D990A0D"/>
    <w:rsid w:val="2D99553C"/>
    <w:rsid w:val="2D9C2C57"/>
    <w:rsid w:val="2DA22214"/>
    <w:rsid w:val="2DA634D1"/>
    <w:rsid w:val="2DAA6CBE"/>
    <w:rsid w:val="2DAB72AA"/>
    <w:rsid w:val="2DB143E3"/>
    <w:rsid w:val="2DB24666"/>
    <w:rsid w:val="2DB32064"/>
    <w:rsid w:val="2DB850B3"/>
    <w:rsid w:val="2DB941C7"/>
    <w:rsid w:val="2DBA1FB2"/>
    <w:rsid w:val="2DBE1E67"/>
    <w:rsid w:val="2DCA226F"/>
    <w:rsid w:val="2DCD7667"/>
    <w:rsid w:val="2DD44C22"/>
    <w:rsid w:val="2DD65F83"/>
    <w:rsid w:val="2DDF68E8"/>
    <w:rsid w:val="2DE01C7C"/>
    <w:rsid w:val="2DE6262F"/>
    <w:rsid w:val="2DE97B19"/>
    <w:rsid w:val="2DEB26ED"/>
    <w:rsid w:val="2DF64B89"/>
    <w:rsid w:val="2DF714BA"/>
    <w:rsid w:val="2DFE4872"/>
    <w:rsid w:val="2DFE7F4F"/>
    <w:rsid w:val="2E013172"/>
    <w:rsid w:val="2E02270E"/>
    <w:rsid w:val="2E0474E5"/>
    <w:rsid w:val="2E09639F"/>
    <w:rsid w:val="2E0C47E9"/>
    <w:rsid w:val="2E0D6E36"/>
    <w:rsid w:val="2E0E511A"/>
    <w:rsid w:val="2E0E6346"/>
    <w:rsid w:val="2E1421DE"/>
    <w:rsid w:val="2E194CF9"/>
    <w:rsid w:val="2E1B3690"/>
    <w:rsid w:val="2E244381"/>
    <w:rsid w:val="2E253E31"/>
    <w:rsid w:val="2E264CEE"/>
    <w:rsid w:val="2E346EBE"/>
    <w:rsid w:val="2E3C4EF3"/>
    <w:rsid w:val="2E453902"/>
    <w:rsid w:val="2E483942"/>
    <w:rsid w:val="2E4923DD"/>
    <w:rsid w:val="2E4A701C"/>
    <w:rsid w:val="2E4D1661"/>
    <w:rsid w:val="2E505440"/>
    <w:rsid w:val="2E513916"/>
    <w:rsid w:val="2E5333FD"/>
    <w:rsid w:val="2E547590"/>
    <w:rsid w:val="2E5500E5"/>
    <w:rsid w:val="2E585D82"/>
    <w:rsid w:val="2E592F33"/>
    <w:rsid w:val="2E5A771D"/>
    <w:rsid w:val="2E5B10A5"/>
    <w:rsid w:val="2E5E5361"/>
    <w:rsid w:val="2E623BAA"/>
    <w:rsid w:val="2E651C09"/>
    <w:rsid w:val="2E655CCC"/>
    <w:rsid w:val="2E660485"/>
    <w:rsid w:val="2E6803D1"/>
    <w:rsid w:val="2E6965D6"/>
    <w:rsid w:val="2E6B236C"/>
    <w:rsid w:val="2E6E76BB"/>
    <w:rsid w:val="2E6F1847"/>
    <w:rsid w:val="2E7779F5"/>
    <w:rsid w:val="2E7D42D8"/>
    <w:rsid w:val="2E847D07"/>
    <w:rsid w:val="2E875EE7"/>
    <w:rsid w:val="2E8B3BA6"/>
    <w:rsid w:val="2E8C2858"/>
    <w:rsid w:val="2E8D0671"/>
    <w:rsid w:val="2E8D6AA8"/>
    <w:rsid w:val="2E8F73E5"/>
    <w:rsid w:val="2E941194"/>
    <w:rsid w:val="2E9434F9"/>
    <w:rsid w:val="2E960291"/>
    <w:rsid w:val="2E992A1B"/>
    <w:rsid w:val="2EA00DCB"/>
    <w:rsid w:val="2EA30587"/>
    <w:rsid w:val="2EAA08A0"/>
    <w:rsid w:val="2EAE0140"/>
    <w:rsid w:val="2EAE23AF"/>
    <w:rsid w:val="2EB66688"/>
    <w:rsid w:val="2EB83FA8"/>
    <w:rsid w:val="2EC455D0"/>
    <w:rsid w:val="2ECD76AF"/>
    <w:rsid w:val="2ECE2394"/>
    <w:rsid w:val="2ECE7EA9"/>
    <w:rsid w:val="2ED5148D"/>
    <w:rsid w:val="2ED55A58"/>
    <w:rsid w:val="2ED75286"/>
    <w:rsid w:val="2EDA07C7"/>
    <w:rsid w:val="2EDC2E79"/>
    <w:rsid w:val="2EDC516E"/>
    <w:rsid w:val="2EDF655C"/>
    <w:rsid w:val="2EE446EB"/>
    <w:rsid w:val="2EE53657"/>
    <w:rsid w:val="2EE55929"/>
    <w:rsid w:val="2EE80EA2"/>
    <w:rsid w:val="2EEA61A6"/>
    <w:rsid w:val="2EED2C71"/>
    <w:rsid w:val="2EED3236"/>
    <w:rsid w:val="2EF51D97"/>
    <w:rsid w:val="2EF866C0"/>
    <w:rsid w:val="2EFB37E3"/>
    <w:rsid w:val="2EFB3A43"/>
    <w:rsid w:val="2F035B28"/>
    <w:rsid w:val="2F050A0A"/>
    <w:rsid w:val="2F0612E3"/>
    <w:rsid w:val="2F0B7473"/>
    <w:rsid w:val="2F1475DF"/>
    <w:rsid w:val="2F16756D"/>
    <w:rsid w:val="2F190DB5"/>
    <w:rsid w:val="2F235784"/>
    <w:rsid w:val="2F2968E3"/>
    <w:rsid w:val="2F2A7A5B"/>
    <w:rsid w:val="2F2B1044"/>
    <w:rsid w:val="2F332162"/>
    <w:rsid w:val="2F3453A5"/>
    <w:rsid w:val="2F3552C1"/>
    <w:rsid w:val="2F367132"/>
    <w:rsid w:val="2F374971"/>
    <w:rsid w:val="2F39458B"/>
    <w:rsid w:val="2F3B4EEB"/>
    <w:rsid w:val="2F4E1A12"/>
    <w:rsid w:val="2F4E3098"/>
    <w:rsid w:val="2F544C80"/>
    <w:rsid w:val="2F5C44FC"/>
    <w:rsid w:val="2F5D6701"/>
    <w:rsid w:val="2F5E3D26"/>
    <w:rsid w:val="2F5F48FE"/>
    <w:rsid w:val="2F684F7A"/>
    <w:rsid w:val="2F6C0D5D"/>
    <w:rsid w:val="2F6C287D"/>
    <w:rsid w:val="2F735BC6"/>
    <w:rsid w:val="2F740984"/>
    <w:rsid w:val="2F787326"/>
    <w:rsid w:val="2F7B01C7"/>
    <w:rsid w:val="2F7F1E5D"/>
    <w:rsid w:val="2F820261"/>
    <w:rsid w:val="2F825EB6"/>
    <w:rsid w:val="2F852411"/>
    <w:rsid w:val="2F92129F"/>
    <w:rsid w:val="2F934971"/>
    <w:rsid w:val="2F973EA1"/>
    <w:rsid w:val="2F993666"/>
    <w:rsid w:val="2FA018AA"/>
    <w:rsid w:val="2FA0528B"/>
    <w:rsid w:val="2FA34C44"/>
    <w:rsid w:val="2FA4147B"/>
    <w:rsid w:val="2FA636FD"/>
    <w:rsid w:val="2FAA6BDC"/>
    <w:rsid w:val="2FAC4A6D"/>
    <w:rsid w:val="2FAD5CBB"/>
    <w:rsid w:val="2FB65B01"/>
    <w:rsid w:val="2FB83AFC"/>
    <w:rsid w:val="2FBB0A6E"/>
    <w:rsid w:val="2FC011BC"/>
    <w:rsid w:val="2FC34CB7"/>
    <w:rsid w:val="2FC40C95"/>
    <w:rsid w:val="2FCF35A8"/>
    <w:rsid w:val="2FD26867"/>
    <w:rsid w:val="2FD7456C"/>
    <w:rsid w:val="2FE205B7"/>
    <w:rsid w:val="2FE8775D"/>
    <w:rsid w:val="2FEC082C"/>
    <w:rsid w:val="2FED16B2"/>
    <w:rsid w:val="2FF03299"/>
    <w:rsid w:val="2FF233F2"/>
    <w:rsid w:val="2FF23680"/>
    <w:rsid w:val="2FF4073F"/>
    <w:rsid w:val="2FF85575"/>
    <w:rsid w:val="300260FB"/>
    <w:rsid w:val="3004125B"/>
    <w:rsid w:val="300435B9"/>
    <w:rsid w:val="30067F87"/>
    <w:rsid w:val="3007255A"/>
    <w:rsid w:val="300850A7"/>
    <w:rsid w:val="30090053"/>
    <w:rsid w:val="30156064"/>
    <w:rsid w:val="30162C7D"/>
    <w:rsid w:val="301D3D8A"/>
    <w:rsid w:val="301D42C1"/>
    <w:rsid w:val="301E5483"/>
    <w:rsid w:val="301F0BE8"/>
    <w:rsid w:val="301F7439"/>
    <w:rsid w:val="30211D6F"/>
    <w:rsid w:val="302A3776"/>
    <w:rsid w:val="302B0B86"/>
    <w:rsid w:val="302B3F77"/>
    <w:rsid w:val="30312A42"/>
    <w:rsid w:val="30317757"/>
    <w:rsid w:val="30342440"/>
    <w:rsid w:val="30362F3A"/>
    <w:rsid w:val="303A3AB1"/>
    <w:rsid w:val="303F6BF2"/>
    <w:rsid w:val="3042757F"/>
    <w:rsid w:val="30476057"/>
    <w:rsid w:val="304A4FE2"/>
    <w:rsid w:val="304D60CD"/>
    <w:rsid w:val="30522771"/>
    <w:rsid w:val="30537122"/>
    <w:rsid w:val="30561380"/>
    <w:rsid w:val="305B3051"/>
    <w:rsid w:val="306160C9"/>
    <w:rsid w:val="30672E84"/>
    <w:rsid w:val="30675F03"/>
    <w:rsid w:val="30693B95"/>
    <w:rsid w:val="306B655F"/>
    <w:rsid w:val="306C22E3"/>
    <w:rsid w:val="306D1BB1"/>
    <w:rsid w:val="306F512E"/>
    <w:rsid w:val="3072472E"/>
    <w:rsid w:val="30726E35"/>
    <w:rsid w:val="30742F79"/>
    <w:rsid w:val="307B797D"/>
    <w:rsid w:val="307F7399"/>
    <w:rsid w:val="3080193E"/>
    <w:rsid w:val="30875A66"/>
    <w:rsid w:val="30880959"/>
    <w:rsid w:val="30892C2D"/>
    <w:rsid w:val="308A718B"/>
    <w:rsid w:val="308D1964"/>
    <w:rsid w:val="308F1EFF"/>
    <w:rsid w:val="30910492"/>
    <w:rsid w:val="3091693B"/>
    <w:rsid w:val="309600F1"/>
    <w:rsid w:val="309779B3"/>
    <w:rsid w:val="30983A1E"/>
    <w:rsid w:val="309A4723"/>
    <w:rsid w:val="309F1325"/>
    <w:rsid w:val="30A1254C"/>
    <w:rsid w:val="30A13DE3"/>
    <w:rsid w:val="30A3464A"/>
    <w:rsid w:val="30A75C1B"/>
    <w:rsid w:val="30A875C5"/>
    <w:rsid w:val="30A91342"/>
    <w:rsid w:val="30AA5BEB"/>
    <w:rsid w:val="30B8074A"/>
    <w:rsid w:val="30BC1119"/>
    <w:rsid w:val="30BE56A9"/>
    <w:rsid w:val="30C10B87"/>
    <w:rsid w:val="30C206EE"/>
    <w:rsid w:val="30C372CF"/>
    <w:rsid w:val="30C45054"/>
    <w:rsid w:val="30C81AAF"/>
    <w:rsid w:val="30D61BCF"/>
    <w:rsid w:val="30D825F7"/>
    <w:rsid w:val="30D83222"/>
    <w:rsid w:val="30DB54F5"/>
    <w:rsid w:val="30DE066D"/>
    <w:rsid w:val="30ED0F3E"/>
    <w:rsid w:val="30EE1B5A"/>
    <w:rsid w:val="30EE6EDC"/>
    <w:rsid w:val="30F0735E"/>
    <w:rsid w:val="30F77525"/>
    <w:rsid w:val="30F77579"/>
    <w:rsid w:val="30F90893"/>
    <w:rsid w:val="31021059"/>
    <w:rsid w:val="31124B34"/>
    <w:rsid w:val="31167DFB"/>
    <w:rsid w:val="311D5C46"/>
    <w:rsid w:val="311E6619"/>
    <w:rsid w:val="312811AC"/>
    <w:rsid w:val="31291EAD"/>
    <w:rsid w:val="312B28ED"/>
    <w:rsid w:val="312C2C7C"/>
    <w:rsid w:val="312E76B0"/>
    <w:rsid w:val="312F2720"/>
    <w:rsid w:val="3131135C"/>
    <w:rsid w:val="313C083E"/>
    <w:rsid w:val="313E6EE0"/>
    <w:rsid w:val="313F2462"/>
    <w:rsid w:val="3146755F"/>
    <w:rsid w:val="314A62F6"/>
    <w:rsid w:val="314B29DD"/>
    <w:rsid w:val="314E3488"/>
    <w:rsid w:val="31535BE0"/>
    <w:rsid w:val="3154092C"/>
    <w:rsid w:val="3155236E"/>
    <w:rsid w:val="315C7684"/>
    <w:rsid w:val="316164F2"/>
    <w:rsid w:val="31692F72"/>
    <w:rsid w:val="316A4ECC"/>
    <w:rsid w:val="316A5328"/>
    <w:rsid w:val="317201C0"/>
    <w:rsid w:val="31742746"/>
    <w:rsid w:val="3175271D"/>
    <w:rsid w:val="317661A3"/>
    <w:rsid w:val="317D7936"/>
    <w:rsid w:val="317F545B"/>
    <w:rsid w:val="31865F08"/>
    <w:rsid w:val="31873378"/>
    <w:rsid w:val="318B61B6"/>
    <w:rsid w:val="318D612F"/>
    <w:rsid w:val="318D6132"/>
    <w:rsid w:val="319057E6"/>
    <w:rsid w:val="319625F7"/>
    <w:rsid w:val="31972244"/>
    <w:rsid w:val="319905CD"/>
    <w:rsid w:val="319B010A"/>
    <w:rsid w:val="319F30EC"/>
    <w:rsid w:val="31A96342"/>
    <w:rsid w:val="31AF07EE"/>
    <w:rsid w:val="31B123FF"/>
    <w:rsid w:val="31B454A4"/>
    <w:rsid w:val="31B70CF3"/>
    <w:rsid w:val="31B740A1"/>
    <w:rsid w:val="31BD05AF"/>
    <w:rsid w:val="31C16A79"/>
    <w:rsid w:val="31C93A25"/>
    <w:rsid w:val="31CE5293"/>
    <w:rsid w:val="31CF7815"/>
    <w:rsid w:val="31D2534D"/>
    <w:rsid w:val="31D31B23"/>
    <w:rsid w:val="31D37AFF"/>
    <w:rsid w:val="31DA2510"/>
    <w:rsid w:val="31DC7B90"/>
    <w:rsid w:val="31E31457"/>
    <w:rsid w:val="31E9100C"/>
    <w:rsid w:val="31EC6879"/>
    <w:rsid w:val="31EE41A7"/>
    <w:rsid w:val="31EF36D0"/>
    <w:rsid w:val="31F131FF"/>
    <w:rsid w:val="31F349AE"/>
    <w:rsid w:val="31F76F43"/>
    <w:rsid w:val="31FE5559"/>
    <w:rsid w:val="32012AE9"/>
    <w:rsid w:val="32013ECE"/>
    <w:rsid w:val="320305F7"/>
    <w:rsid w:val="32042250"/>
    <w:rsid w:val="321527CA"/>
    <w:rsid w:val="32157102"/>
    <w:rsid w:val="321B1272"/>
    <w:rsid w:val="321D6002"/>
    <w:rsid w:val="322375C9"/>
    <w:rsid w:val="322540C3"/>
    <w:rsid w:val="322A57B4"/>
    <w:rsid w:val="322C7C99"/>
    <w:rsid w:val="322D2E1D"/>
    <w:rsid w:val="323030EB"/>
    <w:rsid w:val="323140BE"/>
    <w:rsid w:val="323818EF"/>
    <w:rsid w:val="3238789B"/>
    <w:rsid w:val="323F67E6"/>
    <w:rsid w:val="32401817"/>
    <w:rsid w:val="32456422"/>
    <w:rsid w:val="32463464"/>
    <w:rsid w:val="324811B9"/>
    <w:rsid w:val="3249620D"/>
    <w:rsid w:val="325008CF"/>
    <w:rsid w:val="325054AA"/>
    <w:rsid w:val="325356CF"/>
    <w:rsid w:val="32546CAB"/>
    <w:rsid w:val="32553439"/>
    <w:rsid w:val="32557AC5"/>
    <w:rsid w:val="325A2882"/>
    <w:rsid w:val="325D05D9"/>
    <w:rsid w:val="325E59BC"/>
    <w:rsid w:val="325F5EDD"/>
    <w:rsid w:val="32605F6D"/>
    <w:rsid w:val="32605F8D"/>
    <w:rsid w:val="32613BE5"/>
    <w:rsid w:val="32617D6B"/>
    <w:rsid w:val="326C118D"/>
    <w:rsid w:val="326D15EF"/>
    <w:rsid w:val="326F43CD"/>
    <w:rsid w:val="327521A7"/>
    <w:rsid w:val="32770B61"/>
    <w:rsid w:val="32773DC8"/>
    <w:rsid w:val="327A23FF"/>
    <w:rsid w:val="327D32B9"/>
    <w:rsid w:val="328F40F6"/>
    <w:rsid w:val="32910C66"/>
    <w:rsid w:val="32935D8F"/>
    <w:rsid w:val="32945B09"/>
    <w:rsid w:val="329617FC"/>
    <w:rsid w:val="329A5651"/>
    <w:rsid w:val="329E362E"/>
    <w:rsid w:val="32A02586"/>
    <w:rsid w:val="32A056FE"/>
    <w:rsid w:val="32A26B38"/>
    <w:rsid w:val="32A5178B"/>
    <w:rsid w:val="32A56D90"/>
    <w:rsid w:val="32A6294E"/>
    <w:rsid w:val="32A64CBC"/>
    <w:rsid w:val="32A66997"/>
    <w:rsid w:val="32A77327"/>
    <w:rsid w:val="32A86FB9"/>
    <w:rsid w:val="32AA0DEC"/>
    <w:rsid w:val="32AD2B29"/>
    <w:rsid w:val="32AE4A30"/>
    <w:rsid w:val="32B0670D"/>
    <w:rsid w:val="32BB49DF"/>
    <w:rsid w:val="32BE3169"/>
    <w:rsid w:val="32C000FD"/>
    <w:rsid w:val="32C16FE2"/>
    <w:rsid w:val="32C44627"/>
    <w:rsid w:val="32C649F1"/>
    <w:rsid w:val="32C7074A"/>
    <w:rsid w:val="32C80198"/>
    <w:rsid w:val="32C81647"/>
    <w:rsid w:val="32CA7A30"/>
    <w:rsid w:val="32CC4EB9"/>
    <w:rsid w:val="32D26A34"/>
    <w:rsid w:val="32D524DD"/>
    <w:rsid w:val="32DC6AE4"/>
    <w:rsid w:val="32DD7980"/>
    <w:rsid w:val="32E241AD"/>
    <w:rsid w:val="32E34AD5"/>
    <w:rsid w:val="32E4290B"/>
    <w:rsid w:val="32E76CFF"/>
    <w:rsid w:val="32ED22BB"/>
    <w:rsid w:val="32EF0BF4"/>
    <w:rsid w:val="32F002D2"/>
    <w:rsid w:val="32F371D2"/>
    <w:rsid w:val="32F44272"/>
    <w:rsid w:val="32F65B11"/>
    <w:rsid w:val="32F75F2A"/>
    <w:rsid w:val="32FA0E88"/>
    <w:rsid w:val="32FC7A87"/>
    <w:rsid w:val="32FD3F74"/>
    <w:rsid w:val="32FF6774"/>
    <w:rsid w:val="33037539"/>
    <w:rsid w:val="33053EF3"/>
    <w:rsid w:val="331C295C"/>
    <w:rsid w:val="3320786B"/>
    <w:rsid w:val="33210479"/>
    <w:rsid w:val="3328333A"/>
    <w:rsid w:val="332F17C2"/>
    <w:rsid w:val="33322300"/>
    <w:rsid w:val="33333390"/>
    <w:rsid w:val="33346FA4"/>
    <w:rsid w:val="33374B38"/>
    <w:rsid w:val="33393CD3"/>
    <w:rsid w:val="333B0733"/>
    <w:rsid w:val="33401D3C"/>
    <w:rsid w:val="33413CF9"/>
    <w:rsid w:val="33423CBC"/>
    <w:rsid w:val="33427228"/>
    <w:rsid w:val="334322DD"/>
    <w:rsid w:val="334835CE"/>
    <w:rsid w:val="334C7340"/>
    <w:rsid w:val="334F0239"/>
    <w:rsid w:val="33512647"/>
    <w:rsid w:val="335556CF"/>
    <w:rsid w:val="33574DC8"/>
    <w:rsid w:val="335D3F0A"/>
    <w:rsid w:val="33645D72"/>
    <w:rsid w:val="33656401"/>
    <w:rsid w:val="336B20BD"/>
    <w:rsid w:val="336F5172"/>
    <w:rsid w:val="33720376"/>
    <w:rsid w:val="337B2976"/>
    <w:rsid w:val="337D0725"/>
    <w:rsid w:val="3380195C"/>
    <w:rsid w:val="33802786"/>
    <w:rsid w:val="33843800"/>
    <w:rsid w:val="338832D2"/>
    <w:rsid w:val="33904ADE"/>
    <w:rsid w:val="339248BF"/>
    <w:rsid w:val="3395702A"/>
    <w:rsid w:val="339B1591"/>
    <w:rsid w:val="339B7A17"/>
    <w:rsid w:val="33A31790"/>
    <w:rsid w:val="33A54007"/>
    <w:rsid w:val="33A87444"/>
    <w:rsid w:val="33B06DD6"/>
    <w:rsid w:val="33BA31E4"/>
    <w:rsid w:val="33BA7A4D"/>
    <w:rsid w:val="33BE21E4"/>
    <w:rsid w:val="33BF32AB"/>
    <w:rsid w:val="33C66B43"/>
    <w:rsid w:val="33D121BB"/>
    <w:rsid w:val="33D24112"/>
    <w:rsid w:val="33D42178"/>
    <w:rsid w:val="33D5756B"/>
    <w:rsid w:val="33E16ADD"/>
    <w:rsid w:val="33E46840"/>
    <w:rsid w:val="33E65C15"/>
    <w:rsid w:val="33E853EA"/>
    <w:rsid w:val="33E876CB"/>
    <w:rsid w:val="33E91054"/>
    <w:rsid w:val="33E95436"/>
    <w:rsid w:val="33EA5602"/>
    <w:rsid w:val="33F316F7"/>
    <w:rsid w:val="33FC664F"/>
    <w:rsid w:val="33FD45E5"/>
    <w:rsid w:val="33FD5793"/>
    <w:rsid w:val="33FE200E"/>
    <w:rsid w:val="33FF2A30"/>
    <w:rsid w:val="34013C67"/>
    <w:rsid w:val="340749B3"/>
    <w:rsid w:val="340A5393"/>
    <w:rsid w:val="340B1D72"/>
    <w:rsid w:val="340C11AF"/>
    <w:rsid w:val="340D44F4"/>
    <w:rsid w:val="34122894"/>
    <w:rsid w:val="34187045"/>
    <w:rsid w:val="341D340D"/>
    <w:rsid w:val="341E2477"/>
    <w:rsid w:val="34216EA3"/>
    <w:rsid w:val="3425018F"/>
    <w:rsid w:val="342E5FBE"/>
    <w:rsid w:val="342F0850"/>
    <w:rsid w:val="34302732"/>
    <w:rsid w:val="343027DE"/>
    <w:rsid w:val="343945AD"/>
    <w:rsid w:val="343D0818"/>
    <w:rsid w:val="343F13BF"/>
    <w:rsid w:val="343F2840"/>
    <w:rsid w:val="34497AF7"/>
    <w:rsid w:val="344C0DC1"/>
    <w:rsid w:val="34543220"/>
    <w:rsid w:val="345840C4"/>
    <w:rsid w:val="345F3797"/>
    <w:rsid w:val="34642888"/>
    <w:rsid w:val="3464422C"/>
    <w:rsid w:val="34681FF8"/>
    <w:rsid w:val="346866BD"/>
    <w:rsid w:val="346E6526"/>
    <w:rsid w:val="347A4D00"/>
    <w:rsid w:val="347B0ADA"/>
    <w:rsid w:val="34812E64"/>
    <w:rsid w:val="34857249"/>
    <w:rsid w:val="34921AC3"/>
    <w:rsid w:val="34954F06"/>
    <w:rsid w:val="349C6212"/>
    <w:rsid w:val="34A04283"/>
    <w:rsid w:val="34A24DF3"/>
    <w:rsid w:val="34A5092B"/>
    <w:rsid w:val="34A87971"/>
    <w:rsid w:val="34AB4C09"/>
    <w:rsid w:val="34AD76EF"/>
    <w:rsid w:val="34AF149E"/>
    <w:rsid w:val="34B166C3"/>
    <w:rsid w:val="34B36E5D"/>
    <w:rsid w:val="34B52906"/>
    <w:rsid w:val="34B77D4B"/>
    <w:rsid w:val="34B9715E"/>
    <w:rsid w:val="34BB3860"/>
    <w:rsid w:val="34BB731D"/>
    <w:rsid w:val="34BC4B79"/>
    <w:rsid w:val="34BF10BA"/>
    <w:rsid w:val="34C54852"/>
    <w:rsid w:val="34C65334"/>
    <w:rsid w:val="34C97240"/>
    <w:rsid w:val="34D2432A"/>
    <w:rsid w:val="34D839DB"/>
    <w:rsid w:val="34D93A20"/>
    <w:rsid w:val="34DB749B"/>
    <w:rsid w:val="34DE79D3"/>
    <w:rsid w:val="34E05631"/>
    <w:rsid w:val="34E204E4"/>
    <w:rsid w:val="34E2735A"/>
    <w:rsid w:val="34E70B38"/>
    <w:rsid w:val="34EA6BEC"/>
    <w:rsid w:val="34EB076D"/>
    <w:rsid w:val="34ED24D4"/>
    <w:rsid w:val="34F02B49"/>
    <w:rsid w:val="34F0445A"/>
    <w:rsid w:val="34F05474"/>
    <w:rsid w:val="34F22975"/>
    <w:rsid w:val="34F52A33"/>
    <w:rsid w:val="34F839B1"/>
    <w:rsid w:val="34FB26FD"/>
    <w:rsid w:val="3502503E"/>
    <w:rsid w:val="350338D0"/>
    <w:rsid w:val="350559C3"/>
    <w:rsid w:val="3509355A"/>
    <w:rsid w:val="350D563E"/>
    <w:rsid w:val="35162DCF"/>
    <w:rsid w:val="35185C46"/>
    <w:rsid w:val="351A3804"/>
    <w:rsid w:val="351C4D0D"/>
    <w:rsid w:val="351D5329"/>
    <w:rsid w:val="35227774"/>
    <w:rsid w:val="35230B02"/>
    <w:rsid w:val="35234EC0"/>
    <w:rsid w:val="35266BEB"/>
    <w:rsid w:val="35272A79"/>
    <w:rsid w:val="352B0352"/>
    <w:rsid w:val="352B116C"/>
    <w:rsid w:val="352F10AD"/>
    <w:rsid w:val="353339BA"/>
    <w:rsid w:val="35372880"/>
    <w:rsid w:val="35375715"/>
    <w:rsid w:val="354025D8"/>
    <w:rsid w:val="35414A73"/>
    <w:rsid w:val="35452596"/>
    <w:rsid w:val="35461E58"/>
    <w:rsid w:val="354672E0"/>
    <w:rsid w:val="35481DFC"/>
    <w:rsid w:val="354B7043"/>
    <w:rsid w:val="355E554D"/>
    <w:rsid w:val="35653303"/>
    <w:rsid w:val="35667DDE"/>
    <w:rsid w:val="356A007B"/>
    <w:rsid w:val="356B4209"/>
    <w:rsid w:val="356C08BC"/>
    <w:rsid w:val="356C1B01"/>
    <w:rsid w:val="356C6F43"/>
    <w:rsid w:val="356D0C92"/>
    <w:rsid w:val="356F62B2"/>
    <w:rsid w:val="357056B5"/>
    <w:rsid w:val="35747DD4"/>
    <w:rsid w:val="35765F2E"/>
    <w:rsid w:val="35787B17"/>
    <w:rsid w:val="357C3BAD"/>
    <w:rsid w:val="35830B92"/>
    <w:rsid w:val="3585026B"/>
    <w:rsid w:val="3586081A"/>
    <w:rsid w:val="35867DE0"/>
    <w:rsid w:val="35884F18"/>
    <w:rsid w:val="358967A2"/>
    <w:rsid w:val="358B2F21"/>
    <w:rsid w:val="358E7F07"/>
    <w:rsid w:val="3590720F"/>
    <w:rsid w:val="359125BB"/>
    <w:rsid w:val="359C7C59"/>
    <w:rsid w:val="359E1D40"/>
    <w:rsid w:val="35A03168"/>
    <w:rsid w:val="35A0416B"/>
    <w:rsid w:val="35A07935"/>
    <w:rsid w:val="35A33589"/>
    <w:rsid w:val="35A60F5F"/>
    <w:rsid w:val="35A71388"/>
    <w:rsid w:val="35A82538"/>
    <w:rsid w:val="35A8616D"/>
    <w:rsid w:val="35A9462E"/>
    <w:rsid w:val="35B25FEC"/>
    <w:rsid w:val="35BD2B8A"/>
    <w:rsid w:val="35C02665"/>
    <w:rsid w:val="35C15DAB"/>
    <w:rsid w:val="35C3328F"/>
    <w:rsid w:val="35D60EA7"/>
    <w:rsid w:val="35D65104"/>
    <w:rsid w:val="35D751F0"/>
    <w:rsid w:val="35D84A36"/>
    <w:rsid w:val="35E3295A"/>
    <w:rsid w:val="35E54326"/>
    <w:rsid w:val="35E61DBF"/>
    <w:rsid w:val="35E86D3C"/>
    <w:rsid w:val="35EA1814"/>
    <w:rsid w:val="35EA6661"/>
    <w:rsid w:val="35F7671C"/>
    <w:rsid w:val="35F7792B"/>
    <w:rsid w:val="35F8242C"/>
    <w:rsid w:val="36002ED9"/>
    <w:rsid w:val="36012CF1"/>
    <w:rsid w:val="36064EA0"/>
    <w:rsid w:val="360A5A6D"/>
    <w:rsid w:val="360B63AA"/>
    <w:rsid w:val="360C6FA4"/>
    <w:rsid w:val="36106642"/>
    <w:rsid w:val="3610696E"/>
    <w:rsid w:val="362106C2"/>
    <w:rsid w:val="3621121C"/>
    <w:rsid w:val="362C56B3"/>
    <w:rsid w:val="363307EA"/>
    <w:rsid w:val="36406F77"/>
    <w:rsid w:val="36444A23"/>
    <w:rsid w:val="36466422"/>
    <w:rsid w:val="364B7B09"/>
    <w:rsid w:val="364B7B7E"/>
    <w:rsid w:val="364F059F"/>
    <w:rsid w:val="364F723F"/>
    <w:rsid w:val="36516E64"/>
    <w:rsid w:val="36556E04"/>
    <w:rsid w:val="365C0E7E"/>
    <w:rsid w:val="365E57ED"/>
    <w:rsid w:val="3662010C"/>
    <w:rsid w:val="366669B4"/>
    <w:rsid w:val="366932E1"/>
    <w:rsid w:val="366B28E0"/>
    <w:rsid w:val="36714A2A"/>
    <w:rsid w:val="36767AA1"/>
    <w:rsid w:val="367E5ADD"/>
    <w:rsid w:val="36831BEF"/>
    <w:rsid w:val="3684134C"/>
    <w:rsid w:val="36893DE5"/>
    <w:rsid w:val="36911337"/>
    <w:rsid w:val="36922BE2"/>
    <w:rsid w:val="36972B41"/>
    <w:rsid w:val="36972C68"/>
    <w:rsid w:val="369804C2"/>
    <w:rsid w:val="36981230"/>
    <w:rsid w:val="369B5631"/>
    <w:rsid w:val="369D710E"/>
    <w:rsid w:val="36A0317D"/>
    <w:rsid w:val="36B41D04"/>
    <w:rsid w:val="36B840DA"/>
    <w:rsid w:val="36C26D65"/>
    <w:rsid w:val="36C444AA"/>
    <w:rsid w:val="36C47DCA"/>
    <w:rsid w:val="36D72467"/>
    <w:rsid w:val="36DC2BB9"/>
    <w:rsid w:val="36DD3EAF"/>
    <w:rsid w:val="36E459C8"/>
    <w:rsid w:val="36E5439F"/>
    <w:rsid w:val="36E93E2E"/>
    <w:rsid w:val="36EA3ACF"/>
    <w:rsid w:val="36EF310B"/>
    <w:rsid w:val="36F20E6C"/>
    <w:rsid w:val="36F35276"/>
    <w:rsid w:val="36F60CE4"/>
    <w:rsid w:val="36FB7CA1"/>
    <w:rsid w:val="37022835"/>
    <w:rsid w:val="37024A04"/>
    <w:rsid w:val="37024F8C"/>
    <w:rsid w:val="370761C9"/>
    <w:rsid w:val="37085FAC"/>
    <w:rsid w:val="370C005D"/>
    <w:rsid w:val="370C2955"/>
    <w:rsid w:val="370F2508"/>
    <w:rsid w:val="3714301B"/>
    <w:rsid w:val="37152737"/>
    <w:rsid w:val="37165812"/>
    <w:rsid w:val="37194A07"/>
    <w:rsid w:val="371B4FC4"/>
    <w:rsid w:val="37267D9A"/>
    <w:rsid w:val="372C70B4"/>
    <w:rsid w:val="373622DA"/>
    <w:rsid w:val="37371F4E"/>
    <w:rsid w:val="373903E4"/>
    <w:rsid w:val="37390507"/>
    <w:rsid w:val="373A3512"/>
    <w:rsid w:val="373B2C53"/>
    <w:rsid w:val="373B4F05"/>
    <w:rsid w:val="373E6DE2"/>
    <w:rsid w:val="3741780C"/>
    <w:rsid w:val="37433ABD"/>
    <w:rsid w:val="37460593"/>
    <w:rsid w:val="37497B23"/>
    <w:rsid w:val="374A106B"/>
    <w:rsid w:val="37552BBB"/>
    <w:rsid w:val="375B3078"/>
    <w:rsid w:val="375B45A8"/>
    <w:rsid w:val="376D677F"/>
    <w:rsid w:val="37711689"/>
    <w:rsid w:val="3775009B"/>
    <w:rsid w:val="37750260"/>
    <w:rsid w:val="377C78B6"/>
    <w:rsid w:val="377D394C"/>
    <w:rsid w:val="377F1CC9"/>
    <w:rsid w:val="37823823"/>
    <w:rsid w:val="37862AA2"/>
    <w:rsid w:val="378B077C"/>
    <w:rsid w:val="378F0683"/>
    <w:rsid w:val="379206E7"/>
    <w:rsid w:val="37947028"/>
    <w:rsid w:val="379915DA"/>
    <w:rsid w:val="379B0BBB"/>
    <w:rsid w:val="37A10B5B"/>
    <w:rsid w:val="37A2516A"/>
    <w:rsid w:val="37A378C3"/>
    <w:rsid w:val="37A9043C"/>
    <w:rsid w:val="37AC6BFE"/>
    <w:rsid w:val="37AE1E7F"/>
    <w:rsid w:val="37AF1EB3"/>
    <w:rsid w:val="37B12508"/>
    <w:rsid w:val="37B34C4E"/>
    <w:rsid w:val="37B55BC3"/>
    <w:rsid w:val="37BB61F5"/>
    <w:rsid w:val="37C12F40"/>
    <w:rsid w:val="37C36F50"/>
    <w:rsid w:val="37CB44EE"/>
    <w:rsid w:val="37CC14C8"/>
    <w:rsid w:val="37CD09FD"/>
    <w:rsid w:val="37CF4211"/>
    <w:rsid w:val="37E44B3F"/>
    <w:rsid w:val="37E475A3"/>
    <w:rsid w:val="37E81C48"/>
    <w:rsid w:val="37EC6EDF"/>
    <w:rsid w:val="37F008EA"/>
    <w:rsid w:val="37F201C5"/>
    <w:rsid w:val="37F77337"/>
    <w:rsid w:val="37F91BFE"/>
    <w:rsid w:val="37FD5EEA"/>
    <w:rsid w:val="37FE65BB"/>
    <w:rsid w:val="38021AF1"/>
    <w:rsid w:val="380232C3"/>
    <w:rsid w:val="38040D6A"/>
    <w:rsid w:val="38071406"/>
    <w:rsid w:val="380B51C6"/>
    <w:rsid w:val="380C3E6C"/>
    <w:rsid w:val="380E4611"/>
    <w:rsid w:val="380F3788"/>
    <w:rsid w:val="38107ADC"/>
    <w:rsid w:val="38115033"/>
    <w:rsid w:val="381A5150"/>
    <w:rsid w:val="38267629"/>
    <w:rsid w:val="38272130"/>
    <w:rsid w:val="38276952"/>
    <w:rsid w:val="38276AD4"/>
    <w:rsid w:val="382A040F"/>
    <w:rsid w:val="382D4795"/>
    <w:rsid w:val="3832295D"/>
    <w:rsid w:val="383563F0"/>
    <w:rsid w:val="383913CB"/>
    <w:rsid w:val="383B1309"/>
    <w:rsid w:val="383B5502"/>
    <w:rsid w:val="383C4BC5"/>
    <w:rsid w:val="383D7E0C"/>
    <w:rsid w:val="383F135F"/>
    <w:rsid w:val="384A1EA5"/>
    <w:rsid w:val="384E1E02"/>
    <w:rsid w:val="38501E1C"/>
    <w:rsid w:val="38531674"/>
    <w:rsid w:val="38531926"/>
    <w:rsid w:val="3857366B"/>
    <w:rsid w:val="38575E49"/>
    <w:rsid w:val="38576DFB"/>
    <w:rsid w:val="38585E27"/>
    <w:rsid w:val="385A5F1C"/>
    <w:rsid w:val="385F3B36"/>
    <w:rsid w:val="38600F99"/>
    <w:rsid w:val="386C6E70"/>
    <w:rsid w:val="386E4BC6"/>
    <w:rsid w:val="387839EB"/>
    <w:rsid w:val="38797429"/>
    <w:rsid w:val="387B7036"/>
    <w:rsid w:val="387D3C9A"/>
    <w:rsid w:val="3882526B"/>
    <w:rsid w:val="388458DB"/>
    <w:rsid w:val="388774D6"/>
    <w:rsid w:val="388F06A2"/>
    <w:rsid w:val="38974591"/>
    <w:rsid w:val="389E45CA"/>
    <w:rsid w:val="38A0143D"/>
    <w:rsid w:val="38A24A9B"/>
    <w:rsid w:val="38A54401"/>
    <w:rsid w:val="38A67CB8"/>
    <w:rsid w:val="38A82039"/>
    <w:rsid w:val="38AA3CB3"/>
    <w:rsid w:val="38AC27B5"/>
    <w:rsid w:val="38B30B57"/>
    <w:rsid w:val="38B8344A"/>
    <w:rsid w:val="38BF05F4"/>
    <w:rsid w:val="38BF54F1"/>
    <w:rsid w:val="38CD18D6"/>
    <w:rsid w:val="38CF625B"/>
    <w:rsid w:val="38D15DF6"/>
    <w:rsid w:val="38D54192"/>
    <w:rsid w:val="38D83C07"/>
    <w:rsid w:val="38DC1BEA"/>
    <w:rsid w:val="38E15F4E"/>
    <w:rsid w:val="38E94799"/>
    <w:rsid w:val="38ED32E0"/>
    <w:rsid w:val="38EE0788"/>
    <w:rsid w:val="38EE2F46"/>
    <w:rsid w:val="38EF530F"/>
    <w:rsid w:val="38F7532D"/>
    <w:rsid w:val="38F82F85"/>
    <w:rsid w:val="38F97BD3"/>
    <w:rsid w:val="38FA382E"/>
    <w:rsid w:val="38FD2B69"/>
    <w:rsid w:val="38FF1B81"/>
    <w:rsid w:val="38FF5C53"/>
    <w:rsid w:val="39005FEE"/>
    <w:rsid w:val="39047AFC"/>
    <w:rsid w:val="39055A19"/>
    <w:rsid w:val="390A700E"/>
    <w:rsid w:val="390C5DF3"/>
    <w:rsid w:val="39116FA1"/>
    <w:rsid w:val="39174A2A"/>
    <w:rsid w:val="39215381"/>
    <w:rsid w:val="392859F1"/>
    <w:rsid w:val="392F0242"/>
    <w:rsid w:val="393006F4"/>
    <w:rsid w:val="39380EB3"/>
    <w:rsid w:val="393A2E9F"/>
    <w:rsid w:val="393B1607"/>
    <w:rsid w:val="393C391C"/>
    <w:rsid w:val="393F60E9"/>
    <w:rsid w:val="394A441C"/>
    <w:rsid w:val="394A7E10"/>
    <w:rsid w:val="39504A5D"/>
    <w:rsid w:val="395436C9"/>
    <w:rsid w:val="39647FF7"/>
    <w:rsid w:val="39653AB0"/>
    <w:rsid w:val="39665D19"/>
    <w:rsid w:val="39675ACC"/>
    <w:rsid w:val="3968429E"/>
    <w:rsid w:val="396D1F45"/>
    <w:rsid w:val="397156B2"/>
    <w:rsid w:val="39737FC1"/>
    <w:rsid w:val="39750CD7"/>
    <w:rsid w:val="39755E09"/>
    <w:rsid w:val="39854D34"/>
    <w:rsid w:val="39855A24"/>
    <w:rsid w:val="39873B66"/>
    <w:rsid w:val="398A6C08"/>
    <w:rsid w:val="39906B36"/>
    <w:rsid w:val="39907BD3"/>
    <w:rsid w:val="39911DEB"/>
    <w:rsid w:val="39913847"/>
    <w:rsid w:val="39923CA6"/>
    <w:rsid w:val="39932735"/>
    <w:rsid w:val="39942244"/>
    <w:rsid w:val="399A4949"/>
    <w:rsid w:val="399F7EA6"/>
    <w:rsid w:val="39A0365E"/>
    <w:rsid w:val="39A71789"/>
    <w:rsid w:val="39A93E9E"/>
    <w:rsid w:val="39AA13C4"/>
    <w:rsid w:val="39AB4F94"/>
    <w:rsid w:val="39AB744A"/>
    <w:rsid w:val="39AC52B4"/>
    <w:rsid w:val="39B03A30"/>
    <w:rsid w:val="39B078B0"/>
    <w:rsid w:val="39B76370"/>
    <w:rsid w:val="39B7762D"/>
    <w:rsid w:val="39BA372F"/>
    <w:rsid w:val="39BB14D2"/>
    <w:rsid w:val="39BB42D1"/>
    <w:rsid w:val="39BD7341"/>
    <w:rsid w:val="39BF7E32"/>
    <w:rsid w:val="39C55582"/>
    <w:rsid w:val="39CB2962"/>
    <w:rsid w:val="39CE383A"/>
    <w:rsid w:val="39CF6E93"/>
    <w:rsid w:val="39D007F7"/>
    <w:rsid w:val="39D4513E"/>
    <w:rsid w:val="39D83444"/>
    <w:rsid w:val="39D8403E"/>
    <w:rsid w:val="39DC14CE"/>
    <w:rsid w:val="39DF63CB"/>
    <w:rsid w:val="39E74AE6"/>
    <w:rsid w:val="39EA7F63"/>
    <w:rsid w:val="39EB519E"/>
    <w:rsid w:val="39F44246"/>
    <w:rsid w:val="39F641EA"/>
    <w:rsid w:val="39F67F1D"/>
    <w:rsid w:val="3A005240"/>
    <w:rsid w:val="3A020208"/>
    <w:rsid w:val="3A037AD6"/>
    <w:rsid w:val="3A04021B"/>
    <w:rsid w:val="3A0914D7"/>
    <w:rsid w:val="3A0C450F"/>
    <w:rsid w:val="3A0D64E5"/>
    <w:rsid w:val="3A107706"/>
    <w:rsid w:val="3A171D46"/>
    <w:rsid w:val="3A196D77"/>
    <w:rsid w:val="3A222317"/>
    <w:rsid w:val="3A23740C"/>
    <w:rsid w:val="3A24443C"/>
    <w:rsid w:val="3A27372D"/>
    <w:rsid w:val="3A294A91"/>
    <w:rsid w:val="3A2952E8"/>
    <w:rsid w:val="3A295D48"/>
    <w:rsid w:val="3A2B5B4D"/>
    <w:rsid w:val="3A312E01"/>
    <w:rsid w:val="3A322975"/>
    <w:rsid w:val="3A331BC7"/>
    <w:rsid w:val="3A391EE8"/>
    <w:rsid w:val="3A397178"/>
    <w:rsid w:val="3A3A17AE"/>
    <w:rsid w:val="3A3B1337"/>
    <w:rsid w:val="3A3C1342"/>
    <w:rsid w:val="3A3D3322"/>
    <w:rsid w:val="3A3D3FD0"/>
    <w:rsid w:val="3A3F3CA5"/>
    <w:rsid w:val="3A3F4A2A"/>
    <w:rsid w:val="3A43746B"/>
    <w:rsid w:val="3A456819"/>
    <w:rsid w:val="3A4C66AB"/>
    <w:rsid w:val="3A4D3898"/>
    <w:rsid w:val="3A4E1F9C"/>
    <w:rsid w:val="3A513E0F"/>
    <w:rsid w:val="3A583284"/>
    <w:rsid w:val="3A5A4597"/>
    <w:rsid w:val="3A5F3817"/>
    <w:rsid w:val="3A643604"/>
    <w:rsid w:val="3A651312"/>
    <w:rsid w:val="3A687D66"/>
    <w:rsid w:val="3A6C2C1F"/>
    <w:rsid w:val="3A732242"/>
    <w:rsid w:val="3A751332"/>
    <w:rsid w:val="3A795B25"/>
    <w:rsid w:val="3A797003"/>
    <w:rsid w:val="3A7C0526"/>
    <w:rsid w:val="3A7E6DA0"/>
    <w:rsid w:val="3A7F0689"/>
    <w:rsid w:val="3A817E30"/>
    <w:rsid w:val="3A8D11E5"/>
    <w:rsid w:val="3A9144FB"/>
    <w:rsid w:val="3A9161B8"/>
    <w:rsid w:val="3A943246"/>
    <w:rsid w:val="3A947BEE"/>
    <w:rsid w:val="3A953FD8"/>
    <w:rsid w:val="3A9571E4"/>
    <w:rsid w:val="3A977A05"/>
    <w:rsid w:val="3A985523"/>
    <w:rsid w:val="3A9B7E74"/>
    <w:rsid w:val="3A9E38B5"/>
    <w:rsid w:val="3A9E7D19"/>
    <w:rsid w:val="3AA169A6"/>
    <w:rsid w:val="3AA83B0E"/>
    <w:rsid w:val="3AA83BC3"/>
    <w:rsid w:val="3AAB18E9"/>
    <w:rsid w:val="3AAB2F0C"/>
    <w:rsid w:val="3AAD5BC8"/>
    <w:rsid w:val="3AAF5D14"/>
    <w:rsid w:val="3AB04CC5"/>
    <w:rsid w:val="3AB1371A"/>
    <w:rsid w:val="3AB241B5"/>
    <w:rsid w:val="3AB52E37"/>
    <w:rsid w:val="3AB67A9C"/>
    <w:rsid w:val="3ABB0945"/>
    <w:rsid w:val="3ABE4745"/>
    <w:rsid w:val="3ABF428A"/>
    <w:rsid w:val="3AC327C1"/>
    <w:rsid w:val="3AC40906"/>
    <w:rsid w:val="3ACE4CDE"/>
    <w:rsid w:val="3AD42FA8"/>
    <w:rsid w:val="3AD51554"/>
    <w:rsid w:val="3AD929B6"/>
    <w:rsid w:val="3AE15C2A"/>
    <w:rsid w:val="3AE329DF"/>
    <w:rsid w:val="3AE40004"/>
    <w:rsid w:val="3AE67466"/>
    <w:rsid w:val="3AED41AB"/>
    <w:rsid w:val="3AF8011C"/>
    <w:rsid w:val="3AFA65A3"/>
    <w:rsid w:val="3AFE5CFE"/>
    <w:rsid w:val="3AFE66E9"/>
    <w:rsid w:val="3B02721C"/>
    <w:rsid w:val="3B05577B"/>
    <w:rsid w:val="3B085E50"/>
    <w:rsid w:val="3B0A71C2"/>
    <w:rsid w:val="3B10590D"/>
    <w:rsid w:val="3B164F8F"/>
    <w:rsid w:val="3B1738F7"/>
    <w:rsid w:val="3B182AA2"/>
    <w:rsid w:val="3B195D8B"/>
    <w:rsid w:val="3B1A206B"/>
    <w:rsid w:val="3B1B1609"/>
    <w:rsid w:val="3B1D37A5"/>
    <w:rsid w:val="3B222408"/>
    <w:rsid w:val="3B2615FC"/>
    <w:rsid w:val="3B263535"/>
    <w:rsid w:val="3B264DED"/>
    <w:rsid w:val="3B271EE4"/>
    <w:rsid w:val="3B2F1C6F"/>
    <w:rsid w:val="3B315AB3"/>
    <w:rsid w:val="3B365B96"/>
    <w:rsid w:val="3B4004BA"/>
    <w:rsid w:val="3B4173DA"/>
    <w:rsid w:val="3B432A64"/>
    <w:rsid w:val="3B4340D1"/>
    <w:rsid w:val="3B453FB7"/>
    <w:rsid w:val="3B461352"/>
    <w:rsid w:val="3B480D71"/>
    <w:rsid w:val="3B486E07"/>
    <w:rsid w:val="3B59675D"/>
    <w:rsid w:val="3B62732D"/>
    <w:rsid w:val="3B661A43"/>
    <w:rsid w:val="3B6844A6"/>
    <w:rsid w:val="3B6B6390"/>
    <w:rsid w:val="3B6D624F"/>
    <w:rsid w:val="3B6E0559"/>
    <w:rsid w:val="3B6F1EAF"/>
    <w:rsid w:val="3B704DDA"/>
    <w:rsid w:val="3B70789F"/>
    <w:rsid w:val="3B720EA9"/>
    <w:rsid w:val="3B736E58"/>
    <w:rsid w:val="3B7724C9"/>
    <w:rsid w:val="3B7B01E4"/>
    <w:rsid w:val="3B820D94"/>
    <w:rsid w:val="3B851C2B"/>
    <w:rsid w:val="3B8D38EB"/>
    <w:rsid w:val="3B9572D0"/>
    <w:rsid w:val="3B986520"/>
    <w:rsid w:val="3B987E78"/>
    <w:rsid w:val="3B9A72CB"/>
    <w:rsid w:val="3B9E2944"/>
    <w:rsid w:val="3BA2349D"/>
    <w:rsid w:val="3BA32567"/>
    <w:rsid w:val="3BA45222"/>
    <w:rsid w:val="3BA85C13"/>
    <w:rsid w:val="3BAF5495"/>
    <w:rsid w:val="3BB23977"/>
    <w:rsid w:val="3BB472A1"/>
    <w:rsid w:val="3BC44FF8"/>
    <w:rsid w:val="3BC65F7A"/>
    <w:rsid w:val="3BC70D2B"/>
    <w:rsid w:val="3BC76D80"/>
    <w:rsid w:val="3BCB419E"/>
    <w:rsid w:val="3BD01CF4"/>
    <w:rsid w:val="3BD421CF"/>
    <w:rsid w:val="3BD61330"/>
    <w:rsid w:val="3BD70703"/>
    <w:rsid w:val="3BD76D2B"/>
    <w:rsid w:val="3BDE4679"/>
    <w:rsid w:val="3BE052AD"/>
    <w:rsid w:val="3BE2529B"/>
    <w:rsid w:val="3BEE05CE"/>
    <w:rsid w:val="3BEE0BAD"/>
    <w:rsid w:val="3BF04BE6"/>
    <w:rsid w:val="3BF10041"/>
    <w:rsid w:val="3BF437F4"/>
    <w:rsid w:val="3BF45CFE"/>
    <w:rsid w:val="3BF50468"/>
    <w:rsid w:val="3BF56634"/>
    <w:rsid w:val="3BFC365D"/>
    <w:rsid w:val="3C002792"/>
    <w:rsid w:val="3C085C18"/>
    <w:rsid w:val="3C115725"/>
    <w:rsid w:val="3C1438DE"/>
    <w:rsid w:val="3C19003F"/>
    <w:rsid w:val="3C1C2102"/>
    <w:rsid w:val="3C1C34F3"/>
    <w:rsid w:val="3C1F46CC"/>
    <w:rsid w:val="3C2607A6"/>
    <w:rsid w:val="3C2B3624"/>
    <w:rsid w:val="3C2B750D"/>
    <w:rsid w:val="3C2E25C5"/>
    <w:rsid w:val="3C306E98"/>
    <w:rsid w:val="3C337E28"/>
    <w:rsid w:val="3C3B785C"/>
    <w:rsid w:val="3C3E566F"/>
    <w:rsid w:val="3C3F5CFB"/>
    <w:rsid w:val="3C422DC0"/>
    <w:rsid w:val="3C4954A4"/>
    <w:rsid w:val="3C4D2855"/>
    <w:rsid w:val="3C5319DD"/>
    <w:rsid w:val="3C532A1B"/>
    <w:rsid w:val="3C533BE4"/>
    <w:rsid w:val="3C544585"/>
    <w:rsid w:val="3C5F0A06"/>
    <w:rsid w:val="3C614D20"/>
    <w:rsid w:val="3C654FB1"/>
    <w:rsid w:val="3C6C2E36"/>
    <w:rsid w:val="3C6E11FF"/>
    <w:rsid w:val="3C6F23C8"/>
    <w:rsid w:val="3C6F3D0A"/>
    <w:rsid w:val="3C6F54AA"/>
    <w:rsid w:val="3C744D85"/>
    <w:rsid w:val="3C7558ED"/>
    <w:rsid w:val="3C7A389C"/>
    <w:rsid w:val="3C7C1760"/>
    <w:rsid w:val="3C7E01A6"/>
    <w:rsid w:val="3C81701A"/>
    <w:rsid w:val="3C8B37EF"/>
    <w:rsid w:val="3C95755B"/>
    <w:rsid w:val="3C9A4798"/>
    <w:rsid w:val="3CA253C6"/>
    <w:rsid w:val="3CA7746B"/>
    <w:rsid w:val="3CAE138C"/>
    <w:rsid w:val="3CAF6C04"/>
    <w:rsid w:val="3CB10A3B"/>
    <w:rsid w:val="3CB114A9"/>
    <w:rsid w:val="3CB1455B"/>
    <w:rsid w:val="3CB314DF"/>
    <w:rsid w:val="3CB3165C"/>
    <w:rsid w:val="3CB735CB"/>
    <w:rsid w:val="3CBB76B3"/>
    <w:rsid w:val="3CC07056"/>
    <w:rsid w:val="3CC5752E"/>
    <w:rsid w:val="3CC92973"/>
    <w:rsid w:val="3CC9550E"/>
    <w:rsid w:val="3CCA03DB"/>
    <w:rsid w:val="3CD26C6B"/>
    <w:rsid w:val="3CD55196"/>
    <w:rsid w:val="3CD57D82"/>
    <w:rsid w:val="3CDD519D"/>
    <w:rsid w:val="3CDF36A0"/>
    <w:rsid w:val="3CE3439F"/>
    <w:rsid w:val="3CE54E2C"/>
    <w:rsid w:val="3CE75D16"/>
    <w:rsid w:val="3CEB47A8"/>
    <w:rsid w:val="3CED10B9"/>
    <w:rsid w:val="3CF074B5"/>
    <w:rsid w:val="3CF30106"/>
    <w:rsid w:val="3CF34454"/>
    <w:rsid w:val="3CF94211"/>
    <w:rsid w:val="3CFF18D8"/>
    <w:rsid w:val="3D0239D5"/>
    <w:rsid w:val="3D05611B"/>
    <w:rsid w:val="3D0737BC"/>
    <w:rsid w:val="3D0B6AF6"/>
    <w:rsid w:val="3D0B6F54"/>
    <w:rsid w:val="3D0B72EC"/>
    <w:rsid w:val="3D0C5E68"/>
    <w:rsid w:val="3D0E3214"/>
    <w:rsid w:val="3D0F75AE"/>
    <w:rsid w:val="3D1042F3"/>
    <w:rsid w:val="3D18372B"/>
    <w:rsid w:val="3D1873ED"/>
    <w:rsid w:val="3D191F1F"/>
    <w:rsid w:val="3D1D31EF"/>
    <w:rsid w:val="3D255C85"/>
    <w:rsid w:val="3D280A50"/>
    <w:rsid w:val="3D2B2140"/>
    <w:rsid w:val="3D2D2DFD"/>
    <w:rsid w:val="3D31502E"/>
    <w:rsid w:val="3D343D38"/>
    <w:rsid w:val="3D3624CD"/>
    <w:rsid w:val="3D3C294C"/>
    <w:rsid w:val="3D435CEC"/>
    <w:rsid w:val="3D4362D3"/>
    <w:rsid w:val="3D436A05"/>
    <w:rsid w:val="3D441411"/>
    <w:rsid w:val="3D461B89"/>
    <w:rsid w:val="3D49475D"/>
    <w:rsid w:val="3D4A32EB"/>
    <w:rsid w:val="3D4B6E44"/>
    <w:rsid w:val="3D4F3C0C"/>
    <w:rsid w:val="3D5107DF"/>
    <w:rsid w:val="3D531C17"/>
    <w:rsid w:val="3D59031A"/>
    <w:rsid w:val="3D5E3C3D"/>
    <w:rsid w:val="3D5E5854"/>
    <w:rsid w:val="3D665201"/>
    <w:rsid w:val="3D693FF7"/>
    <w:rsid w:val="3D7456B7"/>
    <w:rsid w:val="3D753AF0"/>
    <w:rsid w:val="3D772A4F"/>
    <w:rsid w:val="3D805B93"/>
    <w:rsid w:val="3D813C84"/>
    <w:rsid w:val="3D836938"/>
    <w:rsid w:val="3D892E65"/>
    <w:rsid w:val="3D8C5B3A"/>
    <w:rsid w:val="3D8D269B"/>
    <w:rsid w:val="3D8E488A"/>
    <w:rsid w:val="3D8E7645"/>
    <w:rsid w:val="3D8F3095"/>
    <w:rsid w:val="3D91275B"/>
    <w:rsid w:val="3D936054"/>
    <w:rsid w:val="3D957265"/>
    <w:rsid w:val="3D9873CB"/>
    <w:rsid w:val="3D9A1416"/>
    <w:rsid w:val="3D9A6CFF"/>
    <w:rsid w:val="3D9B051B"/>
    <w:rsid w:val="3D9C0700"/>
    <w:rsid w:val="3DA566BD"/>
    <w:rsid w:val="3DAF7B34"/>
    <w:rsid w:val="3DB15CC1"/>
    <w:rsid w:val="3DB25D42"/>
    <w:rsid w:val="3DB418E2"/>
    <w:rsid w:val="3DBC29AE"/>
    <w:rsid w:val="3DBD1D07"/>
    <w:rsid w:val="3DC9513F"/>
    <w:rsid w:val="3DCB6964"/>
    <w:rsid w:val="3DCC63CF"/>
    <w:rsid w:val="3DD02F39"/>
    <w:rsid w:val="3DD02FE0"/>
    <w:rsid w:val="3DD653B3"/>
    <w:rsid w:val="3DD7421F"/>
    <w:rsid w:val="3DD8266E"/>
    <w:rsid w:val="3DD840A2"/>
    <w:rsid w:val="3DDA0E20"/>
    <w:rsid w:val="3DDF6BFA"/>
    <w:rsid w:val="3DE1562A"/>
    <w:rsid w:val="3DE23C45"/>
    <w:rsid w:val="3DE276D3"/>
    <w:rsid w:val="3DE60A5A"/>
    <w:rsid w:val="3DE72C39"/>
    <w:rsid w:val="3DE82A88"/>
    <w:rsid w:val="3DEA56D7"/>
    <w:rsid w:val="3DEB0B4C"/>
    <w:rsid w:val="3DED7955"/>
    <w:rsid w:val="3DF70B14"/>
    <w:rsid w:val="3DF75E83"/>
    <w:rsid w:val="3DFF346D"/>
    <w:rsid w:val="3DFF509F"/>
    <w:rsid w:val="3E0328F8"/>
    <w:rsid w:val="3E035A1A"/>
    <w:rsid w:val="3E0C3EF1"/>
    <w:rsid w:val="3E1029C3"/>
    <w:rsid w:val="3E157542"/>
    <w:rsid w:val="3E164DAF"/>
    <w:rsid w:val="3E183C76"/>
    <w:rsid w:val="3E185CDF"/>
    <w:rsid w:val="3E1F08C3"/>
    <w:rsid w:val="3E2169C3"/>
    <w:rsid w:val="3E275AB5"/>
    <w:rsid w:val="3E282BDF"/>
    <w:rsid w:val="3E293F06"/>
    <w:rsid w:val="3E2B5FBC"/>
    <w:rsid w:val="3E322F5D"/>
    <w:rsid w:val="3E331A32"/>
    <w:rsid w:val="3E3A3518"/>
    <w:rsid w:val="3E3B3AF4"/>
    <w:rsid w:val="3E3E3FD9"/>
    <w:rsid w:val="3E42596C"/>
    <w:rsid w:val="3E440383"/>
    <w:rsid w:val="3E4528B5"/>
    <w:rsid w:val="3E470B37"/>
    <w:rsid w:val="3E522D63"/>
    <w:rsid w:val="3E527EBB"/>
    <w:rsid w:val="3E544C8F"/>
    <w:rsid w:val="3E552527"/>
    <w:rsid w:val="3E555647"/>
    <w:rsid w:val="3E566B64"/>
    <w:rsid w:val="3E5D294E"/>
    <w:rsid w:val="3E5E7F64"/>
    <w:rsid w:val="3E62732C"/>
    <w:rsid w:val="3E6D70C4"/>
    <w:rsid w:val="3E736558"/>
    <w:rsid w:val="3E7667F2"/>
    <w:rsid w:val="3E790858"/>
    <w:rsid w:val="3E7A150C"/>
    <w:rsid w:val="3E7B4F68"/>
    <w:rsid w:val="3E876664"/>
    <w:rsid w:val="3E9067B6"/>
    <w:rsid w:val="3E92315D"/>
    <w:rsid w:val="3E93137F"/>
    <w:rsid w:val="3E9B44A7"/>
    <w:rsid w:val="3E9E43C4"/>
    <w:rsid w:val="3EA00F67"/>
    <w:rsid w:val="3EA15C7F"/>
    <w:rsid w:val="3EA838D0"/>
    <w:rsid w:val="3EA9426F"/>
    <w:rsid w:val="3EAB15A6"/>
    <w:rsid w:val="3EAB1878"/>
    <w:rsid w:val="3EAC46CB"/>
    <w:rsid w:val="3EB2081D"/>
    <w:rsid w:val="3EB91E31"/>
    <w:rsid w:val="3EB9368A"/>
    <w:rsid w:val="3EBF58A9"/>
    <w:rsid w:val="3EC00F5B"/>
    <w:rsid w:val="3EC25055"/>
    <w:rsid w:val="3EC679F4"/>
    <w:rsid w:val="3EC77CAF"/>
    <w:rsid w:val="3ED4262D"/>
    <w:rsid w:val="3ED6011D"/>
    <w:rsid w:val="3EDB6279"/>
    <w:rsid w:val="3EDF2CE4"/>
    <w:rsid w:val="3EE2080E"/>
    <w:rsid w:val="3EE303CE"/>
    <w:rsid w:val="3EE62CE1"/>
    <w:rsid w:val="3EE7703C"/>
    <w:rsid w:val="3EE87E0F"/>
    <w:rsid w:val="3EE91DDE"/>
    <w:rsid w:val="3EEA161D"/>
    <w:rsid w:val="3EEC1141"/>
    <w:rsid w:val="3EED3279"/>
    <w:rsid w:val="3EF2025D"/>
    <w:rsid w:val="3EF23DEE"/>
    <w:rsid w:val="3EF373B3"/>
    <w:rsid w:val="3EF751E0"/>
    <w:rsid w:val="3EFA62A8"/>
    <w:rsid w:val="3EFC7B4E"/>
    <w:rsid w:val="3F0030E3"/>
    <w:rsid w:val="3F035B0F"/>
    <w:rsid w:val="3F0907EB"/>
    <w:rsid w:val="3F110D12"/>
    <w:rsid w:val="3F1314B5"/>
    <w:rsid w:val="3F1466B6"/>
    <w:rsid w:val="3F165FA3"/>
    <w:rsid w:val="3F1A3006"/>
    <w:rsid w:val="3F1D6536"/>
    <w:rsid w:val="3F3224C4"/>
    <w:rsid w:val="3F334C2D"/>
    <w:rsid w:val="3F3547E3"/>
    <w:rsid w:val="3F367105"/>
    <w:rsid w:val="3F3B6F38"/>
    <w:rsid w:val="3F3E3276"/>
    <w:rsid w:val="3F3F7700"/>
    <w:rsid w:val="3F421A6D"/>
    <w:rsid w:val="3F4B533D"/>
    <w:rsid w:val="3F4D5E68"/>
    <w:rsid w:val="3F4E43C5"/>
    <w:rsid w:val="3F4F570A"/>
    <w:rsid w:val="3F530D95"/>
    <w:rsid w:val="3F532FB9"/>
    <w:rsid w:val="3F561804"/>
    <w:rsid w:val="3F5B2B2C"/>
    <w:rsid w:val="3F5F79CE"/>
    <w:rsid w:val="3F623DEB"/>
    <w:rsid w:val="3F676661"/>
    <w:rsid w:val="3F6D48D2"/>
    <w:rsid w:val="3F6F47CA"/>
    <w:rsid w:val="3F710A3D"/>
    <w:rsid w:val="3F724708"/>
    <w:rsid w:val="3F752D48"/>
    <w:rsid w:val="3F7815BE"/>
    <w:rsid w:val="3F7C2B9C"/>
    <w:rsid w:val="3F7E582A"/>
    <w:rsid w:val="3F894CFC"/>
    <w:rsid w:val="3F8C2E52"/>
    <w:rsid w:val="3F8D202F"/>
    <w:rsid w:val="3F8D39CF"/>
    <w:rsid w:val="3F923994"/>
    <w:rsid w:val="3F926920"/>
    <w:rsid w:val="3F985070"/>
    <w:rsid w:val="3F9C3A4F"/>
    <w:rsid w:val="3F9E4A1C"/>
    <w:rsid w:val="3FA34B0D"/>
    <w:rsid w:val="3FA97EA0"/>
    <w:rsid w:val="3FAA3801"/>
    <w:rsid w:val="3FAA4A36"/>
    <w:rsid w:val="3FAB1686"/>
    <w:rsid w:val="3FAE44DD"/>
    <w:rsid w:val="3FAF19EC"/>
    <w:rsid w:val="3FB02383"/>
    <w:rsid w:val="3FB031E5"/>
    <w:rsid w:val="3FB302D2"/>
    <w:rsid w:val="3FB93049"/>
    <w:rsid w:val="3FBA46E4"/>
    <w:rsid w:val="3FBD77DF"/>
    <w:rsid w:val="3FBE70B2"/>
    <w:rsid w:val="3FBF701F"/>
    <w:rsid w:val="3FC27CB1"/>
    <w:rsid w:val="3FC6079F"/>
    <w:rsid w:val="3FC9708A"/>
    <w:rsid w:val="3FCA69EC"/>
    <w:rsid w:val="3FD16F51"/>
    <w:rsid w:val="3FD17D45"/>
    <w:rsid w:val="3FD41304"/>
    <w:rsid w:val="3FD4221C"/>
    <w:rsid w:val="3FD50C03"/>
    <w:rsid w:val="3FD762C5"/>
    <w:rsid w:val="3FD76A2F"/>
    <w:rsid w:val="3FD8428D"/>
    <w:rsid w:val="3FDB3699"/>
    <w:rsid w:val="3FDC457B"/>
    <w:rsid w:val="3FDF382B"/>
    <w:rsid w:val="3FE3505E"/>
    <w:rsid w:val="3FE45199"/>
    <w:rsid w:val="3FE45D81"/>
    <w:rsid w:val="3FE85183"/>
    <w:rsid w:val="3FE95635"/>
    <w:rsid w:val="3FEA1F34"/>
    <w:rsid w:val="3FEA240E"/>
    <w:rsid w:val="3FEC06CF"/>
    <w:rsid w:val="3FF15E78"/>
    <w:rsid w:val="3FF7293D"/>
    <w:rsid w:val="3FF90101"/>
    <w:rsid w:val="3FFA3D6E"/>
    <w:rsid w:val="3FFC20BC"/>
    <w:rsid w:val="3FFD0333"/>
    <w:rsid w:val="3FFD0668"/>
    <w:rsid w:val="3FFE42D7"/>
    <w:rsid w:val="40000D6D"/>
    <w:rsid w:val="40030515"/>
    <w:rsid w:val="40031742"/>
    <w:rsid w:val="40047F91"/>
    <w:rsid w:val="4005384A"/>
    <w:rsid w:val="40054524"/>
    <w:rsid w:val="40063E9F"/>
    <w:rsid w:val="400A111E"/>
    <w:rsid w:val="400C011E"/>
    <w:rsid w:val="4011259A"/>
    <w:rsid w:val="40130899"/>
    <w:rsid w:val="401760C7"/>
    <w:rsid w:val="401D2775"/>
    <w:rsid w:val="40250C39"/>
    <w:rsid w:val="40265539"/>
    <w:rsid w:val="402E5072"/>
    <w:rsid w:val="40330F42"/>
    <w:rsid w:val="40405C50"/>
    <w:rsid w:val="40407D47"/>
    <w:rsid w:val="40434A74"/>
    <w:rsid w:val="404A2D16"/>
    <w:rsid w:val="404B5617"/>
    <w:rsid w:val="404C3DDC"/>
    <w:rsid w:val="40524DFE"/>
    <w:rsid w:val="40524FDA"/>
    <w:rsid w:val="40545CA7"/>
    <w:rsid w:val="405D60BB"/>
    <w:rsid w:val="40635BEB"/>
    <w:rsid w:val="40671644"/>
    <w:rsid w:val="40673570"/>
    <w:rsid w:val="40692B30"/>
    <w:rsid w:val="406969BE"/>
    <w:rsid w:val="406A49EF"/>
    <w:rsid w:val="406A7328"/>
    <w:rsid w:val="406D69EF"/>
    <w:rsid w:val="406F4DA0"/>
    <w:rsid w:val="40737C0C"/>
    <w:rsid w:val="407E3FD5"/>
    <w:rsid w:val="407F5258"/>
    <w:rsid w:val="40800B59"/>
    <w:rsid w:val="4080774F"/>
    <w:rsid w:val="408256F8"/>
    <w:rsid w:val="40867F17"/>
    <w:rsid w:val="4087574B"/>
    <w:rsid w:val="4089088A"/>
    <w:rsid w:val="409544C0"/>
    <w:rsid w:val="409C488E"/>
    <w:rsid w:val="409F3D8E"/>
    <w:rsid w:val="40A5554B"/>
    <w:rsid w:val="40AC0EA3"/>
    <w:rsid w:val="40AE62D2"/>
    <w:rsid w:val="40B0333B"/>
    <w:rsid w:val="40B461C3"/>
    <w:rsid w:val="40C20DDB"/>
    <w:rsid w:val="40C5150D"/>
    <w:rsid w:val="40C86891"/>
    <w:rsid w:val="40CE25F9"/>
    <w:rsid w:val="40D073B6"/>
    <w:rsid w:val="40D1673A"/>
    <w:rsid w:val="40D31EF1"/>
    <w:rsid w:val="40D45C43"/>
    <w:rsid w:val="40DE2D56"/>
    <w:rsid w:val="40DE72C6"/>
    <w:rsid w:val="40DF4951"/>
    <w:rsid w:val="40DF5695"/>
    <w:rsid w:val="40E14BC0"/>
    <w:rsid w:val="40E14BE9"/>
    <w:rsid w:val="40E27200"/>
    <w:rsid w:val="40E85A3D"/>
    <w:rsid w:val="40EB555D"/>
    <w:rsid w:val="40ED26CD"/>
    <w:rsid w:val="40EE0DB7"/>
    <w:rsid w:val="40F047FA"/>
    <w:rsid w:val="40F27CE4"/>
    <w:rsid w:val="40F352B6"/>
    <w:rsid w:val="40F36FF0"/>
    <w:rsid w:val="40F860F2"/>
    <w:rsid w:val="40FB64AC"/>
    <w:rsid w:val="40FD3B7E"/>
    <w:rsid w:val="41013A87"/>
    <w:rsid w:val="41046BD7"/>
    <w:rsid w:val="410A7C5D"/>
    <w:rsid w:val="410E2CF6"/>
    <w:rsid w:val="41116FD0"/>
    <w:rsid w:val="4112477C"/>
    <w:rsid w:val="411A502B"/>
    <w:rsid w:val="411D02D1"/>
    <w:rsid w:val="411E2BA7"/>
    <w:rsid w:val="411F0195"/>
    <w:rsid w:val="41202A84"/>
    <w:rsid w:val="41233254"/>
    <w:rsid w:val="41264D33"/>
    <w:rsid w:val="41276BD9"/>
    <w:rsid w:val="41305C2B"/>
    <w:rsid w:val="413971FD"/>
    <w:rsid w:val="413A2772"/>
    <w:rsid w:val="413F0A59"/>
    <w:rsid w:val="41402678"/>
    <w:rsid w:val="41417FDB"/>
    <w:rsid w:val="4144475D"/>
    <w:rsid w:val="41451B64"/>
    <w:rsid w:val="41466A8B"/>
    <w:rsid w:val="414C1063"/>
    <w:rsid w:val="414C177C"/>
    <w:rsid w:val="414C3F78"/>
    <w:rsid w:val="414E696D"/>
    <w:rsid w:val="4150025B"/>
    <w:rsid w:val="41546A3E"/>
    <w:rsid w:val="41551ED4"/>
    <w:rsid w:val="415C24CC"/>
    <w:rsid w:val="415C3D0A"/>
    <w:rsid w:val="4162694B"/>
    <w:rsid w:val="4163753A"/>
    <w:rsid w:val="41671937"/>
    <w:rsid w:val="4168557F"/>
    <w:rsid w:val="41686D21"/>
    <w:rsid w:val="416A74B9"/>
    <w:rsid w:val="416A7D0B"/>
    <w:rsid w:val="416C62FA"/>
    <w:rsid w:val="41727CD6"/>
    <w:rsid w:val="4173765E"/>
    <w:rsid w:val="41766796"/>
    <w:rsid w:val="41767130"/>
    <w:rsid w:val="41774194"/>
    <w:rsid w:val="4178106E"/>
    <w:rsid w:val="41786A78"/>
    <w:rsid w:val="4179255F"/>
    <w:rsid w:val="418156E0"/>
    <w:rsid w:val="41862B7D"/>
    <w:rsid w:val="418D03B0"/>
    <w:rsid w:val="418D151A"/>
    <w:rsid w:val="41901310"/>
    <w:rsid w:val="419073AB"/>
    <w:rsid w:val="41917659"/>
    <w:rsid w:val="419814B1"/>
    <w:rsid w:val="419872C3"/>
    <w:rsid w:val="419965EE"/>
    <w:rsid w:val="419C720F"/>
    <w:rsid w:val="419E2956"/>
    <w:rsid w:val="41A47AF0"/>
    <w:rsid w:val="41A67108"/>
    <w:rsid w:val="41A86603"/>
    <w:rsid w:val="41AA2109"/>
    <w:rsid w:val="41AD0687"/>
    <w:rsid w:val="41B44CDC"/>
    <w:rsid w:val="41B7038A"/>
    <w:rsid w:val="41BB1B4D"/>
    <w:rsid w:val="41BB2798"/>
    <w:rsid w:val="41C00AEC"/>
    <w:rsid w:val="41C041DA"/>
    <w:rsid w:val="41C12CDF"/>
    <w:rsid w:val="41C3378F"/>
    <w:rsid w:val="41C538F0"/>
    <w:rsid w:val="41CB2FC3"/>
    <w:rsid w:val="41CE25E1"/>
    <w:rsid w:val="41CF02C2"/>
    <w:rsid w:val="41D44780"/>
    <w:rsid w:val="41D52E8B"/>
    <w:rsid w:val="41D635A6"/>
    <w:rsid w:val="41D66ECF"/>
    <w:rsid w:val="41D80E93"/>
    <w:rsid w:val="41DD59DD"/>
    <w:rsid w:val="41DE3312"/>
    <w:rsid w:val="41E141C0"/>
    <w:rsid w:val="41E4102B"/>
    <w:rsid w:val="41E65720"/>
    <w:rsid w:val="41E67EF4"/>
    <w:rsid w:val="41EC2AC4"/>
    <w:rsid w:val="41ED2337"/>
    <w:rsid w:val="41ED6AE7"/>
    <w:rsid w:val="41EF2A35"/>
    <w:rsid w:val="41F45115"/>
    <w:rsid w:val="41F57023"/>
    <w:rsid w:val="41F73D5F"/>
    <w:rsid w:val="41F9155F"/>
    <w:rsid w:val="41F91700"/>
    <w:rsid w:val="41FA0923"/>
    <w:rsid w:val="41FA6085"/>
    <w:rsid w:val="420102F9"/>
    <w:rsid w:val="42037182"/>
    <w:rsid w:val="420948CF"/>
    <w:rsid w:val="420C7057"/>
    <w:rsid w:val="420F3CAD"/>
    <w:rsid w:val="420F47A5"/>
    <w:rsid w:val="4211170D"/>
    <w:rsid w:val="421911E6"/>
    <w:rsid w:val="421A4B3E"/>
    <w:rsid w:val="42253CF8"/>
    <w:rsid w:val="42282B65"/>
    <w:rsid w:val="422B0F94"/>
    <w:rsid w:val="422E6C9C"/>
    <w:rsid w:val="42310F30"/>
    <w:rsid w:val="423119E9"/>
    <w:rsid w:val="42371669"/>
    <w:rsid w:val="423760C1"/>
    <w:rsid w:val="423B355A"/>
    <w:rsid w:val="423C637A"/>
    <w:rsid w:val="423F3898"/>
    <w:rsid w:val="424238BD"/>
    <w:rsid w:val="42442DA4"/>
    <w:rsid w:val="42457362"/>
    <w:rsid w:val="424A5CC1"/>
    <w:rsid w:val="424E447D"/>
    <w:rsid w:val="4251003D"/>
    <w:rsid w:val="42564995"/>
    <w:rsid w:val="4259040A"/>
    <w:rsid w:val="42697F15"/>
    <w:rsid w:val="426A56A3"/>
    <w:rsid w:val="426D3E7D"/>
    <w:rsid w:val="426D54D2"/>
    <w:rsid w:val="426E32FE"/>
    <w:rsid w:val="426F5E13"/>
    <w:rsid w:val="42743598"/>
    <w:rsid w:val="4277381D"/>
    <w:rsid w:val="42826A8E"/>
    <w:rsid w:val="4285340E"/>
    <w:rsid w:val="42896BBA"/>
    <w:rsid w:val="428B4C00"/>
    <w:rsid w:val="429304AF"/>
    <w:rsid w:val="4296251B"/>
    <w:rsid w:val="42977372"/>
    <w:rsid w:val="429838CE"/>
    <w:rsid w:val="42992EE7"/>
    <w:rsid w:val="429C7DAC"/>
    <w:rsid w:val="42A0395C"/>
    <w:rsid w:val="42A151FF"/>
    <w:rsid w:val="42A27278"/>
    <w:rsid w:val="42A42208"/>
    <w:rsid w:val="42AB6A78"/>
    <w:rsid w:val="42AE5314"/>
    <w:rsid w:val="42B227B2"/>
    <w:rsid w:val="42B376D0"/>
    <w:rsid w:val="42B91F47"/>
    <w:rsid w:val="42BA094E"/>
    <w:rsid w:val="42BF14EE"/>
    <w:rsid w:val="42BF531C"/>
    <w:rsid w:val="42CA2821"/>
    <w:rsid w:val="42CC5524"/>
    <w:rsid w:val="42CC5A00"/>
    <w:rsid w:val="42CD617F"/>
    <w:rsid w:val="42D01B30"/>
    <w:rsid w:val="42D40C91"/>
    <w:rsid w:val="42DC71C3"/>
    <w:rsid w:val="42E11CC5"/>
    <w:rsid w:val="42E475BC"/>
    <w:rsid w:val="42E7545D"/>
    <w:rsid w:val="42E75C34"/>
    <w:rsid w:val="42E87BD6"/>
    <w:rsid w:val="42F0416C"/>
    <w:rsid w:val="42F42B6B"/>
    <w:rsid w:val="42FB5D91"/>
    <w:rsid w:val="430B3F21"/>
    <w:rsid w:val="430E324A"/>
    <w:rsid w:val="430E7591"/>
    <w:rsid w:val="43144024"/>
    <w:rsid w:val="43155DEF"/>
    <w:rsid w:val="43164687"/>
    <w:rsid w:val="431703C9"/>
    <w:rsid w:val="43172DF6"/>
    <w:rsid w:val="431848AA"/>
    <w:rsid w:val="432852AD"/>
    <w:rsid w:val="43286312"/>
    <w:rsid w:val="432A5784"/>
    <w:rsid w:val="432B4642"/>
    <w:rsid w:val="432D1BE0"/>
    <w:rsid w:val="432F5B77"/>
    <w:rsid w:val="433169D3"/>
    <w:rsid w:val="433428A5"/>
    <w:rsid w:val="433537CF"/>
    <w:rsid w:val="4335755B"/>
    <w:rsid w:val="433951DD"/>
    <w:rsid w:val="433E1209"/>
    <w:rsid w:val="433E18D3"/>
    <w:rsid w:val="433E5504"/>
    <w:rsid w:val="434158CE"/>
    <w:rsid w:val="434240EE"/>
    <w:rsid w:val="43472C38"/>
    <w:rsid w:val="4348400D"/>
    <w:rsid w:val="434B10A6"/>
    <w:rsid w:val="434E6665"/>
    <w:rsid w:val="43514F63"/>
    <w:rsid w:val="43532D08"/>
    <w:rsid w:val="435375DC"/>
    <w:rsid w:val="43560F96"/>
    <w:rsid w:val="4358438E"/>
    <w:rsid w:val="435A7F35"/>
    <w:rsid w:val="43630E5D"/>
    <w:rsid w:val="43634188"/>
    <w:rsid w:val="43665CF8"/>
    <w:rsid w:val="436C6489"/>
    <w:rsid w:val="4372377D"/>
    <w:rsid w:val="43745DBD"/>
    <w:rsid w:val="4379375C"/>
    <w:rsid w:val="437C64ED"/>
    <w:rsid w:val="437D4369"/>
    <w:rsid w:val="437D7375"/>
    <w:rsid w:val="437F7375"/>
    <w:rsid w:val="43804E9B"/>
    <w:rsid w:val="4384044B"/>
    <w:rsid w:val="43863BAF"/>
    <w:rsid w:val="43881B22"/>
    <w:rsid w:val="438A14DA"/>
    <w:rsid w:val="438B51FD"/>
    <w:rsid w:val="4396719C"/>
    <w:rsid w:val="439766BF"/>
    <w:rsid w:val="43985EE6"/>
    <w:rsid w:val="439C2A3B"/>
    <w:rsid w:val="439D026B"/>
    <w:rsid w:val="439F04AB"/>
    <w:rsid w:val="43A11555"/>
    <w:rsid w:val="43A770C3"/>
    <w:rsid w:val="43B04DE5"/>
    <w:rsid w:val="43B34BB4"/>
    <w:rsid w:val="43B41D52"/>
    <w:rsid w:val="43BC2E35"/>
    <w:rsid w:val="43BC3CBA"/>
    <w:rsid w:val="43BD0B45"/>
    <w:rsid w:val="43C64CC0"/>
    <w:rsid w:val="43C846B1"/>
    <w:rsid w:val="43D266BD"/>
    <w:rsid w:val="43DA24C6"/>
    <w:rsid w:val="43E2115C"/>
    <w:rsid w:val="43EC1043"/>
    <w:rsid w:val="43F21DC1"/>
    <w:rsid w:val="43FB1172"/>
    <w:rsid w:val="43FB63FE"/>
    <w:rsid w:val="43FC399F"/>
    <w:rsid w:val="44005AB3"/>
    <w:rsid w:val="44053C01"/>
    <w:rsid w:val="4406193A"/>
    <w:rsid w:val="440A376F"/>
    <w:rsid w:val="440D7C32"/>
    <w:rsid w:val="442073FA"/>
    <w:rsid w:val="44252E84"/>
    <w:rsid w:val="44303251"/>
    <w:rsid w:val="44322351"/>
    <w:rsid w:val="443605A4"/>
    <w:rsid w:val="443637BE"/>
    <w:rsid w:val="443A05C8"/>
    <w:rsid w:val="443A610A"/>
    <w:rsid w:val="444207BA"/>
    <w:rsid w:val="4444571D"/>
    <w:rsid w:val="444532B2"/>
    <w:rsid w:val="44456CF4"/>
    <w:rsid w:val="44471B8D"/>
    <w:rsid w:val="44483CF9"/>
    <w:rsid w:val="444F647D"/>
    <w:rsid w:val="44567E06"/>
    <w:rsid w:val="445A3753"/>
    <w:rsid w:val="445B5F48"/>
    <w:rsid w:val="445B7642"/>
    <w:rsid w:val="445C4616"/>
    <w:rsid w:val="44607912"/>
    <w:rsid w:val="44612227"/>
    <w:rsid w:val="44626291"/>
    <w:rsid w:val="44640D0E"/>
    <w:rsid w:val="44663A68"/>
    <w:rsid w:val="446A5921"/>
    <w:rsid w:val="446D457E"/>
    <w:rsid w:val="44706424"/>
    <w:rsid w:val="4472024D"/>
    <w:rsid w:val="44726F69"/>
    <w:rsid w:val="447477F2"/>
    <w:rsid w:val="44777C4F"/>
    <w:rsid w:val="447F5AEA"/>
    <w:rsid w:val="44803F0D"/>
    <w:rsid w:val="44805C38"/>
    <w:rsid w:val="44833145"/>
    <w:rsid w:val="448402FA"/>
    <w:rsid w:val="448534B3"/>
    <w:rsid w:val="448A4DE4"/>
    <w:rsid w:val="448D3E28"/>
    <w:rsid w:val="448F36F2"/>
    <w:rsid w:val="44931883"/>
    <w:rsid w:val="4496105D"/>
    <w:rsid w:val="44990D97"/>
    <w:rsid w:val="449D3A9B"/>
    <w:rsid w:val="44A15CAF"/>
    <w:rsid w:val="44A32451"/>
    <w:rsid w:val="44A36D05"/>
    <w:rsid w:val="44A422BB"/>
    <w:rsid w:val="44A82B84"/>
    <w:rsid w:val="44A926BC"/>
    <w:rsid w:val="44AA5309"/>
    <w:rsid w:val="44BA0981"/>
    <w:rsid w:val="44BB5576"/>
    <w:rsid w:val="44BE0E15"/>
    <w:rsid w:val="44C02FE8"/>
    <w:rsid w:val="44D15228"/>
    <w:rsid w:val="44D64C00"/>
    <w:rsid w:val="44D702C7"/>
    <w:rsid w:val="44DC2CBB"/>
    <w:rsid w:val="44E172F8"/>
    <w:rsid w:val="44E2628E"/>
    <w:rsid w:val="44E82D49"/>
    <w:rsid w:val="44EC7CD2"/>
    <w:rsid w:val="44EF60E2"/>
    <w:rsid w:val="44F13718"/>
    <w:rsid w:val="44F5418F"/>
    <w:rsid w:val="44FB4BD0"/>
    <w:rsid w:val="44FD4FDE"/>
    <w:rsid w:val="4500385D"/>
    <w:rsid w:val="4503355D"/>
    <w:rsid w:val="45045CFF"/>
    <w:rsid w:val="45047879"/>
    <w:rsid w:val="45074155"/>
    <w:rsid w:val="45076C62"/>
    <w:rsid w:val="45084C3C"/>
    <w:rsid w:val="450B6515"/>
    <w:rsid w:val="450E3B05"/>
    <w:rsid w:val="451528CF"/>
    <w:rsid w:val="4518177C"/>
    <w:rsid w:val="45186B37"/>
    <w:rsid w:val="451A0543"/>
    <w:rsid w:val="451D09C8"/>
    <w:rsid w:val="45230EB9"/>
    <w:rsid w:val="4524450E"/>
    <w:rsid w:val="45307927"/>
    <w:rsid w:val="45333773"/>
    <w:rsid w:val="45344EF2"/>
    <w:rsid w:val="45377EAE"/>
    <w:rsid w:val="454D21A0"/>
    <w:rsid w:val="4551323A"/>
    <w:rsid w:val="45515849"/>
    <w:rsid w:val="45517142"/>
    <w:rsid w:val="45523E0D"/>
    <w:rsid w:val="4556276E"/>
    <w:rsid w:val="45583835"/>
    <w:rsid w:val="45584521"/>
    <w:rsid w:val="45592B96"/>
    <w:rsid w:val="455C52A9"/>
    <w:rsid w:val="455E289A"/>
    <w:rsid w:val="456253EA"/>
    <w:rsid w:val="4567390E"/>
    <w:rsid w:val="45676E68"/>
    <w:rsid w:val="457016A7"/>
    <w:rsid w:val="4574415E"/>
    <w:rsid w:val="457641B7"/>
    <w:rsid w:val="45765300"/>
    <w:rsid w:val="457A1A74"/>
    <w:rsid w:val="457A2675"/>
    <w:rsid w:val="457B0D85"/>
    <w:rsid w:val="457E7D3F"/>
    <w:rsid w:val="45810E38"/>
    <w:rsid w:val="458156F8"/>
    <w:rsid w:val="45862A00"/>
    <w:rsid w:val="45890B3B"/>
    <w:rsid w:val="458B71AA"/>
    <w:rsid w:val="459222A8"/>
    <w:rsid w:val="45996CFE"/>
    <w:rsid w:val="459E7092"/>
    <w:rsid w:val="459F2BA6"/>
    <w:rsid w:val="459F6D41"/>
    <w:rsid w:val="459F79FD"/>
    <w:rsid w:val="45A96E0E"/>
    <w:rsid w:val="45AD68F5"/>
    <w:rsid w:val="45AF710E"/>
    <w:rsid w:val="45B4095A"/>
    <w:rsid w:val="45BB36E5"/>
    <w:rsid w:val="45C57267"/>
    <w:rsid w:val="45CF3EE5"/>
    <w:rsid w:val="45D35F91"/>
    <w:rsid w:val="45D519EF"/>
    <w:rsid w:val="45D55F6D"/>
    <w:rsid w:val="45DA14B2"/>
    <w:rsid w:val="45DC0A40"/>
    <w:rsid w:val="45DF37D5"/>
    <w:rsid w:val="45DF3F9E"/>
    <w:rsid w:val="45E145C1"/>
    <w:rsid w:val="45E51974"/>
    <w:rsid w:val="45E72922"/>
    <w:rsid w:val="45E86DEE"/>
    <w:rsid w:val="45F23551"/>
    <w:rsid w:val="45F373EF"/>
    <w:rsid w:val="45F72A59"/>
    <w:rsid w:val="45F91B69"/>
    <w:rsid w:val="45FF7357"/>
    <w:rsid w:val="46010D7C"/>
    <w:rsid w:val="4602388E"/>
    <w:rsid w:val="460362AA"/>
    <w:rsid w:val="460850F7"/>
    <w:rsid w:val="460B5DE0"/>
    <w:rsid w:val="460C48DA"/>
    <w:rsid w:val="460E6827"/>
    <w:rsid w:val="460E7E6F"/>
    <w:rsid w:val="46124FD2"/>
    <w:rsid w:val="46126AD6"/>
    <w:rsid w:val="4613018B"/>
    <w:rsid w:val="46131246"/>
    <w:rsid w:val="46173D97"/>
    <w:rsid w:val="461B26BD"/>
    <w:rsid w:val="461E3BB4"/>
    <w:rsid w:val="46243864"/>
    <w:rsid w:val="462540B0"/>
    <w:rsid w:val="462A3806"/>
    <w:rsid w:val="462B5E3B"/>
    <w:rsid w:val="463049A9"/>
    <w:rsid w:val="46324A62"/>
    <w:rsid w:val="4632549F"/>
    <w:rsid w:val="4632588E"/>
    <w:rsid w:val="463466CA"/>
    <w:rsid w:val="46377F7C"/>
    <w:rsid w:val="463A4809"/>
    <w:rsid w:val="463B10C1"/>
    <w:rsid w:val="463F4E99"/>
    <w:rsid w:val="464D220F"/>
    <w:rsid w:val="465532EB"/>
    <w:rsid w:val="465A56D9"/>
    <w:rsid w:val="465A637F"/>
    <w:rsid w:val="46623C88"/>
    <w:rsid w:val="46662372"/>
    <w:rsid w:val="46671C06"/>
    <w:rsid w:val="46681674"/>
    <w:rsid w:val="466D3380"/>
    <w:rsid w:val="4670623A"/>
    <w:rsid w:val="46765249"/>
    <w:rsid w:val="46766C86"/>
    <w:rsid w:val="467C6804"/>
    <w:rsid w:val="467D1BD9"/>
    <w:rsid w:val="467F1CFA"/>
    <w:rsid w:val="4681769A"/>
    <w:rsid w:val="46845F63"/>
    <w:rsid w:val="46857765"/>
    <w:rsid w:val="46897DD5"/>
    <w:rsid w:val="468E268D"/>
    <w:rsid w:val="46981C00"/>
    <w:rsid w:val="469B7E8C"/>
    <w:rsid w:val="469D18BD"/>
    <w:rsid w:val="46A07EB7"/>
    <w:rsid w:val="46A47C83"/>
    <w:rsid w:val="46A96C20"/>
    <w:rsid w:val="46AA13C9"/>
    <w:rsid w:val="46AA3804"/>
    <w:rsid w:val="46AC7DE6"/>
    <w:rsid w:val="46AD6D43"/>
    <w:rsid w:val="46B77D81"/>
    <w:rsid w:val="46B93873"/>
    <w:rsid w:val="46BC21EE"/>
    <w:rsid w:val="46BF0E93"/>
    <w:rsid w:val="46C45AF0"/>
    <w:rsid w:val="46C46A55"/>
    <w:rsid w:val="46C73D6C"/>
    <w:rsid w:val="46C97710"/>
    <w:rsid w:val="46CE1E62"/>
    <w:rsid w:val="46D1418E"/>
    <w:rsid w:val="46D209E8"/>
    <w:rsid w:val="46DA07B5"/>
    <w:rsid w:val="46DA7ECA"/>
    <w:rsid w:val="46DD60F1"/>
    <w:rsid w:val="46ED4D2D"/>
    <w:rsid w:val="46EF1A9E"/>
    <w:rsid w:val="46F457EA"/>
    <w:rsid w:val="46F66E23"/>
    <w:rsid w:val="46F92F68"/>
    <w:rsid w:val="46FB64DA"/>
    <w:rsid w:val="46FC1996"/>
    <w:rsid w:val="47002BC4"/>
    <w:rsid w:val="47010A9F"/>
    <w:rsid w:val="47027C06"/>
    <w:rsid w:val="470413AA"/>
    <w:rsid w:val="47096CB6"/>
    <w:rsid w:val="470E3D6E"/>
    <w:rsid w:val="47111DE8"/>
    <w:rsid w:val="47114500"/>
    <w:rsid w:val="47157368"/>
    <w:rsid w:val="47191620"/>
    <w:rsid w:val="471B7550"/>
    <w:rsid w:val="471C5001"/>
    <w:rsid w:val="471F0B87"/>
    <w:rsid w:val="472062B2"/>
    <w:rsid w:val="47233D74"/>
    <w:rsid w:val="47240DA5"/>
    <w:rsid w:val="47285BE6"/>
    <w:rsid w:val="472B3E1C"/>
    <w:rsid w:val="472B4271"/>
    <w:rsid w:val="472D0912"/>
    <w:rsid w:val="47320342"/>
    <w:rsid w:val="473C0E8D"/>
    <w:rsid w:val="473C28D4"/>
    <w:rsid w:val="473E12FB"/>
    <w:rsid w:val="473F0A4F"/>
    <w:rsid w:val="473F1F2D"/>
    <w:rsid w:val="473F335E"/>
    <w:rsid w:val="47411972"/>
    <w:rsid w:val="47450CF4"/>
    <w:rsid w:val="474865CD"/>
    <w:rsid w:val="474B1C87"/>
    <w:rsid w:val="474B6C34"/>
    <w:rsid w:val="474C2925"/>
    <w:rsid w:val="474F5804"/>
    <w:rsid w:val="475215B6"/>
    <w:rsid w:val="475239FD"/>
    <w:rsid w:val="4759338A"/>
    <w:rsid w:val="475A4A5C"/>
    <w:rsid w:val="475D128F"/>
    <w:rsid w:val="475F5495"/>
    <w:rsid w:val="47627A89"/>
    <w:rsid w:val="47683ECB"/>
    <w:rsid w:val="47686F9D"/>
    <w:rsid w:val="476D3C5D"/>
    <w:rsid w:val="476E5C99"/>
    <w:rsid w:val="476F1A17"/>
    <w:rsid w:val="476F22FD"/>
    <w:rsid w:val="476F722B"/>
    <w:rsid w:val="47721849"/>
    <w:rsid w:val="477219C1"/>
    <w:rsid w:val="4774217B"/>
    <w:rsid w:val="4776003D"/>
    <w:rsid w:val="477A0426"/>
    <w:rsid w:val="477A5B17"/>
    <w:rsid w:val="477A7C5A"/>
    <w:rsid w:val="477B2469"/>
    <w:rsid w:val="477D0A0E"/>
    <w:rsid w:val="47811589"/>
    <w:rsid w:val="478227C3"/>
    <w:rsid w:val="47823836"/>
    <w:rsid w:val="4783158A"/>
    <w:rsid w:val="47833AFC"/>
    <w:rsid w:val="478515D4"/>
    <w:rsid w:val="478531E2"/>
    <w:rsid w:val="47856817"/>
    <w:rsid w:val="478752E4"/>
    <w:rsid w:val="478D381D"/>
    <w:rsid w:val="478E01FE"/>
    <w:rsid w:val="479059B8"/>
    <w:rsid w:val="47921CB5"/>
    <w:rsid w:val="47A57138"/>
    <w:rsid w:val="47A75E8A"/>
    <w:rsid w:val="47A760CA"/>
    <w:rsid w:val="47AC06E8"/>
    <w:rsid w:val="47AC71DA"/>
    <w:rsid w:val="47AD2564"/>
    <w:rsid w:val="47AF3DD5"/>
    <w:rsid w:val="47B45F18"/>
    <w:rsid w:val="47CB6754"/>
    <w:rsid w:val="47CB6E95"/>
    <w:rsid w:val="47D411BB"/>
    <w:rsid w:val="47DD2FCC"/>
    <w:rsid w:val="47DE5D9C"/>
    <w:rsid w:val="47E00651"/>
    <w:rsid w:val="47E2012A"/>
    <w:rsid w:val="47E20955"/>
    <w:rsid w:val="47E63558"/>
    <w:rsid w:val="47E725ED"/>
    <w:rsid w:val="47E97BA9"/>
    <w:rsid w:val="47EC4AA7"/>
    <w:rsid w:val="47F074C2"/>
    <w:rsid w:val="47F13A51"/>
    <w:rsid w:val="47F46AC5"/>
    <w:rsid w:val="47F774D7"/>
    <w:rsid w:val="47F952A4"/>
    <w:rsid w:val="47FF0F5C"/>
    <w:rsid w:val="48002ABB"/>
    <w:rsid w:val="48005958"/>
    <w:rsid w:val="4803672B"/>
    <w:rsid w:val="4804319F"/>
    <w:rsid w:val="48072E09"/>
    <w:rsid w:val="480804AA"/>
    <w:rsid w:val="48091818"/>
    <w:rsid w:val="480D5396"/>
    <w:rsid w:val="480F7FD0"/>
    <w:rsid w:val="48194ACD"/>
    <w:rsid w:val="48194BE0"/>
    <w:rsid w:val="481A7E75"/>
    <w:rsid w:val="481F7E37"/>
    <w:rsid w:val="48256E1B"/>
    <w:rsid w:val="482771AB"/>
    <w:rsid w:val="482A4976"/>
    <w:rsid w:val="482F0B90"/>
    <w:rsid w:val="48304DBD"/>
    <w:rsid w:val="48384622"/>
    <w:rsid w:val="483917A0"/>
    <w:rsid w:val="483F77D7"/>
    <w:rsid w:val="48466549"/>
    <w:rsid w:val="48496057"/>
    <w:rsid w:val="484A5AF5"/>
    <w:rsid w:val="484B13C5"/>
    <w:rsid w:val="48530143"/>
    <w:rsid w:val="48545F61"/>
    <w:rsid w:val="48557BCC"/>
    <w:rsid w:val="48562B24"/>
    <w:rsid w:val="485D21EF"/>
    <w:rsid w:val="486060C1"/>
    <w:rsid w:val="48633015"/>
    <w:rsid w:val="48662893"/>
    <w:rsid w:val="486976AB"/>
    <w:rsid w:val="486A5AA0"/>
    <w:rsid w:val="486B65E4"/>
    <w:rsid w:val="486B717F"/>
    <w:rsid w:val="486D195E"/>
    <w:rsid w:val="48747340"/>
    <w:rsid w:val="487E1816"/>
    <w:rsid w:val="48857CD4"/>
    <w:rsid w:val="488C4C7A"/>
    <w:rsid w:val="48932DDD"/>
    <w:rsid w:val="48970840"/>
    <w:rsid w:val="489B03E7"/>
    <w:rsid w:val="48A01A51"/>
    <w:rsid w:val="48A05F28"/>
    <w:rsid w:val="48A5234D"/>
    <w:rsid w:val="48AA2E76"/>
    <w:rsid w:val="48AA3B61"/>
    <w:rsid w:val="48AB296A"/>
    <w:rsid w:val="48AF1203"/>
    <w:rsid w:val="48B07995"/>
    <w:rsid w:val="48B12791"/>
    <w:rsid w:val="48B474D2"/>
    <w:rsid w:val="48BC6BFB"/>
    <w:rsid w:val="48C35F0D"/>
    <w:rsid w:val="48D1260A"/>
    <w:rsid w:val="48D45DEA"/>
    <w:rsid w:val="48D737DB"/>
    <w:rsid w:val="48D87802"/>
    <w:rsid w:val="48D9150F"/>
    <w:rsid w:val="48D95512"/>
    <w:rsid w:val="48DA43C8"/>
    <w:rsid w:val="48DC2158"/>
    <w:rsid w:val="48DC778C"/>
    <w:rsid w:val="48DD04D0"/>
    <w:rsid w:val="48E34618"/>
    <w:rsid w:val="48E635CB"/>
    <w:rsid w:val="48EA2FD0"/>
    <w:rsid w:val="48ED128F"/>
    <w:rsid w:val="48F258FF"/>
    <w:rsid w:val="48F65DEC"/>
    <w:rsid w:val="48F71F1E"/>
    <w:rsid w:val="48FC3BCB"/>
    <w:rsid w:val="48FF5C0D"/>
    <w:rsid w:val="490573BA"/>
    <w:rsid w:val="490A0A50"/>
    <w:rsid w:val="490C4CC5"/>
    <w:rsid w:val="491B047A"/>
    <w:rsid w:val="491F1334"/>
    <w:rsid w:val="49200B5B"/>
    <w:rsid w:val="49237964"/>
    <w:rsid w:val="492905BD"/>
    <w:rsid w:val="492B7489"/>
    <w:rsid w:val="492F26A4"/>
    <w:rsid w:val="492F41FB"/>
    <w:rsid w:val="49315ED3"/>
    <w:rsid w:val="4938413F"/>
    <w:rsid w:val="493D163C"/>
    <w:rsid w:val="493D6BBA"/>
    <w:rsid w:val="49432A39"/>
    <w:rsid w:val="494C6C2E"/>
    <w:rsid w:val="495244BF"/>
    <w:rsid w:val="49524B76"/>
    <w:rsid w:val="49555D21"/>
    <w:rsid w:val="49631E78"/>
    <w:rsid w:val="496A6811"/>
    <w:rsid w:val="496D1DD3"/>
    <w:rsid w:val="49725C52"/>
    <w:rsid w:val="49755529"/>
    <w:rsid w:val="4976262E"/>
    <w:rsid w:val="497A4B51"/>
    <w:rsid w:val="497D5311"/>
    <w:rsid w:val="497F2FAB"/>
    <w:rsid w:val="4985138F"/>
    <w:rsid w:val="498B1065"/>
    <w:rsid w:val="49916952"/>
    <w:rsid w:val="49935867"/>
    <w:rsid w:val="49942915"/>
    <w:rsid w:val="49991074"/>
    <w:rsid w:val="499C7605"/>
    <w:rsid w:val="49A2472F"/>
    <w:rsid w:val="49A57E24"/>
    <w:rsid w:val="49A803F7"/>
    <w:rsid w:val="49A817E1"/>
    <w:rsid w:val="49AA1557"/>
    <w:rsid w:val="49AD6FC6"/>
    <w:rsid w:val="49B0556C"/>
    <w:rsid w:val="49B2574D"/>
    <w:rsid w:val="49BB5374"/>
    <w:rsid w:val="49BE04FA"/>
    <w:rsid w:val="49C22612"/>
    <w:rsid w:val="49C30503"/>
    <w:rsid w:val="49C3569A"/>
    <w:rsid w:val="49C72BB1"/>
    <w:rsid w:val="49C902D7"/>
    <w:rsid w:val="49C97731"/>
    <w:rsid w:val="49CB44FA"/>
    <w:rsid w:val="49CC7450"/>
    <w:rsid w:val="49D140F3"/>
    <w:rsid w:val="49DA28C4"/>
    <w:rsid w:val="49DE0E2F"/>
    <w:rsid w:val="49DF768C"/>
    <w:rsid w:val="49E47879"/>
    <w:rsid w:val="49EE56C8"/>
    <w:rsid w:val="49F26F5B"/>
    <w:rsid w:val="49F334E1"/>
    <w:rsid w:val="49FB3BEA"/>
    <w:rsid w:val="49FB3D18"/>
    <w:rsid w:val="4A010F39"/>
    <w:rsid w:val="4A012CC1"/>
    <w:rsid w:val="4A1E3638"/>
    <w:rsid w:val="4A202291"/>
    <w:rsid w:val="4A260E11"/>
    <w:rsid w:val="4A2D2918"/>
    <w:rsid w:val="4A2E7D33"/>
    <w:rsid w:val="4A31611B"/>
    <w:rsid w:val="4A3211B4"/>
    <w:rsid w:val="4A34286C"/>
    <w:rsid w:val="4A3971C8"/>
    <w:rsid w:val="4A3F0329"/>
    <w:rsid w:val="4A42403D"/>
    <w:rsid w:val="4A466BBA"/>
    <w:rsid w:val="4A4B3B01"/>
    <w:rsid w:val="4A4F4D4F"/>
    <w:rsid w:val="4A54776B"/>
    <w:rsid w:val="4A552222"/>
    <w:rsid w:val="4A57766A"/>
    <w:rsid w:val="4A583C24"/>
    <w:rsid w:val="4A5B4656"/>
    <w:rsid w:val="4A5E7FD4"/>
    <w:rsid w:val="4A62663F"/>
    <w:rsid w:val="4A630529"/>
    <w:rsid w:val="4A630834"/>
    <w:rsid w:val="4A752586"/>
    <w:rsid w:val="4A7844A1"/>
    <w:rsid w:val="4A793FAA"/>
    <w:rsid w:val="4A7A1939"/>
    <w:rsid w:val="4A7A59C9"/>
    <w:rsid w:val="4A7E46D4"/>
    <w:rsid w:val="4A7F530D"/>
    <w:rsid w:val="4A814E52"/>
    <w:rsid w:val="4A8B17D3"/>
    <w:rsid w:val="4A8E13E5"/>
    <w:rsid w:val="4A8F53EE"/>
    <w:rsid w:val="4A8F730C"/>
    <w:rsid w:val="4A91263B"/>
    <w:rsid w:val="4A927BAD"/>
    <w:rsid w:val="4A932D21"/>
    <w:rsid w:val="4A9505E7"/>
    <w:rsid w:val="4A996541"/>
    <w:rsid w:val="4A9965E5"/>
    <w:rsid w:val="4A9A26E3"/>
    <w:rsid w:val="4AAB1D3F"/>
    <w:rsid w:val="4AAC0695"/>
    <w:rsid w:val="4AB313BB"/>
    <w:rsid w:val="4AB57446"/>
    <w:rsid w:val="4ABD723B"/>
    <w:rsid w:val="4ABE1566"/>
    <w:rsid w:val="4AC84143"/>
    <w:rsid w:val="4ACC1CE5"/>
    <w:rsid w:val="4AD173A3"/>
    <w:rsid w:val="4AD1746D"/>
    <w:rsid w:val="4AD22C82"/>
    <w:rsid w:val="4AD30D10"/>
    <w:rsid w:val="4AD450E3"/>
    <w:rsid w:val="4AD52FAD"/>
    <w:rsid w:val="4AD91EE1"/>
    <w:rsid w:val="4ADA5018"/>
    <w:rsid w:val="4ADB264F"/>
    <w:rsid w:val="4AED5854"/>
    <w:rsid w:val="4AFC2CEB"/>
    <w:rsid w:val="4AFC685F"/>
    <w:rsid w:val="4AFF3823"/>
    <w:rsid w:val="4B0425C0"/>
    <w:rsid w:val="4B0F2B2D"/>
    <w:rsid w:val="4B14021D"/>
    <w:rsid w:val="4B1777AA"/>
    <w:rsid w:val="4B195D90"/>
    <w:rsid w:val="4B1A0C8C"/>
    <w:rsid w:val="4B223F1C"/>
    <w:rsid w:val="4B227BE8"/>
    <w:rsid w:val="4B267FB8"/>
    <w:rsid w:val="4B280D01"/>
    <w:rsid w:val="4B292232"/>
    <w:rsid w:val="4B30023A"/>
    <w:rsid w:val="4B340FF3"/>
    <w:rsid w:val="4B3422CF"/>
    <w:rsid w:val="4B3429FC"/>
    <w:rsid w:val="4B397483"/>
    <w:rsid w:val="4B3A4A18"/>
    <w:rsid w:val="4B3E0BC8"/>
    <w:rsid w:val="4B3E658D"/>
    <w:rsid w:val="4B3E7B22"/>
    <w:rsid w:val="4B476BD0"/>
    <w:rsid w:val="4B4C7846"/>
    <w:rsid w:val="4B54303E"/>
    <w:rsid w:val="4B55738E"/>
    <w:rsid w:val="4B5E5283"/>
    <w:rsid w:val="4B6330BF"/>
    <w:rsid w:val="4B683C16"/>
    <w:rsid w:val="4B6D22C1"/>
    <w:rsid w:val="4B6D51C2"/>
    <w:rsid w:val="4B6E25A7"/>
    <w:rsid w:val="4B6F131A"/>
    <w:rsid w:val="4B6F3DAE"/>
    <w:rsid w:val="4B7023EB"/>
    <w:rsid w:val="4B714CF1"/>
    <w:rsid w:val="4B744C88"/>
    <w:rsid w:val="4B7A550C"/>
    <w:rsid w:val="4B7C6286"/>
    <w:rsid w:val="4B810772"/>
    <w:rsid w:val="4B8149A4"/>
    <w:rsid w:val="4B8C72D1"/>
    <w:rsid w:val="4B8E2200"/>
    <w:rsid w:val="4B9D2DED"/>
    <w:rsid w:val="4B9D4407"/>
    <w:rsid w:val="4BA02FE0"/>
    <w:rsid w:val="4BA14BF1"/>
    <w:rsid w:val="4BA255C5"/>
    <w:rsid w:val="4BA3382F"/>
    <w:rsid w:val="4BA51137"/>
    <w:rsid w:val="4BA651D8"/>
    <w:rsid w:val="4BA86A22"/>
    <w:rsid w:val="4BA87BAF"/>
    <w:rsid w:val="4BA92A6B"/>
    <w:rsid w:val="4BA96F6C"/>
    <w:rsid w:val="4BAF7644"/>
    <w:rsid w:val="4BB109B4"/>
    <w:rsid w:val="4BB3097A"/>
    <w:rsid w:val="4BB433B9"/>
    <w:rsid w:val="4BB612C9"/>
    <w:rsid w:val="4BB61B21"/>
    <w:rsid w:val="4BB80BFD"/>
    <w:rsid w:val="4BBC37E7"/>
    <w:rsid w:val="4BBE4A3F"/>
    <w:rsid w:val="4BCC5475"/>
    <w:rsid w:val="4BCC691D"/>
    <w:rsid w:val="4BCE20C4"/>
    <w:rsid w:val="4BCE3F28"/>
    <w:rsid w:val="4BDB351B"/>
    <w:rsid w:val="4BDD5D05"/>
    <w:rsid w:val="4BE3411F"/>
    <w:rsid w:val="4BE61C05"/>
    <w:rsid w:val="4BE76481"/>
    <w:rsid w:val="4BE81EF7"/>
    <w:rsid w:val="4BF02DB9"/>
    <w:rsid w:val="4BF06F83"/>
    <w:rsid w:val="4BF12402"/>
    <w:rsid w:val="4BF357F0"/>
    <w:rsid w:val="4BF5480D"/>
    <w:rsid w:val="4BFC6D48"/>
    <w:rsid w:val="4BFE2F6C"/>
    <w:rsid w:val="4C03295F"/>
    <w:rsid w:val="4C036D88"/>
    <w:rsid w:val="4C050ABD"/>
    <w:rsid w:val="4C0859EF"/>
    <w:rsid w:val="4C0B603F"/>
    <w:rsid w:val="4C0B7E26"/>
    <w:rsid w:val="4C0C7C35"/>
    <w:rsid w:val="4C0E7BED"/>
    <w:rsid w:val="4C1522D5"/>
    <w:rsid w:val="4C17004B"/>
    <w:rsid w:val="4C197709"/>
    <w:rsid w:val="4C1B7363"/>
    <w:rsid w:val="4C1C4300"/>
    <w:rsid w:val="4C1D54DC"/>
    <w:rsid w:val="4C1F16AE"/>
    <w:rsid w:val="4C224817"/>
    <w:rsid w:val="4C29224F"/>
    <w:rsid w:val="4C2B5823"/>
    <w:rsid w:val="4C2C28FE"/>
    <w:rsid w:val="4C2D68FF"/>
    <w:rsid w:val="4C362B03"/>
    <w:rsid w:val="4C37529F"/>
    <w:rsid w:val="4C3761C9"/>
    <w:rsid w:val="4C3B43D0"/>
    <w:rsid w:val="4C3F6C02"/>
    <w:rsid w:val="4C4269AC"/>
    <w:rsid w:val="4C442138"/>
    <w:rsid w:val="4C4730CE"/>
    <w:rsid w:val="4C4A330F"/>
    <w:rsid w:val="4C513C37"/>
    <w:rsid w:val="4C557075"/>
    <w:rsid w:val="4C59557C"/>
    <w:rsid w:val="4C5C327F"/>
    <w:rsid w:val="4C5D30DD"/>
    <w:rsid w:val="4C5F17C8"/>
    <w:rsid w:val="4C6077BF"/>
    <w:rsid w:val="4C676810"/>
    <w:rsid w:val="4C68408C"/>
    <w:rsid w:val="4C6F37C8"/>
    <w:rsid w:val="4C6F53AA"/>
    <w:rsid w:val="4C752BEF"/>
    <w:rsid w:val="4C783648"/>
    <w:rsid w:val="4C78724B"/>
    <w:rsid w:val="4C7E1B26"/>
    <w:rsid w:val="4C8158E7"/>
    <w:rsid w:val="4C84137A"/>
    <w:rsid w:val="4C864410"/>
    <w:rsid w:val="4C875EE4"/>
    <w:rsid w:val="4C8A0152"/>
    <w:rsid w:val="4C8C29CA"/>
    <w:rsid w:val="4C8F4AEB"/>
    <w:rsid w:val="4C940A5E"/>
    <w:rsid w:val="4C9473A7"/>
    <w:rsid w:val="4C9530E0"/>
    <w:rsid w:val="4C9878CE"/>
    <w:rsid w:val="4C994568"/>
    <w:rsid w:val="4C9A0BAC"/>
    <w:rsid w:val="4C9C639E"/>
    <w:rsid w:val="4C9E4065"/>
    <w:rsid w:val="4CA95157"/>
    <w:rsid w:val="4CAA14EE"/>
    <w:rsid w:val="4CAC0462"/>
    <w:rsid w:val="4CAD4FEA"/>
    <w:rsid w:val="4CB26E69"/>
    <w:rsid w:val="4CBC59C8"/>
    <w:rsid w:val="4CBD5235"/>
    <w:rsid w:val="4CC31120"/>
    <w:rsid w:val="4CCA35D4"/>
    <w:rsid w:val="4CCA4B58"/>
    <w:rsid w:val="4CCA7FD8"/>
    <w:rsid w:val="4CCD7CCE"/>
    <w:rsid w:val="4CCF6BFE"/>
    <w:rsid w:val="4CCF75B4"/>
    <w:rsid w:val="4CD42A50"/>
    <w:rsid w:val="4CD751CF"/>
    <w:rsid w:val="4CD836D3"/>
    <w:rsid w:val="4CD92D07"/>
    <w:rsid w:val="4CDA42E4"/>
    <w:rsid w:val="4CE22FF9"/>
    <w:rsid w:val="4CE84E7D"/>
    <w:rsid w:val="4CE87AAE"/>
    <w:rsid w:val="4CEC03F7"/>
    <w:rsid w:val="4CED27E9"/>
    <w:rsid w:val="4CEF2033"/>
    <w:rsid w:val="4CF316A6"/>
    <w:rsid w:val="4CF42D1E"/>
    <w:rsid w:val="4CF65C57"/>
    <w:rsid w:val="4CF67347"/>
    <w:rsid w:val="4CFB5067"/>
    <w:rsid w:val="4CFB6441"/>
    <w:rsid w:val="4CFD4898"/>
    <w:rsid w:val="4D005AAA"/>
    <w:rsid w:val="4D022814"/>
    <w:rsid w:val="4D055D05"/>
    <w:rsid w:val="4D136CB1"/>
    <w:rsid w:val="4D137849"/>
    <w:rsid w:val="4D173CDE"/>
    <w:rsid w:val="4D185DDB"/>
    <w:rsid w:val="4D1B7215"/>
    <w:rsid w:val="4D1D6D94"/>
    <w:rsid w:val="4D1F0342"/>
    <w:rsid w:val="4D2110BB"/>
    <w:rsid w:val="4D21350B"/>
    <w:rsid w:val="4D2244E9"/>
    <w:rsid w:val="4D2467D7"/>
    <w:rsid w:val="4D2644AE"/>
    <w:rsid w:val="4D27693D"/>
    <w:rsid w:val="4D295BC8"/>
    <w:rsid w:val="4D2D535E"/>
    <w:rsid w:val="4D2F1684"/>
    <w:rsid w:val="4D3235E7"/>
    <w:rsid w:val="4D330D4F"/>
    <w:rsid w:val="4D3B7418"/>
    <w:rsid w:val="4D3D4DED"/>
    <w:rsid w:val="4D4177C5"/>
    <w:rsid w:val="4D420908"/>
    <w:rsid w:val="4D474C05"/>
    <w:rsid w:val="4D4809A3"/>
    <w:rsid w:val="4D491255"/>
    <w:rsid w:val="4D496659"/>
    <w:rsid w:val="4D5171DA"/>
    <w:rsid w:val="4D533568"/>
    <w:rsid w:val="4D580A32"/>
    <w:rsid w:val="4D5C3FB9"/>
    <w:rsid w:val="4D614190"/>
    <w:rsid w:val="4D642E23"/>
    <w:rsid w:val="4D67767B"/>
    <w:rsid w:val="4D6950F9"/>
    <w:rsid w:val="4D6D260A"/>
    <w:rsid w:val="4D6E435C"/>
    <w:rsid w:val="4D723FCA"/>
    <w:rsid w:val="4D76210A"/>
    <w:rsid w:val="4D772BE7"/>
    <w:rsid w:val="4D784C8F"/>
    <w:rsid w:val="4D7C7D02"/>
    <w:rsid w:val="4D7F300B"/>
    <w:rsid w:val="4D7F6AC5"/>
    <w:rsid w:val="4D816FCB"/>
    <w:rsid w:val="4D81714E"/>
    <w:rsid w:val="4D8200C3"/>
    <w:rsid w:val="4D841004"/>
    <w:rsid w:val="4D844556"/>
    <w:rsid w:val="4D8A246E"/>
    <w:rsid w:val="4D8B376C"/>
    <w:rsid w:val="4D8F2E35"/>
    <w:rsid w:val="4D900040"/>
    <w:rsid w:val="4D920007"/>
    <w:rsid w:val="4D921A0D"/>
    <w:rsid w:val="4D9432DC"/>
    <w:rsid w:val="4D9779DA"/>
    <w:rsid w:val="4D984189"/>
    <w:rsid w:val="4D9D5580"/>
    <w:rsid w:val="4D9F34C4"/>
    <w:rsid w:val="4DA144BE"/>
    <w:rsid w:val="4DA65886"/>
    <w:rsid w:val="4DB265FD"/>
    <w:rsid w:val="4DB34F2E"/>
    <w:rsid w:val="4DB4632E"/>
    <w:rsid w:val="4DB6002F"/>
    <w:rsid w:val="4DBA013B"/>
    <w:rsid w:val="4DC33441"/>
    <w:rsid w:val="4DC42BD8"/>
    <w:rsid w:val="4DC500E6"/>
    <w:rsid w:val="4DC55C45"/>
    <w:rsid w:val="4DC863A1"/>
    <w:rsid w:val="4DD301E8"/>
    <w:rsid w:val="4DD36086"/>
    <w:rsid w:val="4DE10349"/>
    <w:rsid w:val="4DE10754"/>
    <w:rsid w:val="4DE115A8"/>
    <w:rsid w:val="4DE347EA"/>
    <w:rsid w:val="4DE73DAB"/>
    <w:rsid w:val="4DE85897"/>
    <w:rsid w:val="4DF63524"/>
    <w:rsid w:val="4DF72355"/>
    <w:rsid w:val="4DF73C4C"/>
    <w:rsid w:val="4DFB58DB"/>
    <w:rsid w:val="4DFF71FE"/>
    <w:rsid w:val="4E033128"/>
    <w:rsid w:val="4E0912A7"/>
    <w:rsid w:val="4E0A7FA3"/>
    <w:rsid w:val="4E0D6058"/>
    <w:rsid w:val="4E0D671F"/>
    <w:rsid w:val="4E0F314D"/>
    <w:rsid w:val="4E1056FE"/>
    <w:rsid w:val="4E156419"/>
    <w:rsid w:val="4E183074"/>
    <w:rsid w:val="4E1B0E94"/>
    <w:rsid w:val="4E201F9C"/>
    <w:rsid w:val="4E227678"/>
    <w:rsid w:val="4E251091"/>
    <w:rsid w:val="4E2B5549"/>
    <w:rsid w:val="4E2F15DC"/>
    <w:rsid w:val="4E2F2030"/>
    <w:rsid w:val="4E315EBA"/>
    <w:rsid w:val="4E322111"/>
    <w:rsid w:val="4E330ECF"/>
    <w:rsid w:val="4E341A7C"/>
    <w:rsid w:val="4E354C24"/>
    <w:rsid w:val="4E3F1252"/>
    <w:rsid w:val="4E4442E9"/>
    <w:rsid w:val="4E4A66AA"/>
    <w:rsid w:val="4E4C12B4"/>
    <w:rsid w:val="4E5E220D"/>
    <w:rsid w:val="4E5E2BDD"/>
    <w:rsid w:val="4E635FDB"/>
    <w:rsid w:val="4E660EB9"/>
    <w:rsid w:val="4E6853CC"/>
    <w:rsid w:val="4E6978CE"/>
    <w:rsid w:val="4E6E75E7"/>
    <w:rsid w:val="4E737AB3"/>
    <w:rsid w:val="4E785A18"/>
    <w:rsid w:val="4E7A199D"/>
    <w:rsid w:val="4E7E338E"/>
    <w:rsid w:val="4E895954"/>
    <w:rsid w:val="4E8C22E6"/>
    <w:rsid w:val="4E8D1A23"/>
    <w:rsid w:val="4E8E006A"/>
    <w:rsid w:val="4E8F0171"/>
    <w:rsid w:val="4E90378D"/>
    <w:rsid w:val="4E906E5E"/>
    <w:rsid w:val="4E92276E"/>
    <w:rsid w:val="4E932350"/>
    <w:rsid w:val="4E934270"/>
    <w:rsid w:val="4E942E17"/>
    <w:rsid w:val="4E9F660B"/>
    <w:rsid w:val="4EA039E1"/>
    <w:rsid w:val="4EA1247C"/>
    <w:rsid w:val="4EA32EB3"/>
    <w:rsid w:val="4EA90888"/>
    <w:rsid w:val="4EAB2CB9"/>
    <w:rsid w:val="4EAD3CC1"/>
    <w:rsid w:val="4EB220D2"/>
    <w:rsid w:val="4EB257A8"/>
    <w:rsid w:val="4EB55D1D"/>
    <w:rsid w:val="4EB967EE"/>
    <w:rsid w:val="4EBA32C5"/>
    <w:rsid w:val="4ECA38A4"/>
    <w:rsid w:val="4ECB099F"/>
    <w:rsid w:val="4ECC10BC"/>
    <w:rsid w:val="4ECC27C0"/>
    <w:rsid w:val="4ECD6E53"/>
    <w:rsid w:val="4ED25286"/>
    <w:rsid w:val="4ED50A7A"/>
    <w:rsid w:val="4ED77578"/>
    <w:rsid w:val="4EDE7D9F"/>
    <w:rsid w:val="4EEC05B1"/>
    <w:rsid w:val="4EEC4550"/>
    <w:rsid w:val="4EEF21AC"/>
    <w:rsid w:val="4EF470FA"/>
    <w:rsid w:val="4EF946B1"/>
    <w:rsid w:val="4EF971F1"/>
    <w:rsid w:val="4EFE07B9"/>
    <w:rsid w:val="4F020A2B"/>
    <w:rsid w:val="4F0A50A5"/>
    <w:rsid w:val="4F0C3EDF"/>
    <w:rsid w:val="4F0C46A9"/>
    <w:rsid w:val="4F0C7738"/>
    <w:rsid w:val="4F10639F"/>
    <w:rsid w:val="4F120922"/>
    <w:rsid w:val="4F124E6C"/>
    <w:rsid w:val="4F182CE6"/>
    <w:rsid w:val="4F1E24CC"/>
    <w:rsid w:val="4F1E4AAD"/>
    <w:rsid w:val="4F1F27D3"/>
    <w:rsid w:val="4F226693"/>
    <w:rsid w:val="4F230C48"/>
    <w:rsid w:val="4F252298"/>
    <w:rsid w:val="4F274A1A"/>
    <w:rsid w:val="4F2807DF"/>
    <w:rsid w:val="4F387DF3"/>
    <w:rsid w:val="4F3A49C6"/>
    <w:rsid w:val="4F427681"/>
    <w:rsid w:val="4F447D63"/>
    <w:rsid w:val="4F4541E3"/>
    <w:rsid w:val="4F4F063A"/>
    <w:rsid w:val="4F543949"/>
    <w:rsid w:val="4F575A1E"/>
    <w:rsid w:val="4F633135"/>
    <w:rsid w:val="4F662969"/>
    <w:rsid w:val="4F6A7B57"/>
    <w:rsid w:val="4F6E59FF"/>
    <w:rsid w:val="4F6F38E0"/>
    <w:rsid w:val="4F7849BE"/>
    <w:rsid w:val="4F7B377F"/>
    <w:rsid w:val="4F7B4831"/>
    <w:rsid w:val="4F7E4C7A"/>
    <w:rsid w:val="4F7F757D"/>
    <w:rsid w:val="4F83375C"/>
    <w:rsid w:val="4F833B0A"/>
    <w:rsid w:val="4F871016"/>
    <w:rsid w:val="4F8A0E81"/>
    <w:rsid w:val="4F8B3F58"/>
    <w:rsid w:val="4F8F235D"/>
    <w:rsid w:val="4F926135"/>
    <w:rsid w:val="4F951BD2"/>
    <w:rsid w:val="4F9858BF"/>
    <w:rsid w:val="4F9C69BB"/>
    <w:rsid w:val="4F9D0A97"/>
    <w:rsid w:val="4FA20406"/>
    <w:rsid w:val="4FA4399C"/>
    <w:rsid w:val="4FA6509A"/>
    <w:rsid w:val="4FA67429"/>
    <w:rsid w:val="4FA90D84"/>
    <w:rsid w:val="4FB26E96"/>
    <w:rsid w:val="4FBA063B"/>
    <w:rsid w:val="4FBA2907"/>
    <w:rsid w:val="4FBC1D52"/>
    <w:rsid w:val="4FC001BB"/>
    <w:rsid w:val="4FC437C7"/>
    <w:rsid w:val="4FC82CA0"/>
    <w:rsid w:val="4FCA22C5"/>
    <w:rsid w:val="4FCD015A"/>
    <w:rsid w:val="4FDC239F"/>
    <w:rsid w:val="4FE452B2"/>
    <w:rsid w:val="4FE80571"/>
    <w:rsid w:val="4FE820F2"/>
    <w:rsid w:val="4FE92608"/>
    <w:rsid w:val="4FEE3626"/>
    <w:rsid w:val="4FF10E3F"/>
    <w:rsid w:val="4FF523CC"/>
    <w:rsid w:val="4FFA2B61"/>
    <w:rsid w:val="4FFB6AF0"/>
    <w:rsid w:val="4FFF755D"/>
    <w:rsid w:val="50000CE4"/>
    <w:rsid w:val="500323BA"/>
    <w:rsid w:val="500324A0"/>
    <w:rsid w:val="50035985"/>
    <w:rsid w:val="50066973"/>
    <w:rsid w:val="50082109"/>
    <w:rsid w:val="5009144B"/>
    <w:rsid w:val="500F7272"/>
    <w:rsid w:val="5010440A"/>
    <w:rsid w:val="501249CE"/>
    <w:rsid w:val="50163E3B"/>
    <w:rsid w:val="5018621F"/>
    <w:rsid w:val="50191946"/>
    <w:rsid w:val="501A01E2"/>
    <w:rsid w:val="501D4772"/>
    <w:rsid w:val="50201390"/>
    <w:rsid w:val="50271172"/>
    <w:rsid w:val="502763D6"/>
    <w:rsid w:val="502B1355"/>
    <w:rsid w:val="50360EFD"/>
    <w:rsid w:val="5038114C"/>
    <w:rsid w:val="50384726"/>
    <w:rsid w:val="503F76B5"/>
    <w:rsid w:val="50423876"/>
    <w:rsid w:val="50453BDB"/>
    <w:rsid w:val="50466FAF"/>
    <w:rsid w:val="50492C30"/>
    <w:rsid w:val="50494EA4"/>
    <w:rsid w:val="50500014"/>
    <w:rsid w:val="5051507B"/>
    <w:rsid w:val="5059340C"/>
    <w:rsid w:val="50631827"/>
    <w:rsid w:val="506600C9"/>
    <w:rsid w:val="50662C3F"/>
    <w:rsid w:val="5069045F"/>
    <w:rsid w:val="506A6E20"/>
    <w:rsid w:val="506D651E"/>
    <w:rsid w:val="506F17A7"/>
    <w:rsid w:val="507913BF"/>
    <w:rsid w:val="507A187D"/>
    <w:rsid w:val="507F3FBC"/>
    <w:rsid w:val="50832D54"/>
    <w:rsid w:val="50861E25"/>
    <w:rsid w:val="508B7951"/>
    <w:rsid w:val="50961C39"/>
    <w:rsid w:val="5098268F"/>
    <w:rsid w:val="509B0932"/>
    <w:rsid w:val="509D6465"/>
    <w:rsid w:val="509E37DE"/>
    <w:rsid w:val="509F012F"/>
    <w:rsid w:val="50A51E68"/>
    <w:rsid w:val="50A62D86"/>
    <w:rsid w:val="50AD720A"/>
    <w:rsid w:val="50AF2BD3"/>
    <w:rsid w:val="50B03F0E"/>
    <w:rsid w:val="50B83590"/>
    <w:rsid w:val="50BD5277"/>
    <w:rsid w:val="50C02882"/>
    <w:rsid w:val="50C410B5"/>
    <w:rsid w:val="50C533F1"/>
    <w:rsid w:val="50C64091"/>
    <w:rsid w:val="50CA5D1E"/>
    <w:rsid w:val="50CE3160"/>
    <w:rsid w:val="50D319B7"/>
    <w:rsid w:val="50DD6972"/>
    <w:rsid w:val="50E148E5"/>
    <w:rsid w:val="50E549F3"/>
    <w:rsid w:val="50E60EC2"/>
    <w:rsid w:val="50E61D1A"/>
    <w:rsid w:val="50EA13F9"/>
    <w:rsid w:val="50EA5EDB"/>
    <w:rsid w:val="50ED3F4B"/>
    <w:rsid w:val="50EE7FD0"/>
    <w:rsid w:val="50F14692"/>
    <w:rsid w:val="50F170D6"/>
    <w:rsid w:val="50F40E09"/>
    <w:rsid w:val="50F45640"/>
    <w:rsid w:val="50F76BE3"/>
    <w:rsid w:val="50FF56C4"/>
    <w:rsid w:val="51011B27"/>
    <w:rsid w:val="510221C3"/>
    <w:rsid w:val="510345EF"/>
    <w:rsid w:val="510C36A2"/>
    <w:rsid w:val="510D79C8"/>
    <w:rsid w:val="51124F8A"/>
    <w:rsid w:val="51131104"/>
    <w:rsid w:val="51154CDE"/>
    <w:rsid w:val="51173796"/>
    <w:rsid w:val="511C31B1"/>
    <w:rsid w:val="512024ED"/>
    <w:rsid w:val="512254D9"/>
    <w:rsid w:val="512913EF"/>
    <w:rsid w:val="512A1055"/>
    <w:rsid w:val="512E07AF"/>
    <w:rsid w:val="51333CBF"/>
    <w:rsid w:val="51362C2F"/>
    <w:rsid w:val="51393E77"/>
    <w:rsid w:val="513E303B"/>
    <w:rsid w:val="513F3F04"/>
    <w:rsid w:val="5140298F"/>
    <w:rsid w:val="514274F7"/>
    <w:rsid w:val="51434709"/>
    <w:rsid w:val="51444587"/>
    <w:rsid w:val="51465441"/>
    <w:rsid w:val="51496F85"/>
    <w:rsid w:val="514D3E35"/>
    <w:rsid w:val="514D6D4F"/>
    <w:rsid w:val="514F160D"/>
    <w:rsid w:val="51523DD3"/>
    <w:rsid w:val="51574C47"/>
    <w:rsid w:val="5157521D"/>
    <w:rsid w:val="51593497"/>
    <w:rsid w:val="515B6A54"/>
    <w:rsid w:val="515D4C51"/>
    <w:rsid w:val="51620877"/>
    <w:rsid w:val="51643944"/>
    <w:rsid w:val="51652C1F"/>
    <w:rsid w:val="51663FA1"/>
    <w:rsid w:val="51684203"/>
    <w:rsid w:val="51695659"/>
    <w:rsid w:val="516B45A8"/>
    <w:rsid w:val="516F185B"/>
    <w:rsid w:val="51733804"/>
    <w:rsid w:val="517353DF"/>
    <w:rsid w:val="51736F69"/>
    <w:rsid w:val="517455B9"/>
    <w:rsid w:val="517B7798"/>
    <w:rsid w:val="517E2F28"/>
    <w:rsid w:val="5185587C"/>
    <w:rsid w:val="518826D0"/>
    <w:rsid w:val="51883581"/>
    <w:rsid w:val="518A0D1A"/>
    <w:rsid w:val="51926595"/>
    <w:rsid w:val="5195629E"/>
    <w:rsid w:val="51985A8D"/>
    <w:rsid w:val="519F16EF"/>
    <w:rsid w:val="519F2042"/>
    <w:rsid w:val="51A61BF0"/>
    <w:rsid w:val="51A83800"/>
    <w:rsid w:val="51B66FD0"/>
    <w:rsid w:val="51B911FE"/>
    <w:rsid w:val="51BB13BE"/>
    <w:rsid w:val="51BC01B7"/>
    <w:rsid w:val="51BF7AB5"/>
    <w:rsid w:val="51C262A4"/>
    <w:rsid w:val="51C3538C"/>
    <w:rsid w:val="51C47FEA"/>
    <w:rsid w:val="51C57B61"/>
    <w:rsid w:val="51D21EA8"/>
    <w:rsid w:val="51D271F9"/>
    <w:rsid w:val="51D4397A"/>
    <w:rsid w:val="51D51CCF"/>
    <w:rsid w:val="51D93B2F"/>
    <w:rsid w:val="51D97021"/>
    <w:rsid w:val="51DF6EB6"/>
    <w:rsid w:val="51E1195D"/>
    <w:rsid w:val="51E27F7B"/>
    <w:rsid w:val="51E40CBA"/>
    <w:rsid w:val="51E56B2A"/>
    <w:rsid w:val="51EA024E"/>
    <w:rsid w:val="51EB7A73"/>
    <w:rsid w:val="51EE76C7"/>
    <w:rsid w:val="51F4503E"/>
    <w:rsid w:val="51F565E2"/>
    <w:rsid w:val="51F855BC"/>
    <w:rsid w:val="5200754F"/>
    <w:rsid w:val="5201703C"/>
    <w:rsid w:val="520217C5"/>
    <w:rsid w:val="520513F2"/>
    <w:rsid w:val="520A10D8"/>
    <w:rsid w:val="520E4DE3"/>
    <w:rsid w:val="520F2E59"/>
    <w:rsid w:val="52110F99"/>
    <w:rsid w:val="52116F8E"/>
    <w:rsid w:val="52132299"/>
    <w:rsid w:val="52144F43"/>
    <w:rsid w:val="52156B0B"/>
    <w:rsid w:val="52185EF2"/>
    <w:rsid w:val="52187407"/>
    <w:rsid w:val="52250341"/>
    <w:rsid w:val="522877B4"/>
    <w:rsid w:val="52295780"/>
    <w:rsid w:val="522A0C7F"/>
    <w:rsid w:val="52312ACD"/>
    <w:rsid w:val="523559B5"/>
    <w:rsid w:val="52385094"/>
    <w:rsid w:val="5239462F"/>
    <w:rsid w:val="523C0BF5"/>
    <w:rsid w:val="523D531D"/>
    <w:rsid w:val="524E2B5D"/>
    <w:rsid w:val="5251124B"/>
    <w:rsid w:val="52521718"/>
    <w:rsid w:val="525307A4"/>
    <w:rsid w:val="525B6200"/>
    <w:rsid w:val="525E0883"/>
    <w:rsid w:val="525E17D0"/>
    <w:rsid w:val="525E2BBC"/>
    <w:rsid w:val="52607D5D"/>
    <w:rsid w:val="52612408"/>
    <w:rsid w:val="52657FB6"/>
    <w:rsid w:val="5266680F"/>
    <w:rsid w:val="526A3C3E"/>
    <w:rsid w:val="526B675C"/>
    <w:rsid w:val="52710AF3"/>
    <w:rsid w:val="52794CF5"/>
    <w:rsid w:val="527B6214"/>
    <w:rsid w:val="527E487C"/>
    <w:rsid w:val="527F72C7"/>
    <w:rsid w:val="528053D1"/>
    <w:rsid w:val="528369BC"/>
    <w:rsid w:val="528623FE"/>
    <w:rsid w:val="52876925"/>
    <w:rsid w:val="5288437B"/>
    <w:rsid w:val="528A614F"/>
    <w:rsid w:val="529876F8"/>
    <w:rsid w:val="529E6B84"/>
    <w:rsid w:val="52AA68A8"/>
    <w:rsid w:val="52B505DB"/>
    <w:rsid w:val="52B76963"/>
    <w:rsid w:val="52B82AFD"/>
    <w:rsid w:val="52BD3183"/>
    <w:rsid w:val="52C24005"/>
    <w:rsid w:val="52C312E0"/>
    <w:rsid w:val="52CF2187"/>
    <w:rsid w:val="52D12906"/>
    <w:rsid w:val="52D164DE"/>
    <w:rsid w:val="52D420DA"/>
    <w:rsid w:val="52DB51CC"/>
    <w:rsid w:val="52DC656F"/>
    <w:rsid w:val="52E22A45"/>
    <w:rsid w:val="52E3130E"/>
    <w:rsid w:val="52E4747D"/>
    <w:rsid w:val="52E9594D"/>
    <w:rsid w:val="52EA7221"/>
    <w:rsid w:val="52EC2400"/>
    <w:rsid w:val="52ED11AA"/>
    <w:rsid w:val="52F53865"/>
    <w:rsid w:val="52F66A78"/>
    <w:rsid w:val="52F707CE"/>
    <w:rsid w:val="52F93059"/>
    <w:rsid w:val="52FE0A0A"/>
    <w:rsid w:val="5300052C"/>
    <w:rsid w:val="53044D32"/>
    <w:rsid w:val="53076574"/>
    <w:rsid w:val="5308412C"/>
    <w:rsid w:val="53110841"/>
    <w:rsid w:val="53111DC4"/>
    <w:rsid w:val="531221DB"/>
    <w:rsid w:val="53137E09"/>
    <w:rsid w:val="531703BA"/>
    <w:rsid w:val="531D345F"/>
    <w:rsid w:val="531E427A"/>
    <w:rsid w:val="531F5F4C"/>
    <w:rsid w:val="53200C05"/>
    <w:rsid w:val="53252C79"/>
    <w:rsid w:val="53294685"/>
    <w:rsid w:val="53294809"/>
    <w:rsid w:val="532A4393"/>
    <w:rsid w:val="532D287C"/>
    <w:rsid w:val="532D6A7E"/>
    <w:rsid w:val="532F3634"/>
    <w:rsid w:val="53301FFF"/>
    <w:rsid w:val="533A02B5"/>
    <w:rsid w:val="533C4B11"/>
    <w:rsid w:val="533E3CD7"/>
    <w:rsid w:val="534D4E7B"/>
    <w:rsid w:val="53530CEF"/>
    <w:rsid w:val="53531E3C"/>
    <w:rsid w:val="5358302C"/>
    <w:rsid w:val="536546C1"/>
    <w:rsid w:val="53672CE0"/>
    <w:rsid w:val="536801C3"/>
    <w:rsid w:val="536A54DD"/>
    <w:rsid w:val="536D0361"/>
    <w:rsid w:val="537376E3"/>
    <w:rsid w:val="537965A0"/>
    <w:rsid w:val="5385193E"/>
    <w:rsid w:val="538A6ABE"/>
    <w:rsid w:val="538A6D65"/>
    <w:rsid w:val="538B1B57"/>
    <w:rsid w:val="53933678"/>
    <w:rsid w:val="5394420E"/>
    <w:rsid w:val="539B7857"/>
    <w:rsid w:val="539C0B07"/>
    <w:rsid w:val="539D3C5F"/>
    <w:rsid w:val="539D73FD"/>
    <w:rsid w:val="539E6478"/>
    <w:rsid w:val="53AF0E50"/>
    <w:rsid w:val="53B23C64"/>
    <w:rsid w:val="53BB05E9"/>
    <w:rsid w:val="53BB50C5"/>
    <w:rsid w:val="53C30423"/>
    <w:rsid w:val="53C724C9"/>
    <w:rsid w:val="53C86952"/>
    <w:rsid w:val="53CE7540"/>
    <w:rsid w:val="53CF6001"/>
    <w:rsid w:val="53D14042"/>
    <w:rsid w:val="53D56269"/>
    <w:rsid w:val="53DA6127"/>
    <w:rsid w:val="53DB274B"/>
    <w:rsid w:val="53DF1D7F"/>
    <w:rsid w:val="53E24EC3"/>
    <w:rsid w:val="53E74A26"/>
    <w:rsid w:val="53ED02D0"/>
    <w:rsid w:val="53F32F02"/>
    <w:rsid w:val="53F876D8"/>
    <w:rsid w:val="53FB3868"/>
    <w:rsid w:val="53FB7BA6"/>
    <w:rsid w:val="53FC3227"/>
    <w:rsid w:val="53FC55C8"/>
    <w:rsid w:val="53FC6E13"/>
    <w:rsid w:val="54001BDF"/>
    <w:rsid w:val="5402338D"/>
    <w:rsid w:val="54045FCD"/>
    <w:rsid w:val="540A3B6E"/>
    <w:rsid w:val="540E2DA0"/>
    <w:rsid w:val="540E5BA4"/>
    <w:rsid w:val="540F00CC"/>
    <w:rsid w:val="54107ED0"/>
    <w:rsid w:val="5413372E"/>
    <w:rsid w:val="54136E88"/>
    <w:rsid w:val="541701AE"/>
    <w:rsid w:val="541C384C"/>
    <w:rsid w:val="54217565"/>
    <w:rsid w:val="542B0D65"/>
    <w:rsid w:val="542E23C0"/>
    <w:rsid w:val="54304A6B"/>
    <w:rsid w:val="54310473"/>
    <w:rsid w:val="543C277D"/>
    <w:rsid w:val="543E1B79"/>
    <w:rsid w:val="5440399B"/>
    <w:rsid w:val="544C09CA"/>
    <w:rsid w:val="544D6E43"/>
    <w:rsid w:val="545278AC"/>
    <w:rsid w:val="54580E19"/>
    <w:rsid w:val="545A5D44"/>
    <w:rsid w:val="545C0FA4"/>
    <w:rsid w:val="54611B8F"/>
    <w:rsid w:val="54661DBD"/>
    <w:rsid w:val="546870DE"/>
    <w:rsid w:val="546978D0"/>
    <w:rsid w:val="546C09CB"/>
    <w:rsid w:val="546D1738"/>
    <w:rsid w:val="547324AA"/>
    <w:rsid w:val="547C2D38"/>
    <w:rsid w:val="547D260F"/>
    <w:rsid w:val="547F72FC"/>
    <w:rsid w:val="548156DD"/>
    <w:rsid w:val="54820D13"/>
    <w:rsid w:val="5485573A"/>
    <w:rsid w:val="548B7449"/>
    <w:rsid w:val="549431A5"/>
    <w:rsid w:val="54974EBD"/>
    <w:rsid w:val="54976BBF"/>
    <w:rsid w:val="549A475E"/>
    <w:rsid w:val="549F5A94"/>
    <w:rsid w:val="54A36105"/>
    <w:rsid w:val="54A40D9E"/>
    <w:rsid w:val="54A5115A"/>
    <w:rsid w:val="54A8190F"/>
    <w:rsid w:val="54AC34B3"/>
    <w:rsid w:val="54B531FB"/>
    <w:rsid w:val="54B60694"/>
    <w:rsid w:val="54B72940"/>
    <w:rsid w:val="54B96D98"/>
    <w:rsid w:val="54BF0467"/>
    <w:rsid w:val="54C1301B"/>
    <w:rsid w:val="54CE3360"/>
    <w:rsid w:val="54D71551"/>
    <w:rsid w:val="54D76165"/>
    <w:rsid w:val="54DF055F"/>
    <w:rsid w:val="54E70A04"/>
    <w:rsid w:val="54EB38E2"/>
    <w:rsid w:val="54EF4A83"/>
    <w:rsid w:val="54F12C5A"/>
    <w:rsid w:val="54F32801"/>
    <w:rsid w:val="54F4446D"/>
    <w:rsid w:val="54F6267B"/>
    <w:rsid w:val="54F66D8B"/>
    <w:rsid w:val="54F800FA"/>
    <w:rsid w:val="54F92742"/>
    <w:rsid w:val="5501423B"/>
    <w:rsid w:val="5501453C"/>
    <w:rsid w:val="55037166"/>
    <w:rsid w:val="55053F16"/>
    <w:rsid w:val="550B08B9"/>
    <w:rsid w:val="550C08EE"/>
    <w:rsid w:val="550F0449"/>
    <w:rsid w:val="55154E38"/>
    <w:rsid w:val="55161671"/>
    <w:rsid w:val="551635AF"/>
    <w:rsid w:val="55187392"/>
    <w:rsid w:val="551A1A47"/>
    <w:rsid w:val="55244FB9"/>
    <w:rsid w:val="55255C5D"/>
    <w:rsid w:val="552B53F7"/>
    <w:rsid w:val="552D1EEA"/>
    <w:rsid w:val="55301AC9"/>
    <w:rsid w:val="55302EBE"/>
    <w:rsid w:val="553245DC"/>
    <w:rsid w:val="55374298"/>
    <w:rsid w:val="55376011"/>
    <w:rsid w:val="553761BE"/>
    <w:rsid w:val="5538122D"/>
    <w:rsid w:val="553B2F25"/>
    <w:rsid w:val="553D58BB"/>
    <w:rsid w:val="55401232"/>
    <w:rsid w:val="55467590"/>
    <w:rsid w:val="554B30A3"/>
    <w:rsid w:val="554F16A3"/>
    <w:rsid w:val="55512FDD"/>
    <w:rsid w:val="555174BD"/>
    <w:rsid w:val="555743EB"/>
    <w:rsid w:val="55576C44"/>
    <w:rsid w:val="555C6E1E"/>
    <w:rsid w:val="556139BA"/>
    <w:rsid w:val="55620E81"/>
    <w:rsid w:val="55630B23"/>
    <w:rsid w:val="55630E8D"/>
    <w:rsid w:val="556762E1"/>
    <w:rsid w:val="55715800"/>
    <w:rsid w:val="55734161"/>
    <w:rsid w:val="55761DB0"/>
    <w:rsid w:val="557635D5"/>
    <w:rsid w:val="55764B8B"/>
    <w:rsid w:val="557B4E39"/>
    <w:rsid w:val="557C678F"/>
    <w:rsid w:val="557D1C72"/>
    <w:rsid w:val="558471C6"/>
    <w:rsid w:val="55851A95"/>
    <w:rsid w:val="55854426"/>
    <w:rsid w:val="559829E0"/>
    <w:rsid w:val="559829E8"/>
    <w:rsid w:val="55992719"/>
    <w:rsid w:val="559C59FA"/>
    <w:rsid w:val="55A45A78"/>
    <w:rsid w:val="55A93736"/>
    <w:rsid w:val="55AB57C9"/>
    <w:rsid w:val="55AD13CA"/>
    <w:rsid w:val="55AD7AD3"/>
    <w:rsid w:val="55AF4928"/>
    <w:rsid w:val="55B2533C"/>
    <w:rsid w:val="55B81F55"/>
    <w:rsid w:val="55BE41C7"/>
    <w:rsid w:val="55C405EB"/>
    <w:rsid w:val="55C450C0"/>
    <w:rsid w:val="55C558A6"/>
    <w:rsid w:val="55C65FBF"/>
    <w:rsid w:val="55C954E0"/>
    <w:rsid w:val="55CE7467"/>
    <w:rsid w:val="55D03BC9"/>
    <w:rsid w:val="55D10C64"/>
    <w:rsid w:val="55D21BD0"/>
    <w:rsid w:val="55D35875"/>
    <w:rsid w:val="55D56F6B"/>
    <w:rsid w:val="55D667E9"/>
    <w:rsid w:val="55D805B7"/>
    <w:rsid w:val="55D952B3"/>
    <w:rsid w:val="55DA78AB"/>
    <w:rsid w:val="55DE68D1"/>
    <w:rsid w:val="55DF3FFB"/>
    <w:rsid w:val="55DF6236"/>
    <w:rsid w:val="55EC2E58"/>
    <w:rsid w:val="55EE38FF"/>
    <w:rsid w:val="55EE4C0F"/>
    <w:rsid w:val="55F12B0C"/>
    <w:rsid w:val="55F26796"/>
    <w:rsid w:val="55F65671"/>
    <w:rsid w:val="55F976EB"/>
    <w:rsid w:val="55FA704A"/>
    <w:rsid w:val="55FF0BFE"/>
    <w:rsid w:val="56013B5C"/>
    <w:rsid w:val="56057D4A"/>
    <w:rsid w:val="56095F49"/>
    <w:rsid w:val="562115BC"/>
    <w:rsid w:val="562513F6"/>
    <w:rsid w:val="56291B9F"/>
    <w:rsid w:val="562B1DDB"/>
    <w:rsid w:val="562C6175"/>
    <w:rsid w:val="56303A74"/>
    <w:rsid w:val="563168A6"/>
    <w:rsid w:val="563245CD"/>
    <w:rsid w:val="563410C0"/>
    <w:rsid w:val="563F1F7A"/>
    <w:rsid w:val="56433A8D"/>
    <w:rsid w:val="56454245"/>
    <w:rsid w:val="56455F03"/>
    <w:rsid w:val="5649773A"/>
    <w:rsid w:val="564E003B"/>
    <w:rsid w:val="56502CBA"/>
    <w:rsid w:val="56544FC9"/>
    <w:rsid w:val="5658679B"/>
    <w:rsid w:val="56587899"/>
    <w:rsid w:val="565B04CB"/>
    <w:rsid w:val="565C3F8B"/>
    <w:rsid w:val="565C6D88"/>
    <w:rsid w:val="5662590A"/>
    <w:rsid w:val="56656370"/>
    <w:rsid w:val="566953DD"/>
    <w:rsid w:val="566E56C7"/>
    <w:rsid w:val="566F7F2D"/>
    <w:rsid w:val="56735709"/>
    <w:rsid w:val="5674566B"/>
    <w:rsid w:val="5677320A"/>
    <w:rsid w:val="567771CB"/>
    <w:rsid w:val="56784A71"/>
    <w:rsid w:val="56792E8F"/>
    <w:rsid w:val="567F38AE"/>
    <w:rsid w:val="568902B0"/>
    <w:rsid w:val="568B6165"/>
    <w:rsid w:val="56946EB3"/>
    <w:rsid w:val="56960752"/>
    <w:rsid w:val="569705F9"/>
    <w:rsid w:val="56971057"/>
    <w:rsid w:val="56977C84"/>
    <w:rsid w:val="569B2A5D"/>
    <w:rsid w:val="569D1B5A"/>
    <w:rsid w:val="569F27CE"/>
    <w:rsid w:val="56A8556C"/>
    <w:rsid w:val="56AB4EC0"/>
    <w:rsid w:val="56AC5E51"/>
    <w:rsid w:val="56AE6CD8"/>
    <w:rsid w:val="56AF0D1B"/>
    <w:rsid w:val="56B111F1"/>
    <w:rsid w:val="56B207B0"/>
    <w:rsid w:val="56B354CA"/>
    <w:rsid w:val="56B93F44"/>
    <w:rsid w:val="56BA1FD1"/>
    <w:rsid w:val="56BD610C"/>
    <w:rsid w:val="56BE00D7"/>
    <w:rsid w:val="56C87EF0"/>
    <w:rsid w:val="56CA5F49"/>
    <w:rsid w:val="56D3703C"/>
    <w:rsid w:val="56D55186"/>
    <w:rsid w:val="56D743EE"/>
    <w:rsid w:val="56E35F11"/>
    <w:rsid w:val="56E932DF"/>
    <w:rsid w:val="56EA2ED1"/>
    <w:rsid w:val="56EC1E82"/>
    <w:rsid w:val="56EF5485"/>
    <w:rsid w:val="56F210AF"/>
    <w:rsid w:val="56F53E27"/>
    <w:rsid w:val="56F73016"/>
    <w:rsid w:val="56F93A37"/>
    <w:rsid w:val="56FC5EB8"/>
    <w:rsid w:val="56FD179D"/>
    <w:rsid w:val="56FF581F"/>
    <w:rsid w:val="57027123"/>
    <w:rsid w:val="57035E03"/>
    <w:rsid w:val="570B2916"/>
    <w:rsid w:val="570C1C35"/>
    <w:rsid w:val="57136420"/>
    <w:rsid w:val="57173FAA"/>
    <w:rsid w:val="5717443E"/>
    <w:rsid w:val="57183B9C"/>
    <w:rsid w:val="571C550D"/>
    <w:rsid w:val="571E2550"/>
    <w:rsid w:val="571E7CA1"/>
    <w:rsid w:val="57200628"/>
    <w:rsid w:val="57223946"/>
    <w:rsid w:val="57225CCE"/>
    <w:rsid w:val="5722736A"/>
    <w:rsid w:val="57293168"/>
    <w:rsid w:val="572A76E2"/>
    <w:rsid w:val="572F2AE3"/>
    <w:rsid w:val="57303947"/>
    <w:rsid w:val="573421CF"/>
    <w:rsid w:val="57350787"/>
    <w:rsid w:val="5735744B"/>
    <w:rsid w:val="5737737C"/>
    <w:rsid w:val="573829DD"/>
    <w:rsid w:val="573D5198"/>
    <w:rsid w:val="57425AB6"/>
    <w:rsid w:val="57484B56"/>
    <w:rsid w:val="57495C3E"/>
    <w:rsid w:val="574A24F9"/>
    <w:rsid w:val="57535712"/>
    <w:rsid w:val="57557CF3"/>
    <w:rsid w:val="575932DA"/>
    <w:rsid w:val="575F4BCB"/>
    <w:rsid w:val="57602629"/>
    <w:rsid w:val="576068D4"/>
    <w:rsid w:val="576659C1"/>
    <w:rsid w:val="5766671C"/>
    <w:rsid w:val="576913F3"/>
    <w:rsid w:val="576930E9"/>
    <w:rsid w:val="57696A0D"/>
    <w:rsid w:val="57697EE0"/>
    <w:rsid w:val="576B27CD"/>
    <w:rsid w:val="576D5577"/>
    <w:rsid w:val="576D55BE"/>
    <w:rsid w:val="57700E55"/>
    <w:rsid w:val="5770748B"/>
    <w:rsid w:val="57713A3D"/>
    <w:rsid w:val="57752DAA"/>
    <w:rsid w:val="577A45FE"/>
    <w:rsid w:val="577B1651"/>
    <w:rsid w:val="577D4C15"/>
    <w:rsid w:val="577D71C4"/>
    <w:rsid w:val="57840C58"/>
    <w:rsid w:val="57863597"/>
    <w:rsid w:val="5787350D"/>
    <w:rsid w:val="578A3BA5"/>
    <w:rsid w:val="578D6AAF"/>
    <w:rsid w:val="579650EC"/>
    <w:rsid w:val="57972362"/>
    <w:rsid w:val="579907D3"/>
    <w:rsid w:val="579C4093"/>
    <w:rsid w:val="579D09EB"/>
    <w:rsid w:val="579D5C88"/>
    <w:rsid w:val="57A71DA3"/>
    <w:rsid w:val="57AD1B7D"/>
    <w:rsid w:val="57B374B1"/>
    <w:rsid w:val="57B41445"/>
    <w:rsid w:val="57B4296C"/>
    <w:rsid w:val="57B77DB3"/>
    <w:rsid w:val="57B837DB"/>
    <w:rsid w:val="57B872B1"/>
    <w:rsid w:val="57BA35FF"/>
    <w:rsid w:val="57BF66F0"/>
    <w:rsid w:val="57C06C81"/>
    <w:rsid w:val="57C07E93"/>
    <w:rsid w:val="57C2307E"/>
    <w:rsid w:val="57C4606E"/>
    <w:rsid w:val="57C74EF9"/>
    <w:rsid w:val="57C8205E"/>
    <w:rsid w:val="57C95A05"/>
    <w:rsid w:val="57CE571E"/>
    <w:rsid w:val="57DD3C15"/>
    <w:rsid w:val="57DD3F22"/>
    <w:rsid w:val="57E52BD4"/>
    <w:rsid w:val="57E67CA3"/>
    <w:rsid w:val="57E86E2A"/>
    <w:rsid w:val="57EC3BC8"/>
    <w:rsid w:val="57EF38FE"/>
    <w:rsid w:val="57F317BB"/>
    <w:rsid w:val="57F505E0"/>
    <w:rsid w:val="57F859D0"/>
    <w:rsid w:val="57FC25FF"/>
    <w:rsid w:val="57FF16FA"/>
    <w:rsid w:val="57FF1944"/>
    <w:rsid w:val="57FF6BA8"/>
    <w:rsid w:val="58011C91"/>
    <w:rsid w:val="580B0B90"/>
    <w:rsid w:val="580C5C9E"/>
    <w:rsid w:val="581562E4"/>
    <w:rsid w:val="58176D49"/>
    <w:rsid w:val="581B0D4D"/>
    <w:rsid w:val="5822643C"/>
    <w:rsid w:val="5824253E"/>
    <w:rsid w:val="58283E2C"/>
    <w:rsid w:val="582B5B35"/>
    <w:rsid w:val="583072E2"/>
    <w:rsid w:val="58314212"/>
    <w:rsid w:val="58334650"/>
    <w:rsid w:val="58336BE3"/>
    <w:rsid w:val="58393004"/>
    <w:rsid w:val="58397AE6"/>
    <w:rsid w:val="583A60B8"/>
    <w:rsid w:val="583B2290"/>
    <w:rsid w:val="58406FF8"/>
    <w:rsid w:val="58433408"/>
    <w:rsid w:val="584817CA"/>
    <w:rsid w:val="58495706"/>
    <w:rsid w:val="584D6EC1"/>
    <w:rsid w:val="584E3015"/>
    <w:rsid w:val="584F26FD"/>
    <w:rsid w:val="584F7AA5"/>
    <w:rsid w:val="58511413"/>
    <w:rsid w:val="58526F44"/>
    <w:rsid w:val="5856725A"/>
    <w:rsid w:val="585B0402"/>
    <w:rsid w:val="5862108C"/>
    <w:rsid w:val="586307FE"/>
    <w:rsid w:val="58640A15"/>
    <w:rsid w:val="58675821"/>
    <w:rsid w:val="586B1D34"/>
    <w:rsid w:val="586D39F5"/>
    <w:rsid w:val="586F08F1"/>
    <w:rsid w:val="58715559"/>
    <w:rsid w:val="587A1A8F"/>
    <w:rsid w:val="587C3343"/>
    <w:rsid w:val="587C6440"/>
    <w:rsid w:val="58803C90"/>
    <w:rsid w:val="5882271B"/>
    <w:rsid w:val="58826655"/>
    <w:rsid w:val="58831E0C"/>
    <w:rsid w:val="58866CB6"/>
    <w:rsid w:val="588748E9"/>
    <w:rsid w:val="5888112A"/>
    <w:rsid w:val="58886C3D"/>
    <w:rsid w:val="588C4378"/>
    <w:rsid w:val="588E6302"/>
    <w:rsid w:val="58932207"/>
    <w:rsid w:val="5896382D"/>
    <w:rsid w:val="58967926"/>
    <w:rsid w:val="5897441C"/>
    <w:rsid w:val="58993310"/>
    <w:rsid w:val="58A26033"/>
    <w:rsid w:val="58A33A30"/>
    <w:rsid w:val="58A76B94"/>
    <w:rsid w:val="58AB1BB1"/>
    <w:rsid w:val="58AC08DD"/>
    <w:rsid w:val="58B50C01"/>
    <w:rsid w:val="58BC2ADC"/>
    <w:rsid w:val="58BD084C"/>
    <w:rsid w:val="58BE2D2F"/>
    <w:rsid w:val="58C47EA7"/>
    <w:rsid w:val="58C9379A"/>
    <w:rsid w:val="58CA57B0"/>
    <w:rsid w:val="58CA6F68"/>
    <w:rsid w:val="58CC6879"/>
    <w:rsid w:val="58CF0858"/>
    <w:rsid w:val="58D4357A"/>
    <w:rsid w:val="58D4423A"/>
    <w:rsid w:val="58D6211E"/>
    <w:rsid w:val="58E00CAB"/>
    <w:rsid w:val="58E409DA"/>
    <w:rsid w:val="58EF2845"/>
    <w:rsid w:val="58EF6A87"/>
    <w:rsid w:val="58F40970"/>
    <w:rsid w:val="58F44BA1"/>
    <w:rsid w:val="58F57B07"/>
    <w:rsid w:val="58F74053"/>
    <w:rsid w:val="58FA7172"/>
    <w:rsid w:val="58FC4629"/>
    <w:rsid w:val="59001B1C"/>
    <w:rsid w:val="590129E2"/>
    <w:rsid w:val="590171B2"/>
    <w:rsid w:val="590230F6"/>
    <w:rsid w:val="59072BF8"/>
    <w:rsid w:val="590E0A8E"/>
    <w:rsid w:val="590E15DF"/>
    <w:rsid w:val="590E67BF"/>
    <w:rsid w:val="59135A30"/>
    <w:rsid w:val="59137BF0"/>
    <w:rsid w:val="591A49E1"/>
    <w:rsid w:val="591B0440"/>
    <w:rsid w:val="591D5964"/>
    <w:rsid w:val="592370E1"/>
    <w:rsid w:val="592474EC"/>
    <w:rsid w:val="59253855"/>
    <w:rsid w:val="593462C9"/>
    <w:rsid w:val="59355A58"/>
    <w:rsid w:val="59397572"/>
    <w:rsid w:val="593C47DA"/>
    <w:rsid w:val="593F3029"/>
    <w:rsid w:val="594D2608"/>
    <w:rsid w:val="594D35EC"/>
    <w:rsid w:val="594F43CB"/>
    <w:rsid w:val="59525651"/>
    <w:rsid w:val="59540D28"/>
    <w:rsid w:val="59595432"/>
    <w:rsid w:val="595A3E37"/>
    <w:rsid w:val="595E6A4B"/>
    <w:rsid w:val="596063BE"/>
    <w:rsid w:val="59627D65"/>
    <w:rsid w:val="59640683"/>
    <w:rsid w:val="596E2FA3"/>
    <w:rsid w:val="59700248"/>
    <w:rsid w:val="59742562"/>
    <w:rsid w:val="5977309A"/>
    <w:rsid w:val="597A6B98"/>
    <w:rsid w:val="5980015D"/>
    <w:rsid w:val="598137D4"/>
    <w:rsid w:val="59813F83"/>
    <w:rsid w:val="59847CB7"/>
    <w:rsid w:val="598E54B6"/>
    <w:rsid w:val="598E5823"/>
    <w:rsid w:val="59910542"/>
    <w:rsid w:val="599776A7"/>
    <w:rsid w:val="5998247B"/>
    <w:rsid w:val="599B4E9D"/>
    <w:rsid w:val="59A670A5"/>
    <w:rsid w:val="59AB46F9"/>
    <w:rsid w:val="59AC6E22"/>
    <w:rsid w:val="59B70B8D"/>
    <w:rsid w:val="59B97928"/>
    <w:rsid w:val="59BA7DD5"/>
    <w:rsid w:val="59BD3727"/>
    <w:rsid w:val="59C53902"/>
    <w:rsid w:val="59CB25F8"/>
    <w:rsid w:val="59CC41C3"/>
    <w:rsid w:val="59D52586"/>
    <w:rsid w:val="59D84DA4"/>
    <w:rsid w:val="59DB43E2"/>
    <w:rsid w:val="59E11CA7"/>
    <w:rsid w:val="59E34937"/>
    <w:rsid w:val="59E45795"/>
    <w:rsid w:val="59E464B6"/>
    <w:rsid w:val="59E54F5C"/>
    <w:rsid w:val="59E66DC5"/>
    <w:rsid w:val="59E731EF"/>
    <w:rsid w:val="59F45E9C"/>
    <w:rsid w:val="59F64FF9"/>
    <w:rsid w:val="59F74327"/>
    <w:rsid w:val="59F82DD9"/>
    <w:rsid w:val="59FC229E"/>
    <w:rsid w:val="5A045433"/>
    <w:rsid w:val="5A0751B6"/>
    <w:rsid w:val="5A0B23BB"/>
    <w:rsid w:val="5A12354D"/>
    <w:rsid w:val="5A1239BC"/>
    <w:rsid w:val="5A155694"/>
    <w:rsid w:val="5A197D88"/>
    <w:rsid w:val="5A1A19B7"/>
    <w:rsid w:val="5A1A47CB"/>
    <w:rsid w:val="5A1B093A"/>
    <w:rsid w:val="5A215049"/>
    <w:rsid w:val="5A221586"/>
    <w:rsid w:val="5A2B084A"/>
    <w:rsid w:val="5A2E3B50"/>
    <w:rsid w:val="5A31153C"/>
    <w:rsid w:val="5A315478"/>
    <w:rsid w:val="5A316C0F"/>
    <w:rsid w:val="5A3670C2"/>
    <w:rsid w:val="5A3745CD"/>
    <w:rsid w:val="5A3932CC"/>
    <w:rsid w:val="5A3D6CA3"/>
    <w:rsid w:val="5A3F2008"/>
    <w:rsid w:val="5A4432B0"/>
    <w:rsid w:val="5A494DD2"/>
    <w:rsid w:val="5A49732F"/>
    <w:rsid w:val="5A4A2BAC"/>
    <w:rsid w:val="5A4B4F21"/>
    <w:rsid w:val="5A511839"/>
    <w:rsid w:val="5A536D10"/>
    <w:rsid w:val="5A544289"/>
    <w:rsid w:val="5A561D44"/>
    <w:rsid w:val="5A582E37"/>
    <w:rsid w:val="5A594C56"/>
    <w:rsid w:val="5A5A3E7D"/>
    <w:rsid w:val="5A5B4586"/>
    <w:rsid w:val="5A5B5189"/>
    <w:rsid w:val="5A627211"/>
    <w:rsid w:val="5A63175A"/>
    <w:rsid w:val="5A636DC9"/>
    <w:rsid w:val="5A655B46"/>
    <w:rsid w:val="5A720AF7"/>
    <w:rsid w:val="5A735CFB"/>
    <w:rsid w:val="5A774F37"/>
    <w:rsid w:val="5A78503E"/>
    <w:rsid w:val="5A7C21D3"/>
    <w:rsid w:val="5A7D352B"/>
    <w:rsid w:val="5A7F2D7C"/>
    <w:rsid w:val="5A83050E"/>
    <w:rsid w:val="5A830901"/>
    <w:rsid w:val="5A856C67"/>
    <w:rsid w:val="5A914AC0"/>
    <w:rsid w:val="5A9321EE"/>
    <w:rsid w:val="5A981759"/>
    <w:rsid w:val="5A992D82"/>
    <w:rsid w:val="5A9A034F"/>
    <w:rsid w:val="5A9B6D5A"/>
    <w:rsid w:val="5A9D0787"/>
    <w:rsid w:val="5AA77E7B"/>
    <w:rsid w:val="5AA907E6"/>
    <w:rsid w:val="5AAC2891"/>
    <w:rsid w:val="5AB03A78"/>
    <w:rsid w:val="5AB4435E"/>
    <w:rsid w:val="5AB457E8"/>
    <w:rsid w:val="5AB54DE2"/>
    <w:rsid w:val="5AB56846"/>
    <w:rsid w:val="5AB6098A"/>
    <w:rsid w:val="5AB67DFB"/>
    <w:rsid w:val="5AB95A63"/>
    <w:rsid w:val="5ABA32CB"/>
    <w:rsid w:val="5ABD4C14"/>
    <w:rsid w:val="5AC903AB"/>
    <w:rsid w:val="5AC92D0C"/>
    <w:rsid w:val="5ACB3A42"/>
    <w:rsid w:val="5AD0460C"/>
    <w:rsid w:val="5AD41EE4"/>
    <w:rsid w:val="5AD46110"/>
    <w:rsid w:val="5AD56F2D"/>
    <w:rsid w:val="5AD85817"/>
    <w:rsid w:val="5ADC520F"/>
    <w:rsid w:val="5AE21E15"/>
    <w:rsid w:val="5AE3743E"/>
    <w:rsid w:val="5AE45C6B"/>
    <w:rsid w:val="5AE659BE"/>
    <w:rsid w:val="5AE76945"/>
    <w:rsid w:val="5AE802F8"/>
    <w:rsid w:val="5AF412BC"/>
    <w:rsid w:val="5AF76AD8"/>
    <w:rsid w:val="5AF919C8"/>
    <w:rsid w:val="5AFA3272"/>
    <w:rsid w:val="5AFC163F"/>
    <w:rsid w:val="5AFF2379"/>
    <w:rsid w:val="5B007F02"/>
    <w:rsid w:val="5B045308"/>
    <w:rsid w:val="5B047F2D"/>
    <w:rsid w:val="5B052FFF"/>
    <w:rsid w:val="5B0A4957"/>
    <w:rsid w:val="5B115700"/>
    <w:rsid w:val="5B122FB4"/>
    <w:rsid w:val="5B1534C9"/>
    <w:rsid w:val="5B17677C"/>
    <w:rsid w:val="5B184BDF"/>
    <w:rsid w:val="5B1C0DC1"/>
    <w:rsid w:val="5B1E5416"/>
    <w:rsid w:val="5B240837"/>
    <w:rsid w:val="5B254F7D"/>
    <w:rsid w:val="5B2B1F71"/>
    <w:rsid w:val="5B2B5B20"/>
    <w:rsid w:val="5B2E7780"/>
    <w:rsid w:val="5B33046A"/>
    <w:rsid w:val="5B3901C0"/>
    <w:rsid w:val="5B3F65A7"/>
    <w:rsid w:val="5B456418"/>
    <w:rsid w:val="5B477BA5"/>
    <w:rsid w:val="5B484704"/>
    <w:rsid w:val="5B49474B"/>
    <w:rsid w:val="5B4E4F4F"/>
    <w:rsid w:val="5B5124F7"/>
    <w:rsid w:val="5B5132D6"/>
    <w:rsid w:val="5B572871"/>
    <w:rsid w:val="5B595551"/>
    <w:rsid w:val="5B6168AC"/>
    <w:rsid w:val="5B6330BF"/>
    <w:rsid w:val="5B642206"/>
    <w:rsid w:val="5B697E98"/>
    <w:rsid w:val="5B6B6BF0"/>
    <w:rsid w:val="5B6D7812"/>
    <w:rsid w:val="5B6D7DCA"/>
    <w:rsid w:val="5B6E12B0"/>
    <w:rsid w:val="5B794A24"/>
    <w:rsid w:val="5B7E2902"/>
    <w:rsid w:val="5B8413A1"/>
    <w:rsid w:val="5B85001F"/>
    <w:rsid w:val="5B851E16"/>
    <w:rsid w:val="5B8F4625"/>
    <w:rsid w:val="5B8F4CE6"/>
    <w:rsid w:val="5B920BA4"/>
    <w:rsid w:val="5BA61D71"/>
    <w:rsid w:val="5BAA3595"/>
    <w:rsid w:val="5BAB7890"/>
    <w:rsid w:val="5BB0279C"/>
    <w:rsid w:val="5BB708A6"/>
    <w:rsid w:val="5BB74F3E"/>
    <w:rsid w:val="5BC27E13"/>
    <w:rsid w:val="5BC736DE"/>
    <w:rsid w:val="5BCC0909"/>
    <w:rsid w:val="5BCD1A30"/>
    <w:rsid w:val="5BCE3AD5"/>
    <w:rsid w:val="5BD5018E"/>
    <w:rsid w:val="5BDF65CB"/>
    <w:rsid w:val="5BE235B8"/>
    <w:rsid w:val="5BE979A8"/>
    <w:rsid w:val="5BEB4C75"/>
    <w:rsid w:val="5BF27046"/>
    <w:rsid w:val="5BF35538"/>
    <w:rsid w:val="5BF3657E"/>
    <w:rsid w:val="5BF42E3D"/>
    <w:rsid w:val="5BF62E82"/>
    <w:rsid w:val="5BF642F2"/>
    <w:rsid w:val="5BF7410B"/>
    <w:rsid w:val="5BF77A59"/>
    <w:rsid w:val="5BF87C86"/>
    <w:rsid w:val="5C005479"/>
    <w:rsid w:val="5C0C5263"/>
    <w:rsid w:val="5C1025FD"/>
    <w:rsid w:val="5C105076"/>
    <w:rsid w:val="5C127C19"/>
    <w:rsid w:val="5C1B4BCD"/>
    <w:rsid w:val="5C1D2D36"/>
    <w:rsid w:val="5C1F7C16"/>
    <w:rsid w:val="5C205808"/>
    <w:rsid w:val="5C281200"/>
    <w:rsid w:val="5C2C5A18"/>
    <w:rsid w:val="5C2D3827"/>
    <w:rsid w:val="5C303355"/>
    <w:rsid w:val="5C327E67"/>
    <w:rsid w:val="5C381FED"/>
    <w:rsid w:val="5C397468"/>
    <w:rsid w:val="5C3A1D3A"/>
    <w:rsid w:val="5C3F5FF6"/>
    <w:rsid w:val="5C401AA7"/>
    <w:rsid w:val="5C43753D"/>
    <w:rsid w:val="5C453BB6"/>
    <w:rsid w:val="5C48488A"/>
    <w:rsid w:val="5C4D317C"/>
    <w:rsid w:val="5C4D355C"/>
    <w:rsid w:val="5C4E7F3D"/>
    <w:rsid w:val="5C51207F"/>
    <w:rsid w:val="5C524599"/>
    <w:rsid w:val="5C544A66"/>
    <w:rsid w:val="5C597492"/>
    <w:rsid w:val="5C5B009F"/>
    <w:rsid w:val="5C5B21AB"/>
    <w:rsid w:val="5C60330C"/>
    <w:rsid w:val="5C6070CE"/>
    <w:rsid w:val="5C6352A1"/>
    <w:rsid w:val="5C640FD6"/>
    <w:rsid w:val="5C670D0E"/>
    <w:rsid w:val="5C673289"/>
    <w:rsid w:val="5C690678"/>
    <w:rsid w:val="5C6A0D8B"/>
    <w:rsid w:val="5C6A55BE"/>
    <w:rsid w:val="5C6B4645"/>
    <w:rsid w:val="5C6E4ABD"/>
    <w:rsid w:val="5C782987"/>
    <w:rsid w:val="5C7F3B9C"/>
    <w:rsid w:val="5C813DA9"/>
    <w:rsid w:val="5C822D89"/>
    <w:rsid w:val="5C853AC4"/>
    <w:rsid w:val="5C8602C9"/>
    <w:rsid w:val="5C866D5B"/>
    <w:rsid w:val="5C8961BA"/>
    <w:rsid w:val="5C8F5756"/>
    <w:rsid w:val="5C932B50"/>
    <w:rsid w:val="5C956C55"/>
    <w:rsid w:val="5C964E9B"/>
    <w:rsid w:val="5C9C7EEB"/>
    <w:rsid w:val="5C9D4EC3"/>
    <w:rsid w:val="5CA30E17"/>
    <w:rsid w:val="5CA74FA4"/>
    <w:rsid w:val="5CAA3518"/>
    <w:rsid w:val="5CAB0D72"/>
    <w:rsid w:val="5CAB654B"/>
    <w:rsid w:val="5CAD6881"/>
    <w:rsid w:val="5CB27CA0"/>
    <w:rsid w:val="5CB510FB"/>
    <w:rsid w:val="5CB63050"/>
    <w:rsid w:val="5CB81A7E"/>
    <w:rsid w:val="5CBA2D1F"/>
    <w:rsid w:val="5CBC04C3"/>
    <w:rsid w:val="5CBD0264"/>
    <w:rsid w:val="5CC33AF9"/>
    <w:rsid w:val="5CC477FD"/>
    <w:rsid w:val="5CC6480D"/>
    <w:rsid w:val="5CC65B4A"/>
    <w:rsid w:val="5CC671AE"/>
    <w:rsid w:val="5CC917A6"/>
    <w:rsid w:val="5CD13F56"/>
    <w:rsid w:val="5CD20170"/>
    <w:rsid w:val="5CD93615"/>
    <w:rsid w:val="5CDC25E8"/>
    <w:rsid w:val="5CDD1512"/>
    <w:rsid w:val="5CDD4761"/>
    <w:rsid w:val="5CE36E6F"/>
    <w:rsid w:val="5CE9231F"/>
    <w:rsid w:val="5CEC4EAF"/>
    <w:rsid w:val="5CF0496A"/>
    <w:rsid w:val="5CF753A4"/>
    <w:rsid w:val="5CF76915"/>
    <w:rsid w:val="5CF80CDE"/>
    <w:rsid w:val="5CFA1BD9"/>
    <w:rsid w:val="5CFB77FB"/>
    <w:rsid w:val="5CFC4D87"/>
    <w:rsid w:val="5CFE049D"/>
    <w:rsid w:val="5D001F6A"/>
    <w:rsid w:val="5D032FAB"/>
    <w:rsid w:val="5D0A6A67"/>
    <w:rsid w:val="5D0C7BF7"/>
    <w:rsid w:val="5D0D7BDB"/>
    <w:rsid w:val="5D113601"/>
    <w:rsid w:val="5D117244"/>
    <w:rsid w:val="5D14153F"/>
    <w:rsid w:val="5D167E98"/>
    <w:rsid w:val="5D191CE9"/>
    <w:rsid w:val="5D192492"/>
    <w:rsid w:val="5D1F7604"/>
    <w:rsid w:val="5D1F7634"/>
    <w:rsid w:val="5D2A576B"/>
    <w:rsid w:val="5D350F9B"/>
    <w:rsid w:val="5D354613"/>
    <w:rsid w:val="5D3C3226"/>
    <w:rsid w:val="5D3C4124"/>
    <w:rsid w:val="5D3F3FEC"/>
    <w:rsid w:val="5D4273C0"/>
    <w:rsid w:val="5D435039"/>
    <w:rsid w:val="5D4733F3"/>
    <w:rsid w:val="5D51675D"/>
    <w:rsid w:val="5D520452"/>
    <w:rsid w:val="5D546B71"/>
    <w:rsid w:val="5D556353"/>
    <w:rsid w:val="5D593145"/>
    <w:rsid w:val="5D5F5DF8"/>
    <w:rsid w:val="5D614B12"/>
    <w:rsid w:val="5D61536E"/>
    <w:rsid w:val="5D660448"/>
    <w:rsid w:val="5D662C87"/>
    <w:rsid w:val="5D6A6B5A"/>
    <w:rsid w:val="5D6C5C8B"/>
    <w:rsid w:val="5D6D33DC"/>
    <w:rsid w:val="5D6E551B"/>
    <w:rsid w:val="5D6F12CB"/>
    <w:rsid w:val="5D6F78C1"/>
    <w:rsid w:val="5D74140A"/>
    <w:rsid w:val="5D7549C2"/>
    <w:rsid w:val="5D763576"/>
    <w:rsid w:val="5D7753EA"/>
    <w:rsid w:val="5D77616B"/>
    <w:rsid w:val="5D791027"/>
    <w:rsid w:val="5D7C5F36"/>
    <w:rsid w:val="5D7D45FE"/>
    <w:rsid w:val="5D8248E6"/>
    <w:rsid w:val="5D8421EC"/>
    <w:rsid w:val="5D8613BE"/>
    <w:rsid w:val="5D8941A6"/>
    <w:rsid w:val="5D8B0C04"/>
    <w:rsid w:val="5D945A88"/>
    <w:rsid w:val="5D953F2E"/>
    <w:rsid w:val="5D981C59"/>
    <w:rsid w:val="5D986B58"/>
    <w:rsid w:val="5D9949B9"/>
    <w:rsid w:val="5DA40829"/>
    <w:rsid w:val="5DA44E1F"/>
    <w:rsid w:val="5DB221B1"/>
    <w:rsid w:val="5DBA6BD7"/>
    <w:rsid w:val="5DC64FCA"/>
    <w:rsid w:val="5DC7198B"/>
    <w:rsid w:val="5DCB7895"/>
    <w:rsid w:val="5DCF40FC"/>
    <w:rsid w:val="5DD00E2C"/>
    <w:rsid w:val="5DD04110"/>
    <w:rsid w:val="5DD16E0D"/>
    <w:rsid w:val="5DD60DD4"/>
    <w:rsid w:val="5DD627B0"/>
    <w:rsid w:val="5DE46450"/>
    <w:rsid w:val="5DE744CC"/>
    <w:rsid w:val="5DE957C4"/>
    <w:rsid w:val="5DEA3BC5"/>
    <w:rsid w:val="5DEC11EF"/>
    <w:rsid w:val="5DF147BA"/>
    <w:rsid w:val="5DF37EEC"/>
    <w:rsid w:val="5DF42290"/>
    <w:rsid w:val="5DF508F7"/>
    <w:rsid w:val="5DFA0C5A"/>
    <w:rsid w:val="5DFF4513"/>
    <w:rsid w:val="5E00204C"/>
    <w:rsid w:val="5E076C8D"/>
    <w:rsid w:val="5E0A19C8"/>
    <w:rsid w:val="5E28672F"/>
    <w:rsid w:val="5E29437E"/>
    <w:rsid w:val="5E294DAD"/>
    <w:rsid w:val="5E2F1739"/>
    <w:rsid w:val="5E370CA5"/>
    <w:rsid w:val="5E383AC0"/>
    <w:rsid w:val="5E387DE3"/>
    <w:rsid w:val="5E3919E6"/>
    <w:rsid w:val="5E3B244A"/>
    <w:rsid w:val="5E403342"/>
    <w:rsid w:val="5E403755"/>
    <w:rsid w:val="5E43022D"/>
    <w:rsid w:val="5E436F67"/>
    <w:rsid w:val="5E456723"/>
    <w:rsid w:val="5E4930BE"/>
    <w:rsid w:val="5E4C74E8"/>
    <w:rsid w:val="5E5067C0"/>
    <w:rsid w:val="5E541D8C"/>
    <w:rsid w:val="5E5B31CC"/>
    <w:rsid w:val="5E5D46F5"/>
    <w:rsid w:val="5E6145C9"/>
    <w:rsid w:val="5E682E0B"/>
    <w:rsid w:val="5E73325A"/>
    <w:rsid w:val="5E734161"/>
    <w:rsid w:val="5E792C4C"/>
    <w:rsid w:val="5E8130E9"/>
    <w:rsid w:val="5E825230"/>
    <w:rsid w:val="5E840E13"/>
    <w:rsid w:val="5E8745D7"/>
    <w:rsid w:val="5E8E0815"/>
    <w:rsid w:val="5E963FB9"/>
    <w:rsid w:val="5E9869A8"/>
    <w:rsid w:val="5E9933BE"/>
    <w:rsid w:val="5E9E619F"/>
    <w:rsid w:val="5EA62E04"/>
    <w:rsid w:val="5EAF5822"/>
    <w:rsid w:val="5EB0485A"/>
    <w:rsid w:val="5EB1029B"/>
    <w:rsid w:val="5EB11995"/>
    <w:rsid w:val="5EB37CAD"/>
    <w:rsid w:val="5EB82F97"/>
    <w:rsid w:val="5EBC08DC"/>
    <w:rsid w:val="5EBE2ED4"/>
    <w:rsid w:val="5EC2795E"/>
    <w:rsid w:val="5EC347F5"/>
    <w:rsid w:val="5EC40474"/>
    <w:rsid w:val="5EC6722F"/>
    <w:rsid w:val="5ECA2749"/>
    <w:rsid w:val="5ECB392F"/>
    <w:rsid w:val="5ECC4869"/>
    <w:rsid w:val="5ECE4A63"/>
    <w:rsid w:val="5ED270F6"/>
    <w:rsid w:val="5ED56961"/>
    <w:rsid w:val="5ED7669D"/>
    <w:rsid w:val="5ED8255E"/>
    <w:rsid w:val="5ED948E8"/>
    <w:rsid w:val="5EDB6719"/>
    <w:rsid w:val="5EDF63DC"/>
    <w:rsid w:val="5EE23975"/>
    <w:rsid w:val="5EE64A2E"/>
    <w:rsid w:val="5EE815AE"/>
    <w:rsid w:val="5EEE525D"/>
    <w:rsid w:val="5EEF0896"/>
    <w:rsid w:val="5EF04432"/>
    <w:rsid w:val="5EF0550C"/>
    <w:rsid w:val="5EF131AF"/>
    <w:rsid w:val="5EF20926"/>
    <w:rsid w:val="5EF81544"/>
    <w:rsid w:val="5EFB4175"/>
    <w:rsid w:val="5EFB63DF"/>
    <w:rsid w:val="5EFB6A25"/>
    <w:rsid w:val="5F071CEC"/>
    <w:rsid w:val="5F094FBB"/>
    <w:rsid w:val="5F0E249D"/>
    <w:rsid w:val="5F0F2E69"/>
    <w:rsid w:val="5F117580"/>
    <w:rsid w:val="5F127125"/>
    <w:rsid w:val="5F136C37"/>
    <w:rsid w:val="5F167F3D"/>
    <w:rsid w:val="5F192719"/>
    <w:rsid w:val="5F1B5D2D"/>
    <w:rsid w:val="5F250EFE"/>
    <w:rsid w:val="5F25590B"/>
    <w:rsid w:val="5F270AD7"/>
    <w:rsid w:val="5F293AD1"/>
    <w:rsid w:val="5F2A1441"/>
    <w:rsid w:val="5F2F51D9"/>
    <w:rsid w:val="5F3508CD"/>
    <w:rsid w:val="5F37640F"/>
    <w:rsid w:val="5F3D291D"/>
    <w:rsid w:val="5F413B36"/>
    <w:rsid w:val="5F422012"/>
    <w:rsid w:val="5F455785"/>
    <w:rsid w:val="5F481454"/>
    <w:rsid w:val="5F481F2D"/>
    <w:rsid w:val="5F49739A"/>
    <w:rsid w:val="5F4B758C"/>
    <w:rsid w:val="5F523897"/>
    <w:rsid w:val="5F552857"/>
    <w:rsid w:val="5F58252C"/>
    <w:rsid w:val="5F592BD5"/>
    <w:rsid w:val="5F6130FF"/>
    <w:rsid w:val="5F62279F"/>
    <w:rsid w:val="5F6228A7"/>
    <w:rsid w:val="5F674E8B"/>
    <w:rsid w:val="5F6C54F6"/>
    <w:rsid w:val="5F700D24"/>
    <w:rsid w:val="5F753EB8"/>
    <w:rsid w:val="5F7A5DDD"/>
    <w:rsid w:val="5F7B3E0A"/>
    <w:rsid w:val="5F7D049C"/>
    <w:rsid w:val="5F83114F"/>
    <w:rsid w:val="5F831A48"/>
    <w:rsid w:val="5F83423C"/>
    <w:rsid w:val="5F8620D8"/>
    <w:rsid w:val="5F8720B9"/>
    <w:rsid w:val="5F8A419B"/>
    <w:rsid w:val="5F8C58FB"/>
    <w:rsid w:val="5F903BC3"/>
    <w:rsid w:val="5F910220"/>
    <w:rsid w:val="5F964350"/>
    <w:rsid w:val="5F975203"/>
    <w:rsid w:val="5F980BF5"/>
    <w:rsid w:val="5F9902D3"/>
    <w:rsid w:val="5F9E16AF"/>
    <w:rsid w:val="5FA14C63"/>
    <w:rsid w:val="5FA447AC"/>
    <w:rsid w:val="5FA52DEC"/>
    <w:rsid w:val="5FAB2DDB"/>
    <w:rsid w:val="5FAD5D58"/>
    <w:rsid w:val="5FB23397"/>
    <w:rsid w:val="5FB32324"/>
    <w:rsid w:val="5FB3751B"/>
    <w:rsid w:val="5FB42FC0"/>
    <w:rsid w:val="5FB501A9"/>
    <w:rsid w:val="5FB51616"/>
    <w:rsid w:val="5FC82966"/>
    <w:rsid w:val="5FD2074A"/>
    <w:rsid w:val="5FD413F8"/>
    <w:rsid w:val="5FD54455"/>
    <w:rsid w:val="5FD7562A"/>
    <w:rsid w:val="5FD9231D"/>
    <w:rsid w:val="5FDA045E"/>
    <w:rsid w:val="5FDA4CD0"/>
    <w:rsid w:val="5FDA6256"/>
    <w:rsid w:val="5FDC3FCB"/>
    <w:rsid w:val="5FDD62B2"/>
    <w:rsid w:val="5FDF1BA8"/>
    <w:rsid w:val="5FDF6D5B"/>
    <w:rsid w:val="5FE0179C"/>
    <w:rsid w:val="5FE40E22"/>
    <w:rsid w:val="5FE51689"/>
    <w:rsid w:val="5FE603B6"/>
    <w:rsid w:val="5FE71AB2"/>
    <w:rsid w:val="5FF34E5E"/>
    <w:rsid w:val="5FFB059D"/>
    <w:rsid w:val="5FFC1FD2"/>
    <w:rsid w:val="60007542"/>
    <w:rsid w:val="60027F3B"/>
    <w:rsid w:val="60033217"/>
    <w:rsid w:val="600A03E2"/>
    <w:rsid w:val="600B48FD"/>
    <w:rsid w:val="600B63E6"/>
    <w:rsid w:val="601031D2"/>
    <w:rsid w:val="60103F64"/>
    <w:rsid w:val="6011474F"/>
    <w:rsid w:val="60141B79"/>
    <w:rsid w:val="60150272"/>
    <w:rsid w:val="60192584"/>
    <w:rsid w:val="601A75DB"/>
    <w:rsid w:val="601C39A6"/>
    <w:rsid w:val="601D6AF0"/>
    <w:rsid w:val="60202788"/>
    <w:rsid w:val="6025346B"/>
    <w:rsid w:val="602543AF"/>
    <w:rsid w:val="602F1D98"/>
    <w:rsid w:val="60306C2C"/>
    <w:rsid w:val="603313EE"/>
    <w:rsid w:val="603712B6"/>
    <w:rsid w:val="603C6EAF"/>
    <w:rsid w:val="60402339"/>
    <w:rsid w:val="60422C77"/>
    <w:rsid w:val="6044305A"/>
    <w:rsid w:val="60451B19"/>
    <w:rsid w:val="604616E3"/>
    <w:rsid w:val="60462237"/>
    <w:rsid w:val="60471545"/>
    <w:rsid w:val="60474562"/>
    <w:rsid w:val="604A5DA4"/>
    <w:rsid w:val="604B1BA8"/>
    <w:rsid w:val="604C7CB2"/>
    <w:rsid w:val="604E0159"/>
    <w:rsid w:val="605204BC"/>
    <w:rsid w:val="60533DC8"/>
    <w:rsid w:val="60572ECB"/>
    <w:rsid w:val="605856BF"/>
    <w:rsid w:val="605919AA"/>
    <w:rsid w:val="605A3ADE"/>
    <w:rsid w:val="605E0CC9"/>
    <w:rsid w:val="60625FEF"/>
    <w:rsid w:val="60642C1F"/>
    <w:rsid w:val="6066407A"/>
    <w:rsid w:val="606863A2"/>
    <w:rsid w:val="606924D8"/>
    <w:rsid w:val="606B3E16"/>
    <w:rsid w:val="606B5EAE"/>
    <w:rsid w:val="606D7F06"/>
    <w:rsid w:val="606E4C23"/>
    <w:rsid w:val="606E5CA6"/>
    <w:rsid w:val="60702F3F"/>
    <w:rsid w:val="60757B62"/>
    <w:rsid w:val="607B494D"/>
    <w:rsid w:val="607E5428"/>
    <w:rsid w:val="607F71CA"/>
    <w:rsid w:val="6081735F"/>
    <w:rsid w:val="60822122"/>
    <w:rsid w:val="60842244"/>
    <w:rsid w:val="608C461E"/>
    <w:rsid w:val="608E5527"/>
    <w:rsid w:val="60917723"/>
    <w:rsid w:val="60950521"/>
    <w:rsid w:val="6095102C"/>
    <w:rsid w:val="609D0D7E"/>
    <w:rsid w:val="60A21DB7"/>
    <w:rsid w:val="60A320D1"/>
    <w:rsid w:val="60A34F74"/>
    <w:rsid w:val="60AE5BD2"/>
    <w:rsid w:val="60AF785C"/>
    <w:rsid w:val="60AF79BD"/>
    <w:rsid w:val="60B0784A"/>
    <w:rsid w:val="60C436EB"/>
    <w:rsid w:val="60C74D81"/>
    <w:rsid w:val="60D21BDB"/>
    <w:rsid w:val="60D40A7C"/>
    <w:rsid w:val="60D6030C"/>
    <w:rsid w:val="60D8373F"/>
    <w:rsid w:val="60D939DB"/>
    <w:rsid w:val="60D958A7"/>
    <w:rsid w:val="60DA4C83"/>
    <w:rsid w:val="60DD1847"/>
    <w:rsid w:val="60DF69A8"/>
    <w:rsid w:val="60E412E7"/>
    <w:rsid w:val="60E4132E"/>
    <w:rsid w:val="60E62708"/>
    <w:rsid w:val="60EC1437"/>
    <w:rsid w:val="60EC2270"/>
    <w:rsid w:val="60FE6BAD"/>
    <w:rsid w:val="60FF66AF"/>
    <w:rsid w:val="61031638"/>
    <w:rsid w:val="610344CA"/>
    <w:rsid w:val="61064C75"/>
    <w:rsid w:val="61067C77"/>
    <w:rsid w:val="610B5E07"/>
    <w:rsid w:val="610D411E"/>
    <w:rsid w:val="6110696F"/>
    <w:rsid w:val="61107B12"/>
    <w:rsid w:val="611178A2"/>
    <w:rsid w:val="61127DB0"/>
    <w:rsid w:val="611A2AC5"/>
    <w:rsid w:val="61226DE8"/>
    <w:rsid w:val="6126725F"/>
    <w:rsid w:val="61281661"/>
    <w:rsid w:val="612A4D92"/>
    <w:rsid w:val="612A65E9"/>
    <w:rsid w:val="612B636E"/>
    <w:rsid w:val="612F4164"/>
    <w:rsid w:val="612F7C01"/>
    <w:rsid w:val="613C1C67"/>
    <w:rsid w:val="613F4778"/>
    <w:rsid w:val="61410787"/>
    <w:rsid w:val="61483FA2"/>
    <w:rsid w:val="614A62B4"/>
    <w:rsid w:val="614D108A"/>
    <w:rsid w:val="61592392"/>
    <w:rsid w:val="615F163C"/>
    <w:rsid w:val="61640D4A"/>
    <w:rsid w:val="61644176"/>
    <w:rsid w:val="61645205"/>
    <w:rsid w:val="616A254A"/>
    <w:rsid w:val="616B10AB"/>
    <w:rsid w:val="616D0AC1"/>
    <w:rsid w:val="616E3B26"/>
    <w:rsid w:val="616F055E"/>
    <w:rsid w:val="617111DE"/>
    <w:rsid w:val="617D16F3"/>
    <w:rsid w:val="617F1AB5"/>
    <w:rsid w:val="61824FE1"/>
    <w:rsid w:val="618855A4"/>
    <w:rsid w:val="618D1532"/>
    <w:rsid w:val="618F4D0D"/>
    <w:rsid w:val="61932ADC"/>
    <w:rsid w:val="61981544"/>
    <w:rsid w:val="61983C2D"/>
    <w:rsid w:val="619A7690"/>
    <w:rsid w:val="61A055E7"/>
    <w:rsid w:val="61A44FC9"/>
    <w:rsid w:val="61A54705"/>
    <w:rsid w:val="61A56F55"/>
    <w:rsid w:val="61A86D92"/>
    <w:rsid w:val="61AE158C"/>
    <w:rsid w:val="61B404CE"/>
    <w:rsid w:val="61BC0A28"/>
    <w:rsid w:val="61BC5285"/>
    <w:rsid w:val="61C025AB"/>
    <w:rsid w:val="61C20320"/>
    <w:rsid w:val="61C23D13"/>
    <w:rsid w:val="61C46FAA"/>
    <w:rsid w:val="61C71D93"/>
    <w:rsid w:val="61C777FA"/>
    <w:rsid w:val="61CB7E5B"/>
    <w:rsid w:val="61D31D98"/>
    <w:rsid w:val="61D57C02"/>
    <w:rsid w:val="61D66269"/>
    <w:rsid w:val="61D9190A"/>
    <w:rsid w:val="61DA1C51"/>
    <w:rsid w:val="61DA5425"/>
    <w:rsid w:val="61DA5DA8"/>
    <w:rsid w:val="61DA7E10"/>
    <w:rsid w:val="61DC62AF"/>
    <w:rsid w:val="61DD1A42"/>
    <w:rsid w:val="61DE4A2A"/>
    <w:rsid w:val="61E027E1"/>
    <w:rsid w:val="61E17477"/>
    <w:rsid w:val="61E47045"/>
    <w:rsid w:val="61F1232A"/>
    <w:rsid w:val="61F54936"/>
    <w:rsid w:val="61FC3DBC"/>
    <w:rsid w:val="61FE3834"/>
    <w:rsid w:val="6200757E"/>
    <w:rsid w:val="62026ECA"/>
    <w:rsid w:val="620A694E"/>
    <w:rsid w:val="620C0A29"/>
    <w:rsid w:val="62171976"/>
    <w:rsid w:val="62195DB0"/>
    <w:rsid w:val="621B7548"/>
    <w:rsid w:val="62207CAC"/>
    <w:rsid w:val="62222CCF"/>
    <w:rsid w:val="62234D24"/>
    <w:rsid w:val="6225195D"/>
    <w:rsid w:val="62271D95"/>
    <w:rsid w:val="622C6A9C"/>
    <w:rsid w:val="622D6C7F"/>
    <w:rsid w:val="62345E5D"/>
    <w:rsid w:val="624143D1"/>
    <w:rsid w:val="624354DE"/>
    <w:rsid w:val="6247753C"/>
    <w:rsid w:val="624C38E8"/>
    <w:rsid w:val="624F74A7"/>
    <w:rsid w:val="62524EA1"/>
    <w:rsid w:val="62541CA7"/>
    <w:rsid w:val="62570D9F"/>
    <w:rsid w:val="625710DA"/>
    <w:rsid w:val="62586AC8"/>
    <w:rsid w:val="625A36C9"/>
    <w:rsid w:val="625D5D68"/>
    <w:rsid w:val="626136C2"/>
    <w:rsid w:val="62633271"/>
    <w:rsid w:val="62691610"/>
    <w:rsid w:val="626A2A82"/>
    <w:rsid w:val="6270290A"/>
    <w:rsid w:val="62705CC6"/>
    <w:rsid w:val="62751ACA"/>
    <w:rsid w:val="627957E1"/>
    <w:rsid w:val="627A4195"/>
    <w:rsid w:val="627D0867"/>
    <w:rsid w:val="62812138"/>
    <w:rsid w:val="628B28EB"/>
    <w:rsid w:val="628F19A0"/>
    <w:rsid w:val="62926CDE"/>
    <w:rsid w:val="6294226A"/>
    <w:rsid w:val="62960AD2"/>
    <w:rsid w:val="629620A6"/>
    <w:rsid w:val="629939BE"/>
    <w:rsid w:val="629C4DDA"/>
    <w:rsid w:val="629F3A5E"/>
    <w:rsid w:val="62A31781"/>
    <w:rsid w:val="62A77C34"/>
    <w:rsid w:val="62A93E6C"/>
    <w:rsid w:val="62A94735"/>
    <w:rsid w:val="62AF3844"/>
    <w:rsid w:val="62B0114F"/>
    <w:rsid w:val="62B16CB2"/>
    <w:rsid w:val="62B94F84"/>
    <w:rsid w:val="62BD2A3A"/>
    <w:rsid w:val="62C50E2B"/>
    <w:rsid w:val="62CD09AF"/>
    <w:rsid w:val="62D17D38"/>
    <w:rsid w:val="62D416B7"/>
    <w:rsid w:val="62DC5CCE"/>
    <w:rsid w:val="62DD7067"/>
    <w:rsid w:val="62DF45B4"/>
    <w:rsid w:val="62E7150C"/>
    <w:rsid w:val="62E7184F"/>
    <w:rsid w:val="62EB1D66"/>
    <w:rsid w:val="62F3322B"/>
    <w:rsid w:val="62F34E20"/>
    <w:rsid w:val="62F71098"/>
    <w:rsid w:val="62F958EC"/>
    <w:rsid w:val="62FC3326"/>
    <w:rsid w:val="62FE75BD"/>
    <w:rsid w:val="6303680A"/>
    <w:rsid w:val="630511D6"/>
    <w:rsid w:val="63065139"/>
    <w:rsid w:val="63073CD4"/>
    <w:rsid w:val="63086AA7"/>
    <w:rsid w:val="630872F0"/>
    <w:rsid w:val="630E3904"/>
    <w:rsid w:val="630F6B99"/>
    <w:rsid w:val="631378D0"/>
    <w:rsid w:val="6314350A"/>
    <w:rsid w:val="63156143"/>
    <w:rsid w:val="63174026"/>
    <w:rsid w:val="63174701"/>
    <w:rsid w:val="631763F8"/>
    <w:rsid w:val="63191806"/>
    <w:rsid w:val="632176EE"/>
    <w:rsid w:val="632540CE"/>
    <w:rsid w:val="632D07E8"/>
    <w:rsid w:val="632D16B1"/>
    <w:rsid w:val="632D4FAB"/>
    <w:rsid w:val="63307334"/>
    <w:rsid w:val="63330D96"/>
    <w:rsid w:val="63372D09"/>
    <w:rsid w:val="634054AF"/>
    <w:rsid w:val="63410289"/>
    <w:rsid w:val="63421954"/>
    <w:rsid w:val="634741E2"/>
    <w:rsid w:val="634B059A"/>
    <w:rsid w:val="634D1DB5"/>
    <w:rsid w:val="63515053"/>
    <w:rsid w:val="63520EA8"/>
    <w:rsid w:val="635834F2"/>
    <w:rsid w:val="635908CA"/>
    <w:rsid w:val="635C2552"/>
    <w:rsid w:val="635D1E98"/>
    <w:rsid w:val="63601EB9"/>
    <w:rsid w:val="63634FFF"/>
    <w:rsid w:val="63664CD5"/>
    <w:rsid w:val="636679F0"/>
    <w:rsid w:val="63691092"/>
    <w:rsid w:val="636B60C3"/>
    <w:rsid w:val="63751131"/>
    <w:rsid w:val="6375616E"/>
    <w:rsid w:val="63856507"/>
    <w:rsid w:val="638C75E4"/>
    <w:rsid w:val="638D4E4B"/>
    <w:rsid w:val="6391330A"/>
    <w:rsid w:val="63913E10"/>
    <w:rsid w:val="63961CFD"/>
    <w:rsid w:val="639D59EE"/>
    <w:rsid w:val="63A2094B"/>
    <w:rsid w:val="63A21CCC"/>
    <w:rsid w:val="63AA1681"/>
    <w:rsid w:val="63AE1FA0"/>
    <w:rsid w:val="63B06A36"/>
    <w:rsid w:val="63B13F67"/>
    <w:rsid w:val="63B53D9C"/>
    <w:rsid w:val="63B6157C"/>
    <w:rsid w:val="63BC7A25"/>
    <w:rsid w:val="63C03120"/>
    <w:rsid w:val="63C21731"/>
    <w:rsid w:val="63CF5729"/>
    <w:rsid w:val="63D53149"/>
    <w:rsid w:val="63D80657"/>
    <w:rsid w:val="63D8447C"/>
    <w:rsid w:val="63DA55EF"/>
    <w:rsid w:val="63DC10B5"/>
    <w:rsid w:val="63DC4817"/>
    <w:rsid w:val="63DE3E6D"/>
    <w:rsid w:val="63DE4B36"/>
    <w:rsid w:val="63E14359"/>
    <w:rsid w:val="63E77F1E"/>
    <w:rsid w:val="63F02810"/>
    <w:rsid w:val="63F5354E"/>
    <w:rsid w:val="63FF1450"/>
    <w:rsid w:val="64000EBC"/>
    <w:rsid w:val="64057E75"/>
    <w:rsid w:val="640E317E"/>
    <w:rsid w:val="64117F19"/>
    <w:rsid w:val="64146254"/>
    <w:rsid w:val="64193C83"/>
    <w:rsid w:val="642122FB"/>
    <w:rsid w:val="64213723"/>
    <w:rsid w:val="6421712C"/>
    <w:rsid w:val="6430332F"/>
    <w:rsid w:val="643142D2"/>
    <w:rsid w:val="643C7C6A"/>
    <w:rsid w:val="644657A4"/>
    <w:rsid w:val="6447267A"/>
    <w:rsid w:val="6449070B"/>
    <w:rsid w:val="64493EF4"/>
    <w:rsid w:val="64560CD8"/>
    <w:rsid w:val="64596E2B"/>
    <w:rsid w:val="645D01C7"/>
    <w:rsid w:val="646328E3"/>
    <w:rsid w:val="64656C29"/>
    <w:rsid w:val="646C0BBD"/>
    <w:rsid w:val="646C72EC"/>
    <w:rsid w:val="64745C36"/>
    <w:rsid w:val="64755A07"/>
    <w:rsid w:val="64757E71"/>
    <w:rsid w:val="647809DC"/>
    <w:rsid w:val="647C0E62"/>
    <w:rsid w:val="64856EE7"/>
    <w:rsid w:val="648C7206"/>
    <w:rsid w:val="648F79FA"/>
    <w:rsid w:val="64941F8C"/>
    <w:rsid w:val="64952819"/>
    <w:rsid w:val="649A6775"/>
    <w:rsid w:val="649B571F"/>
    <w:rsid w:val="64A1515B"/>
    <w:rsid w:val="64A475E9"/>
    <w:rsid w:val="64A54B0B"/>
    <w:rsid w:val="64A81250"/>
    <w:rsid w:val="64AA7435"/>
    <w:rsid w:val="64AC583C"/>
    <w:rsid w:val="64AD23C0"/>
    <w:rsid w:val="64AD6F69"/>
    <w:rsid w:val="64AE6104"/>
    <w:rsid w:val="64AE6C8E"/>
    <w:rsid w:val="64B13C65"/>
    <w:rsid w:val="64B611FE"/>
    <w:rsid w:val="64BA19A6"/>
    <w:rsid w:val="64BB163B"/>
    <w:rsid w:val="64BB55E5"/>
    <w:rsid w:val="64BF2A1F"/>
    <w:rsid w:val="64C7484B"/>
    <w:rsid w:val="64C929E7"/>
    <w:rsid w:val="64CA4E46"/>
    <w:rsid w:val="64CA69A8"/>
    <w:rsid w:val="64D3650C"/>
    <w:rsid w:val="64D91659"/>
    <w:rsid w:val="64E13132"/>
    <w:rsid w:val="64E31242"/>
    <w:rsid w:val="64E73740"/>
    <w:rsid w:val="64E91D7C"/>
    <w:rsid w:val="64EB45B6"/>
    <w:rsid w:val="64EC734D"/>
    <w:rsid w:val="64ED7640"/>
    <w:rsid w:val="64EE3F04"/>
    <w:rsid w:val="64F57BD0"/>
    <w:rsid w:val="64F64EB5"/>
    <w:rsid w:val="64F83726"/>
    <w:rsid w:val="64F844D0"/>
    <w:rsid w:val="64FB5EBD"/>
    <w:rsid w:val="64FE7965"/>
    <w:rsid w:val="650434D9"/>
    <w:rsid w:val="650A4731"/>
    <w:rsid w:val="650D53A3"/>
    <w:rsid w:val="651223A8"/>
    <w:rsid w:val="65124977"/>
    <w:rsid w:val="65135CDF"/>
    <w:rsid w:val="65195845"/>
    <w:rsid w:val="651A3F65"/>
    <w:rsid w:val="652317C0"/>
    <w:rsid w:val="65255EA3"/>
    <w:rsid w:val="65270F7F"/>
    <w:rsid w:val="65296D77"/>
    <w:rsid w:val="652B0D45"/>
    <w:rsid w:val="652B2185"/>
    <w:rsid w:val="652D0D0F"/>
    <w:rsid w:val="652D67E3"/>
    <w:rsid w:val="65344DA2"/>
    <w:rsid w:val="653600ED"/>
    <w:rsid w:val="653610A1"/>
    <w:rsid w:val="65377792"/>
    <w:rsid w:val="653930B8"/>
    <w:rsid w:val="654352C4"/>
    <w:rsid w:val="65452407"/>
    <w:rsid w:val="654717C9"/>
    <w:rsid w:val="65480E03"/>
    <w:rsid w:val="654918B2"/>
    <w:rsid w:val="654A49D9"/>
    <w:rsid w:val="654B3078"/>
    <w:rsid w:val="654D2308"/>
    <w:rsid w:val="654D2B33"/>
    <w:rsid w:val="654F6FB9"/>
    <w:rsid w:val="65523708"/>
    <w:rsid w:val="65530AAB"/>
    <w:rsid w:val="65565876"/>
    <w:rsid w:val="65635635"/>
    <w:rsid w:val="65647A5A"/>
    <w:rsid w:val="65650CA0"/>
    <w:rsid w:val="656816A5"/>
    <w:rsid w:val="656B1160"/>
    <w:rsid w:val="656C027B"/>
    <w:rsid w:val="6573736A"/>
    <w:rsid w:val="657770DF"/>
    <w:rsid w:val="657C514E"/>
    <w:rsid w:val="65823F12"/>
    <w:rsid w:val="65873315"/>
    <w:rsid w:val="65896F42"/>
    <w:rsid w:val="659338FC"/>
    <w:rsid w:val="65941792"/>
    <w:rsid w:val="659422E2"/>
    <w:rsid w:val="659F26E0"/>
    <w:rsid w:val="65A07228"/>
    <w:rsid w:val="65A64C9A"/>
    <w:rsid w:val="65AE151C"/>
    <w:rsid w:val="65B5705D"/>
    <w:rsid w:val="65BC5B1C"/>
    <w:rsid w:val="65C04FD9"/>
    <w:rsid w:val="65C05761"/>
    <w:rsid w:val="65C530EB"/>
    <w:rsid w:val="65CC2538"/>
    <w:rsid w:val="65CE7EE7"/>
    <w:rsid w:val="65D57582"/>
    <w:rsid w:val="65D80D75"/>
    <w:rsid w:val="65DD780A"/>
    <w:rsid w:val="65E45486"/>
    <w:rsid w:val="65ED5475"/>
    <w:rsid w:val="65F23D21"/>
    <w:rsid w:val="65F340D4"/>
    <w:rsid w:val="65FF4387"/>
    <w:rsid w:val="660C2C0F"/>
    <w:rsid w:val="66114B9D"/>
    <w:rsid w:val="66146884"/>
    <w:rsid w:val="661732B9"/>
    <w:rsid w:val="661E45AD"/>
    <w:rsid w:val="661F193B"/>
    <w:rsid w:val="66236957"/>
    <w:rsid w:val="662C5744"/>
    <w:rsid w:val="662E490C"/>
    <w:rsid w:val="66373B51"/>
    <w:rsid w:val="663917AD"/>
    <w:rsid w:val="663D5412"/>
    <w:rsid w:val="6640795D"/>
    <w:rsid w:val="66440DB6"/>
    <w:rsid w:val="66454076"/>
    <w:rsid w:val="6645777E"/>
    <w:rsid w:val="6649278A"/>
    <w:rsid w:val="66495931"/>
    <w:rsid w:val="664B272C"/>
    <w:rsid w:val="664D23DF"/>
    <w:rsid w:val="66506F5C"/>
    <w:rsid w:val="66595464"/>
    <w:rsid w:val="665A64A2"/>
    <w:rsid w:val="665E0E4C"/>
    <w:rsid w:val="666000DA"/>
    <w:rsid w:val="666473C6"/>
    <w:rsid w:val="66653501"/>
    <w:rsid w:val="66656F4C"/>
    <w:rsid w:val="666907C0"/>
    <w:rsid w:val="666D6EE4"/>
    <w:rsid w:val="6670296F"/>
    <w:rsid w:val="66723DA3"/>
    <w:rsid w:val="66745D8F"/>
    <w:rsid w:val="667663D7"/>
    <w:rsid w:val="667C218A"/>
    <w:rsid w:val="667E66F0"/>
    <w:rsid w:val="66823DCB"/>
    <w:rsid w:val="66846DCE"/>
    <w:rsid w:val="668C7E27"/>
    <w:rsid w:val="668E5048"/>
    <w:rsid w:val="669131E0"/>
    <w:rsid w:val="669838A2"/>
    <w:rsid w:val="669D4FCD"/>
    <w:rsid w:val="66A307BD"/>
    <w:rsid w:val="66A87F41"/>
    <w:rsid w:val="66A9167D"/>
    <w:rsid w:val="66AA7A8A"/>
    <w:rsid w:val="66AD69AD"/>
    <w:rsid w:val="66AF5F8A"/>
    <w:rsid w:val="66B1435A"/>
    <w:rsid w:val="66B23029"/>
    <w:rsid w:val="66B2651A"/>
    <w:rsid w:val="66B47BD4"/>
    <w:rsid w:val="66B5027C"/>
    <w:rsid w:val="66B74DDC"/>
    <w:rsid w:val="66B860AB"/>
    <w:rsid w:val="66BA38B2"/>
    <w:rsid w:val="66BB0E84"/>
    <w:rsid w:val="66BD5CA7"/>
    <w:rsid w:val="66BE3E7A"/>
    <w:rsid w:val="66BE4742"/>
    <w:rsid w:val="66BF5CE5"/>
    <w:rsid w:val="66C00444"/>
    <w:rsid w:val="66C214C9"/>
    <w:rsid w:val="66D147DD"/>
    <w:rsid w:val="66D556B2"/>
    <w:rsid w:val="66DD4CB8"/>
    <w:rsid w:val="66E1465E"/>
    <w:rsid w:val="66E17210"/>
    <w:rsid w:val="66E21AEB"/>
    <w:rsid w:val="66E7623A"/>
    <w:rsid w:val="66E85BED"/>
    <w:rsid w:val="66E9335E"/>
    <w:rsid w:val="66EC5D0C"/>
    <w:rsid w:val="66EF1C9D"/>
    <w:rsid w:val="66F67341"/>
    <w:rsid w:val="66F85650"/>
    <w:rsid w:val="66F9110D"/>
    <w:rsid w:val="66FD681F"/>
    <w:rsid w:val="66FE5C08"/>
    <w:rsid w:val="67052F1D"/>
    <w:rsid w:val="67070738"/>
    <w:rsid w:val="670708AE"/>
    <w:rsid w:val="67075194"/>
    <w:rsid w:val="67131F7E"/>
    <w:rsid w:val="671E5FC8"/>
    <w:rsid w:val="6720457C"/>
    <w:rsid w:val="672555C6"/>
    <w:rsid w:val="67275875"/>
    <w:rsid w:val="67284443"/>
    <w:rsid w:val="67347F45"/>
    <w:rsid w:val="67352A4E"/>
    <w:rsid w:val="673628E2"/>
    <w:rsid w:val="67396BDA"/>
    <w:rsid w:val="673E2E2E"/>
    <w:rsid w:val="674115CD"/>
    <w:rsid w:val="67441521"/>
    <w:rsid w:val="674423D4"/>
    <w:rsid w:val="674639E7"/>
    <w:rsid w:val="674B0465"/>
    <w:rsid w:val="674B58E3"/>
    <w:rsid w:val="674E0C37"/>
    <w:rsid w:val="674F5BA0"/>
    <w:rsid w:val="675019A2"/>
    <w:rsid w:val="67520727"/>
    <w:rsid w:val="67521DAE"/>
    <w:rsid w:val="675478AC"/>
    <w:rsid w:val="67583809"/>
    <w:rsid w:val="675A7249"/>
    <w:rsid w:val="675C4EE5"/>
    <w:rsid w:val="675F5568"/>
    <w:rsid w:val="6762325A"/>
    <w:rsid w:val="6763020B"/>
    <w:rsid w:val="67673AB0"/>
    <w:rsid w:val="67680014"/>
    <w:rsid w:val="6768420E"/>
    <w:rsid w:val="676A2C9E"/>
    <w:rsid w:val="677239E8"/>
    <w:rsid w:val="67792A85"/>
    <w:rsid w:val="67806C64"/>
    <w:rsid w:val="67863123"/>
    <w:rsid w:val="67872F20"/>
    <w:rsid w:val="678A7091"/>
    <w:rsid w:val="678B6D53"/>
    <w:rsid w:val="678C2C6A"/>
    <w:rsid w:val="678D5F88"/>
    <w:rsid w:val="678E6C39"/>
    <w:rsid w:val="6791034B"/>
    <w:rsid w:val="67912026"/>
    <w:rsid w:val="679301A7"/>
    <w:rsid w:val="67965B1C"/>
    <w:rsid w:val="67971EA3"/>
    <w:rsid w:val="679A6920"/>
    <w:rsid w:val="679C0289"/>
    <w:rsid w:val="679D0DC9"/>
    <w:rsid w:val="67A02ED4"/>
    <w:rsid w:val="67A16BDF"/>
    <w:rsid w:val="67A17341"/>
    <w:rsid w:val="67A74F35"/>
    <w:rsid w:val="67A7585A"/>
    <w:rsid w:val="67AA27F7"/>
    <w:rsid w:val="67AA3963"/>
    <w:rsid w:val="67AA7E97"/>
    <w:rsid w:val="67AB6DC7"/>
    <w:rsid w:val="67AF30E8"/>
    <w:rsid w:val="67B72022"/>
    <w:rsid w:val="67B72491"/>
    <w:rsid w:val="67B761A3"/>
    <w:rsid w:val="67C2576F"/>
    <w:rsid w:val="67C2731E"/>
    <w:rsid w:val="67C470F2"/>
    <w:rsid w:val="67C900BB"/>
    <w:rsid w:val="67CD0534"/>
    <w:rsid w:val="67CF7924"/>
    <w:rsid w:val="67D8591D"/>
    <w:rsid w:val="67DD26D0"/>
    <w:rsid w:val="67E52309"/>
    <w:rsid w:val="67EE5FE7"/>
    <w:rsid w:val="67EF24F0"/>
    <w:rsid w:val="67F07EAF"/>
    <w:rsid w:val="67F33378"/>
    <w:rsid w:val="67F75744"/>
    <w:rsid w:val="67FB245F"/>
    <w:rsid w:val="67FE4399"/>
    <w:rsid w:val="680067BB"/>
    <w:rsid w:val="68012509"/>
    <w:rsid w:val="68040954"/>
    <w:rsid w:val="68043F2D"/>
    <w:rsid w:val="68050082"/>
    <w:rsid w:val="680A51B8"/>
    <w:rsid w:val="680F7415"/>
    <w:rsid w:val="68163918"/>
    <w:rsid w:val="681A4F63"/>
    <w:rsid w:val="681D50DE"/>
    <w:rsid w:val="681F5752"/>
    <w:rsid w:val="682342E7"/>
    <w:rsid w:val="682A6754"/>
    <w:rsid w:val="682C4A2E"/>
    <w:rsid w:val="682F1CCF"/>
    <w:rsid w:val="683020F6"/>
    <w:rsid w:val="6830791B"/>
    <w:rsid w:val="6831614B"/>
    <w:rsid w:val="683634E4"/>
    <w:rsid w:val="683805F2"/>
    <w:rsid w:val="683A2FFF"/>
    <w:rsid w:val="683D6371"/>
    <w:rsid w:val="68414917"/>
    <w:rsid w:val="684368EA"/>
    <w:rsid w:val="68472C23"/>
    <w:rsid w:val="68487B23"/>
    <w:rsid w:val="684E0D49"/>
    <w:rsid w:val="684E2709"/>
    <w:rsid w:val="685601B4"/>
    <w:rsid w:val="685C4767"/>
    <w:rsid w:val="686337D7"/>
    <w:rsid w:val="68641CEA"/>
    <w:rsid w:val="68642BBC"/>
    <w:rsid w:val="686A5F84"/>
    <w:rsid w:val="686B1C82"/>
    <w:rsid w:val="686E5934"/>
    <w:rsid w:val="686F4746"/>
    <w:rsid w:val="687071AA"/>
    <w:rsid w:val="6871296F"/>
    <w:rsid w:val="6872249D"/>
    <w:rsid w:val="68731C49"/>
    <w:rsid w:val="68734C51"/>
    <w:rsid w:val="68766DF6"/>
    <w:rsid w:val="687B4942"/>
    <w:rsid w:val="687E3C47"/>
    <w:rsid w:val="688243A9"/>
    <w:rsid w:val="68873147"/>
    <w:rsid w:val="6887545B"/>
    <w:rsid w:val="68876833"/>
    <w:rsid w:val="6888493A"/>
    <w:rsid w:val="688B05E9"/>
    <w:rsid w:val="688B38E6"/>
    <w:rsid w:val="688D416D"/>
    <w:rsid w:val="689831B0"/>
    <w:rsid w:val="689C3672"/>
    <w:rsid w:val="68A029A7"/>
    <w:rsid w:val="68A0452A"/>
    <w:rsid w:val="68A24854"/>
    <w:rsid w:val="68A619B3"/>
    <w:rsid w:val="68A8164F"/>
    <w:rsid w:val="68AE779C"/>
    <w:rsid w:val="68B22CED"/>
    <w:rsid w:val="68B425E7"/>
    <w:rsid w:val="68B91C3B"/>
    <w:rsid w:val="68BA1F2E"/>
    <w:rsid w:val="68BD1388"/>
    <w:rsid w:val="68C6663C"/>
    <w:rsid w:val="68C85E6B"/>
    <w:rsid w:val="68CA6471"/>
    <w:rsid w:val="68CA6A31"/>
    <w:rsid w:val="68CB7FD4"/>
    <w:rsid w:val="68CC245C"/>
    <w:rsid w:val="68CC7ED7"/>
    <w:rsid w:val="68CF4458"/>
    <w:rsid w:val="68D713C1"/>
    <w:rsid w:val="68D83A2F"/>
    <w:rsid w:val="68DA7B1D"/>
    <w:rsid w:val="68E4766A"/>
    <w:rsid w:val="68EA22FA"/>
    <w:rsid w:val="68ED793E"/>
    <w:rsid w:val="68F12F73"/>
    <w:rsid w:val="68F20638"/>
    <w:rsid w:val="68F217B9"/>
    <w:rsid w:val="68FA1CD4"/>
    <w:rsid w:val="68FA46B4"/>
    <w:rsid w:val="68FA4EFE"/>
    <w:rsid w:val="68FA5A9C"/>
    <w:rsid w:val="68FA61A7"/>
    <w:rsid w:val="690103EE"/>
    <w:rsid w:val="69045A7A"/>
    <w:rsid w:val="69065ABB"/>
    <w:rsid w:val="69081602"/>
    <w:rsid w:val="69086FF4"/>
    <w:rsid w:val="690D31E2"/>
    <w:rsid w:val="69100E52"/>
    <w:rsid w:val="69120555"/>
    <w:rsid w:val="69165898"/>
    <w:rsid w:val="69196B01"/>
    <w:rsid w:val="691E087A"/>
    <w:rsid w:val="691F445D"/>
    <w:rsid w:val="692534A3"/>
    <w:rsid w:val="69277815"/>
    <w:rsid w:val="69285859"/>
    <w:rsid w:val="69296549"/>
    <w:rsid w:val="69432D38"/>
    <w:rsid w:val="69454189"/>
    <w:rsid w:val="694939E7"/>
    <w:rsid w:val="69495EDE"/>
    <w:rsid w:val="694F48D1"/>
    <w:rsid w:val="695020BC"/>
    <w:rsid w:val="69555F3F"/>
    <w:rsid w:val="695870DC"/>
    <w:rsid w:val="695C4CCD"/>
    <w:rsid w:val="6965301D"/>
    <w:rsid w:val="69670B03"/>
    <w:rsid w:val="6968612F"/>
    <w:rsid w:val="697141B7"/>
    <w:rsid w:val="69724FB3"/>
    <w:rsid w:val="69730388"/>
    <w:rsid w:val="697A3EC9"/>
    <w:rsid w:val="697B1D30"/>
    <w:rsid w:val="697D14A8"/>
    <w:rsid w:val="697E0B13"/>
    <w:rsid w:val="697E4734"/>
    <w:rsid w:val="6986766F"/>
    <w:rsid w:val="69894408"/>
    <w:rsid w:val="698E7A70"/>
    <w:rsid w:val="69910B82"/>
    <w:rsid w:val="69932D48"/>
    <w:rsid w:val="699E44EE"/>
    <w:rsid w:val="69A07A22"/>
    <w:rsid w:val="69A22FCC"/>
    <w:rsid w:val="69A62CB0"/>
    <w:rsid w:val="69A75E0D"/>
    <w:rsid w:val="69A770FB"/>
    <w:rsid w:val="69AA23F6"/>
    <w:rsid w:val="69AB15BF"/>
    <w:rsid w:val="69AC4521"/>
    <w:rsid w:val="69AE3B8D"/>
    <w:rsid w:val="69AF715A"/>
    <w:rsid w:val="69B1257B"/>
    <w:rsid w:val="69B42822"/>
    <w:rsid w:val="69B63F10"/>
    <w:rsid w:val="69CA6B15"/>
    <w:rsid w:val="69CA7857"/>
    <w:rsid w:val="69CC528D"/>
    <w:rsid w:val="69CE56DA"/>
    <w:rsid w:val="69CF423A"/>
    <w:rsid w:val="69D04767"/>
    <w:rsid w:val="69D3558D"/>
    <w:rsid w:val="69D41896"/>
    <w:rsid w:val="69E162EB"/>
    <w:rsid w:val="69E225D8"/>
    <w:rsid w:val="69E63D5D"/>
    <w:rsid w:val="69F15DA2"/>
    <w:rsid w:val="69F32F1E"/>
    <w:rsid w:val="69F52E1D"/>
    <w:rsid w:val="69F5437E"/>
    <w:rsid w:val="69F859BD"/>
    <w:rsid w:val="69F92903"/>
    <w:rsid w:val="6A0915CB"/>
    <w:rsid w:val="6A091DAC"/>
    <w:rsid w:val="6A1426D6"/>
    <w:rsid w:val="6A147D66"/>
    <w:rsid w:val="6A1D65EE"/>
    <w:rsid w:val="6A1F1365"/>
    <w:rsid w:val="6A230AEF"/>
    <w:rsid w:val="6A23357B"/>
    <w:rsid w:val="6A381453"/>
    <w:rsid w:val="6A3D2A1F"/>
    <w:rsid w:val="6A440D95"/>
    <w:rsid w:val="6A4435BC"/>
    <w:rsid w:val="6A45503B"/>
    <w:rsid w:val="6A49411B"/>
    <w:rsid w:val="6A4A7833"/>
    <w:rsid w:val="6A4D3063"/>
    <w:rsid w:val="6A4F515D"/>
    <w:rsid w:val="6A4F7D03"/>
    <w:rsid w:val="6A516788"/>
    <w:rsid w:val="6A517049"/>
    <w:rsid w:val="6A52635E"/>
    <w:rsid w:val="6A54552E"/>
    <w:rsid w:val="6A546046"/>
    <w:rsid w:val="6A573E2F"/>
    <w:rsid w:val="6A5B6363"/>
    <w:rsid w:val="6A5F3E4A"/>
    <w:rsid w:val="6A641772"/>
    <w:rsid w:val="6A6B4E06"/>
    <w:rsid w:val="6A6C5C41"/>
    <w:rsid w:val="6A6D3DC6"/>
    <w:rsid w:val="6A6E6ADE"/>
    <w:rsid w:val="6A715AE8"/>
    <w:rsid w:val="6A726C1F"/>
    <w:rsid w:val="6A732EBF"/>
    <w:rsid w:val="6A74199B"/>
    <w:rsid w:val="6A771F4F"/>
    <w:rsid w:val="6A795515"/>
    <w:rsid w:val="6A7C32CC"/>
    <w:rsid w:val="6A836681"/>
    <w:rsid w:val="6A8B08FB"/>
    <w:rsid w:val="6A8B2888"/>
    <w:rsid w:val="6A8B6EA6"/>
    <w:rsid w:val="6A93063C"/>
    <w:rsid w:val="6A967AE4"/>
    <w:rsid w:val="6A9D32E7"/>
    <w:rsid w:val="6AA23C5A"/>
    <w:rsid w:val="6AA362ED"/>
    <w:rsid w:val="6AA76425"/>
    <w:rsid w:val="6AA90FCE"/>
    <w:rsid w:val="6AAE5CAB"/>
    <w:rsid w:val="6AB36431"/>
    <w:rsid w:val="6AB656F1"/>
    <w:rsid w:val="6ABA2EDF"/>
    <w:rsid w:val="6ABE2A0C"/>
    <w:rsid w:val="6ABF45BD"/>
    <w:rsid w:val="6AC13097"/>
    <w:rsid w:val="6AC220EF"/>
    <w:rsid w:val="6AC321EA"/>
    <w:rsid w:val="6AC47F40"/>
    <w:rsid w:val="6AC51B5A"/>
    <w:rsid w:val="6AC52FEB"/>
    <w:rsid w:val="6AC61911"/>
    <w:rsid w:val="6AC62153"/>
    <w:rsid w:val="6AC753A9"/>
    <w:rsid w:val="6ACB56E1"/>
    <w:rsid w:val="6AD17C78"/>
    <w:rsid w:val="6AD20EAD"/>
    <w:rsid w:val="6AD27C6F"/>
    <w:rsid w:val="6AD82A48"/>
    <w:rsid w:val="6AD86E5B"/>
    <w:rsid w:val="6AE3404B"/>
    <w:rsid w:val="6AE706FB"/>
    <w:rsid w:val="6AE86604"/>
    <w:rsid w:val="6AEA31EF"/>
    <w:rsid w:val="6AEB2CC6"/>
    <w:rsid w:val="6AED3083"/>
    <w:rsid w:val="6AEE1252"/>
    <w:rsid w:val="6AF13585"/>
    <w:rsid w:val="6AF13C0E"/>
    <w:rsid w:val="6AF41E67"/>
    <w:rsid w:val="6AF64554"/>
    <w:rsid w:val="6AF84B0F"/>
    <w:rsid w:val="6AF97FC4"/>
    <w:rsid w:val="6AFA37D0"/>
    <w:rsid w:val="6B075D04"/>
    <w:rsid w:val="6B0A08F8"/>
    <w:rsid w:val="6B116E80"/>
    <w:rsid w:val="6B136636"/>
    <w:rsid w:val="6B1A49D6"/>
    <w:rsid w:val="6B20548A"/>
    <w:rsid w:val="6B230CC8"/>
    <w:rsid w:val="6B242CFB"/>
    <w:rsid w:val="6B2442DC"/>
    <w:rsid w:val="6B2548E8"/>
    <w:rsid w:val="6B255001"/>
    <w:rsid w:val="6B2E32D7"/>
    <w:rsid w:val="6B33485D"/>
    <w:rsid w:val="6B366F02"/>
    <w:rsid w:val="6B3C42A0"/>
    <w:rsid w:val="6B405FFC"/>
    <w:rsid w:val="6B41278D"/>
    <w:rsid w:val="6B433110"/>
    <w:rsid w:val="6B434929"/>
    <w:rsid w:val="6B4426C0"/>
    <w:rsid w:val="6B4C4E3D"/>
    <w:rsid w:val="6B581AFC"/>
    <w:rsid w:val="6B593E74"/>
    <w:rsid w:val="6B5E1694"/>
    <w:rsid w:val="6B5F46FD"/>
    <w:rsid w:val="6B6241DE"/>
    <w:rsid w:val="6B6327A0"/>
    <w:rsid w:val="6B6850FF"/>
    <w:rsid w:val="6B6905B1"/>
    <w:rsid w:val="6B7345BB"/>
    <w:rsid w:val="6B7E2DB4"/>
    <w:rsid w:val="6B7E6539"/>
    <w:rsid w:val="6B7F7772"/>
    <w:rsid w:val="6B811767"/>
    <w:rsid w:val="6B845E65"/>
    <w:rsid w:val="6B87124C"/>
    <w:rsid w:val="6B8A7496"/>
    <w:rsid w:val="6B8B5AF4"/>
    <w:rsid w:val="6B8F5A98"/>
    <w:rsid w:val="6B9272C8"/>
    <w:rsid w:val="6B977076"/>
    <w:rsid w:val="6B9E2137"/>
    <w:rsid w:val="6B9E73ED"/>
    <w:rsid w:val="6B9F3F5A"/>
    <w:rsid w:val="6BA16B3B"/>
    <w:rsid w:val="6BA43B2F"/>
    <w:rsid w:val="6BA6605F"/>
    <w:rsid w:val="6BAA30A9"/>
    <w:rsid w:val="6BAB005B"/>
    <w:rsid w:val="6BAE177B"/>
    <w:rsid w:val="6BAE3B9C"/>
    <w:rsid w:val="6BAE560E"/>
    <w:rsid w:val="6BB07A6C"/>
    <w:rsid w:val="6BB60423"/>
    <w:rsid w:val="6BB97132"/>
    <w:rsid w:val="6BBA7CAD"/>
    <w:rsid w:val="6BBE3D53"/>
    <w:rsid w:val="6BBF10CD"/>
    <w:rsid w:val="6BC46583"/>
    <w:rsid w:val="6BC97B68"/>
    <w:rsid w:val="6BCA1A3B"/>
    <w:rsid w:val="6BCA7713"/>
    <w:rsid w:val="6BD44BA4"/>
    <w:rsid w:val="6BD5588C"/>
    <w:rsid w:val="6BD90FC4"/>
    <w:rsid w:val="6BDF00D7"/>
    <w:rsid w:val="6BE36326"/>
    <w:rsid w:val="6BE41CD7"/>
    <w:rsid w:val="6BE545A6"/>
    <w:rsid w:val="6BE67FCE"/>
    <w:rsid w:val="6BE92079"/>
    <w:rsid w:val="6BE92084"/>
    <w:rsid w:val="6BE9269C"/>
    <w:rsid w:val="6BEB47A3"/>
    <w:rsid w:val="6BEE47B0"/>
    <w:rsid w:val="6BEF107A"/>
    <w:rsid w:val="6BF117C7"/>
    <w:rsid w:val="6BF50006"/>
    <w:rsid w:val="6BF7137D"/>
    <w:rsid w:val="6BF84F95"/>
    <w:rsid w:val="6BF93CBC"/>
    <w:rsid w:val="6BFC269A"/>
    <w:rsid w:val="6BFD684B"/>
    <w:rsid w:val="6C044E39"/>
    <w:rsid w:val="6C0830A3"/>
    <w:rsid w:val="6C093C53"/>
    <w:rsid w:val="6C103898"/>
    <w:rsid w:val="6C143FF7"/>
    <w:rsid w:val="6C1B4BC6"/>
    <w:rsid w:val="6C1C47F5"/>
    <w:rsid w:val="6C2377F2"/>
    <w:rsid w:val="6C242099"/>
    <w:rsid w:val="6C2537B0"/>
    <w:rsid w:val="6C2B5965"/>
    <w:rsid w:val="6C2D6010"/>
    <w:rsid w:val="6C376071"/>
    <w:rsid w:val="6C3C6BEC"/>
    <w:rsid w:val="6C454DCF"/>
    <w:rsid w:val="6C4844B7"/>
    <w:rsid w:val="6C4A1973"/>
    <w:rsid w:val="6C4C5234"/>
    <w:rsid w:val="6C5B08E1"/>
    <w:rsid w:val="6C5F7D9C"/>
    <w:rsid w:val="6C6640D6"/>
    <w:rsid w:val="6C690ACA"/>
    <w:rsid w:val="6C6B5E24"/>
    <w:rsid w:val="6C6B658D"/>
    <w:rsid w:val="6C6C706B"/>
    <w:rsid w:val="6C7021FE"/>
    <w:rsid w:val="6C72764A"/>
    <w:rsid w:val="6C7428B6"/>
    <w:rsid w:val="6C7C4BAF"/>
    <w:rsid w:val="6C7F1F78"/>
    <w:rsid w:val="6C8157FE"/>
    <w:rsid w:val="6C847B4B"/>
    <w:rsid w:val="6C877307"/>
    <w:rsid w:val="6C9775F2"/>
    <w:rsid w:val="6C9C6224"/>
    <w:rsid w:val="6CA02745"/>
    <w:rsid w:val="6CA137DA"/>
    <w:rsid w:val="6CA14912"/>
    <w:rsid w:val="6CA21948"/>
    <w:rsid w:val="6CA55F1F"/>
    <w:rsid w:val="6CBD1F87"/>
    <w:rsid w:val="6CBD515D"/>
    <w:rsid w:val="6CBE62C0"/>
    <w:rsid w:val="6CC5758D"/>
    <w:rsid w:val="6CC61F64"/>
    <w:rsid w:val="6CC71B07"/>
    <w:rsid w:val="6CC9402A"/>
    <w:rsid w:val="6CD04E01"/>
    <w:rsid w:val="6CD404DD"/>
    <w:rsid w:val="6CDB59F6"/>
    <w:rsid w:val="6CDB763F"/>
    <w:rsid w:val="6CDF615C"/>
    <w:rsid w:val="6CE37A02"/>
    <w:rsid w:val="6CE66607"/>
    <w:rsid w:val="6CED2711"/>
    <w:rsid w:val="6CEE3871"/>
    <w:rsid w:val="6CF30E2C"/>
    <w:rsid w:val="6CF726FA"/>
    <w:rsid w:val="6CFC4086"/>
    <w:rsid w:val="6D0626BD"/>
    <w:rsid w:val="6D0648AF"/>
    <w:rsid w:val="6D092A71"/>
    <w:rsid w:val="6D0B7A8B"/>
    <w:rsid w:val="6D0D1851"/>
    <w:rsid w:val="6D107613"/>
    <w:rsid w:val="6D12016B"/>
    <w:rsid w:val="6D14330F"/>
    <w:rsid w:val="6D182452"/>
    <w:rsid w:val="6D1940D1"/>
    <w:rsid w:val="6D1C5885"/>
    <w:rsid w:val="6D1C5CEC"/>
    <w:rsid w:val="6D1C6898"/>
    <w:rsid w:val="6D1E2BE2"/>
    <w:rsid w:val="6D1E713D"/>
    <w:rsid w:val="6D2562AD"/>
    <w:rsid w:val="6D261F54"/>
    <w:rsid w:val="6D270595"/>
    <w:rsid w:val="6D2C4E46"/>
    <w:rsid w:val="6D2E7326"/>
    <w:rsid w:val="6D2E73C1"/>
    <w:rsid w:val="6D350C4D"/>
    <w:rsid w:val="6D395C03"/>
    <w:rsid w:val="6D397023"/>
    <w:rsid w:val="6D3B38BB"/>
    <w:rsid w:val="6D3B697B"/>
    <w:rsid w:val="6D3D77CB"/>
    <w:rsid w:val="6D3E7C43"/>
    <w:rsid w:val="6D444DA8"/>
    <w:rsid w:val="6D4B3474"/>
    <w:rsid w:val="6D4F6FB8"/>
    <w:rsid w:val="6D585E23"/>
    <w:rsid w:val="6D590E30"/>
    <w:rsid w:val="6D5B5CC6"/>
    <w:rsid w:val="6D5C7716"/>
    <w:rsid w:val="6D613AB8"/>
    <w:rsid w:val="6D6140BB"/>
    <w:rsid w:val="6D61637F"/>
    <w:rsid w:val="6D6C42E8"/>
    <w:rsid w:val="6D6E7C27"/>
    <w:rsid w:val="6D713AF4"/>
    <w:rsid w:val="6D736080"/>
    <w:rsid w:val="6D740921"/>
    <w:rsid w:val="6D767617"/>
    <w:rsid w:val="6D77560B"/>
    <w:rsid w:val="6D777E0C"/>
    <w:rsid w:val="6D780CD6"/>
    <w:rsid w:val="6D793E5A"/>
    <w:rsid w:val="6D7B77A4"/>
    <w:rsid w:val="6D8326E1"/>
    <w:rsid w:val="6D85275D"/>
    <w:rsid w:val="6D863564"/>
    <w:rsid w:val="6D8650A8"/>
    <w:rsid w:val="6D8822FB"/>
    <w:rsid w:val="6D8D225E"/>
    <w:rsid w:val="6D914CD8"/>
    <w:rsid w:val="6D920307"/>
    <w:rsid w:val="6D94744A"/>
    <w:rsid w:val="6D986530"/>
    <w:rsid w:val="6DA54F14"/>
    <w:rsid w:val="6DA76E6E"/>
    <w:rsid w:val="6DA83A14"/>
    <w:rsid w:val="6DAD1B09"/>
    <w:rsid w:val="6DB22748"/>
    <w:rsid w:val="6DB657D0"/>
    <w:rsid w:val="6DBA1423"/>
    <w:rsid w:val="6DBC5C11"/>
    <w:rsid w:val="6DBE686B"/>
    <w:rsid w:val="6DC60356"/>
    <w:rsid w:val="6DC6795B"/>
    <w:rsid w:val="6DCB64E5"/>
    <w:rsid w:val="6DCE2FE3"/>
    <w:rsid w:val="6DCE40DF"/>
    <w:rsid w:val="6DD1408F"/>
    <w:rsid w:val="6DD6566D"/>
    <w:rsid w:val="6DDA00EF"/>
    <w:rsid w:val="6DDB6F02"/>
    <w:rsid w:val="6DDC685E"/>
    <w:rsid w:val="6DE40A9E"/>
    <w:rsid w:val="6DE7239C"/>
    <w:rsid w:val="6DE94A71"/>
    <w:rsid w:val="6DEB56D7"/>
    <w:rsid w:val="6DF506B6"/>
    <w:rsid w:val="6DFD0E44"/>
    <w:rsid w:val="6E002388"/>
    <w:rsid w:val="6E074BE6"/>
    <w:rsid w:val="6E09728D"/>
    <w:rsid w:val="6E0D571E"/>
    <w:rsid w:val="6E1248B8"/>
    <w:rsid w:val="6E132DF1"/>
    <w:rsid w:val="6E151742"/>
    <w:rsid w:val="6E1A23BE"/>
    <w:rsid w:val="6E204E1A"/>
    <w:rsid w:val="6E234066"/>
    <w:rsid w:val="6E280373"/>
    <w:rsid w:val="6E2A727A"/>
    <w:rsid w:val="6E2B3F74"/>
    <w:rsid w:val="6E2B7F28"/>
    <w:rsid w:val="6E317B26"/>
    <w:rsid w:val="6E326E74"/>
    <w:rsid w:val="6E33110D"/>
    <w:rsid w:val="6E355751"/>
    <w:rsid w:val="6E39704C"/>
    <w:rsid w:val="6E3F4EF1"/>
    <w:rsid w:val="6E4630B5"/>
    <w:rsid w:val="6E464A4A"/>
    <w:rsid w:val="6E476AB0"/>
    <w:rsid w:val="6E565740"/>
    <w:rsid w:val="6E656548"/>
    <w:rsid w:val="6E6B401E"/>
    <w:rsid w:val="6E6F34FF"/>
    <w:rsid w:val="6E7022F0"/>
    <w:rsid w:val="6E733427"/>
    <w:rsid w:val="6E735470"/>
    <w:rsid w:val="6E8404D9"/>
    <w:rsid w:val="6E8635C5"/>
    <w:rsid w:val="6E877F51"/>
    <w:rsid w:val="6E893F20"/>
    <w:rsid w:val="6E954B38"/>
    <w:rsid w:val="6E962120"/>
    <w:rsid w:val="6E970BD3"/>
    <w:rsid w:val="6E973AC2"/>
    <w:rsid w:val="6E992D6E"/>
    <w:rsid w:val="6E9A1523"/>
    <w:rsid w:val="6E9D639B"/>
    <w:rsid w:val="6E9E4CC6"/>
    <w:rsid w:val="6EA67423"/>
    <w:rsid w:val="6EA85B27"/>
    <w:rsid w:val="6EB04FBB"/>
    <w:rsid w:val="6EB16E97"/>
    <w:rsid w:val="6EB20104"/>
    <w:rsid w:val="6EB37633"/>
    <w:rsid w:val="6EB50DEC"/>
    <w:rsid w:val="6EB54453"/>
    <w:rsid w:val="6EC23F26"/>
    <w:rsid w:val="6EC45C2D"/>
    <w:rsid w:val="6EC868FA"/>
    <w:rsid w:val="6ECC04EA"/>
    <w:rsid w:val="6ED11B0B"/>
    <w:rsid w:val="6ED13632"/>
    <w:rsid w:val="6EDA6965"/>
    <w:rsid w:val="6EE54A51"/>
    <w:rsid w:val="6EE97638"/>
    <w:rsid w:val="6EEB77A8"/>
    <w:rsid w:val="6EEC4378"/>
    <w:rsid w:val="6EF02A1A"/>
    <w:rsid w:val="6EF063A4"/>
    <w:rsid w:val="6EF134B5"/>
    <w:rsid w:val="6EF55399"/>
    <w:rsid w:val="6EF930FE"/>
    <w:rsid w:val="6EFB176D"/>
    <w:rsid w:val="6F031C8C"/>
    <w:rsid w:val="6F056245"/>
    <w:rsid w:val="6F065954"/>
    <w:rsid w:val="6F0F38FA"/>
    <w:rsid w:val="6F1570F6"/>
    <w:rsid w:val="6F1778B3"/>
    <w:rsid w:val="6F1830D7"/>
    <w:rsid w:val="6F1832EC"/>
    <w:rsid w:val="6F1C0A38"/>
    <w:rsid w:val="6F1D3FD7"/>
    <w:rsid w:val="6F22696E"/>
    <w:rsid w:val="6F235196"/>
    <w:rsid w:val="6F2534E9"/>
    <w:rsid w:val="6F276CA1"/>
    <w:rsid w:val="6F287A47"/>
    <w:rsid w:val="6F2C5FFF"/>
    <w:rsid w:val="6F2F3892"/>
    <w:rsid w:val="6F345292"/>
    <w:rsid w:val="6F3545A9"/>
    <w:rsid w:val="6F3626B1"/>
    <w:rsid w:val="6F3B0AE2"/>
    <w:rsid w:val="6F3D4C24"/>
    <w:rsid w:val="6F3E1169"/>
    <w:rsid w:val="6F413A47"/>
    <w:rsid w:val="6F455208"/>
    <w:rsid w:val="6F462AF0"/>
    <w:rsid w:val="6F49469D"/>
    <w:rsid w:val="6F4C039B"/>
    <w:rsid w:val="6F531F41"/>
    <w:rsid w:val="6F591D4D"/>
    <w:rsid w:val="6F5C58DF"/>
    <w:rsid w:val="6F5F1DBF"/>
    <w:rsid w:val="6F637615"/>
    <w:rsid w:val="6F6A7033"/>
    <w:rsid w:val="6F6D533D"/>
    <w:rsid w:val="6F6E7EB7"/>
    <w:rsid w:val="6F6F47B5"/>
    <w:rsid w:val="6F755288"/>
    <w:rsid w:val="6F765251"/>
    <w:rsid w:val="6F7B0D9F"/>
    <w:rsid w:val="6F7B1A24"/>
    <w:rsid w:val="6F7D7E8D"/>
    <w:rsid w:val="6F7E4276"/>
    <w:rsid w:val="6F7E692A"/>
    <w:rsid w:val="6F852E62"/>
    <w:rsid w:val="6F89533D"/>
    <w:rsid w:val="6F8C0EFB"/>
    <w:rsid w:val="6F901E97"/>
    <w:rsid w:val="6F99450B"/>
    <w:rsid w:val="6F9D4B5A"/>
    <w:rsid w:val="6F9F268E"/>
    <w:rsid w:val="6FA37516"/>
    <w:rsid w:val="6FA41F1D"/>
    <w:rsid w:val="6FA74756"/>
    <w:rsid w:val="6FA97F32"/>
    <w:rsid w:val="6FAA5FFD"/>
    <w:rsid w:val="6FBB13E1"/>
    <w:rsid w:val="6FC06B92"/>
    <w:rsid w:val="6FC349AF"/>
    <w:rsid w:val="6FC36226"/>
    <w:rsid w:val="6FC500D1"/>
    <w:rsid w:val="6FC7599B"/>
    <w:rsid w:val="6FCE1243"/>
    <w:rsid w:val="6FD04110"/>
    <w:rsid w:val="6FD21002"/>
    <w:rsid w:val="6FD32848"/>
    <w:rsid w:val="6FD62C70"/>
    <w:rsid w:val="6FDA0019"/>
    <w:rsid w:val="6FDC5221"/>
    <w:rsid w:val="6FE05E21"/>
    <w:rsid w:val="6FE20403"/>
    <w:rsid w:val="6FE36B3A"/>
    <w:rsid w:val="6FE662C7"/>
    <w:rsid w:val="6FE871C6"/>
    <w:rsid w:val="6FE91D09"/>
    <w:rsid w:val="6FE92C8F"/>
    <w:rsid w:val="6FEA660F"/>
    <w:rsid w:val="6FF06ECB"/>
    <w:rsid w:val="6FF73DCF"/>
    <w:rsid w:val="6FF97468"/>
    <w:rsid w:val="6FFC75E7"/>
    <w:rsid w:val="70014F91"/>
    <w:rsid w:val="70061C4A"/>
    <w:rsid w:val="700765BB"/>
    <w:rsid w:val="700C05F2"/>
    <w:rsid w:val="700F4105"/>
    <w:rsid w:val="7018445A"/>
    <w:rsid w:val="701A1700"/>
    <w:rsid w:val="701D58C8"/>
    <w:rsid w:val="701E2053"/>
    <w:rsid w:val="702022F7"/>
    <w:rsid w:val="70226B29"/>
    <w:rsid w:val="70286830"/>
    <w:rsid w:val="702F1D4A"/>
    <w:rsid w:val="70314367"/>
    <w:rsid w:val="70317B80"/>
    <w:rsid w:val="7033093B"/>
    <w:rsid w:val="70346529"/>
    <w:rsid w:val="70393375"/>
    <w:rsid w:val="703C242D"/>
    <w:rsid w:val="703C7024"/>
    <w:rsid w:val="703E45C6"/>
    <w:rsid w:val="70476BF0"/>
    <w:rsid w:val="70481AE1"/>
    <w:rsid w:val="704908D3"/>
    <w:rsid w:val="704C570B"/>
    <w:rsid w:val="704E27CF"/>
    <w:rsid w:val="704F0F52"/>
    <w:rsid w:val="70525FEE"/>
    <w:rsid w:val="7054001B"/>
    <w:rsid w:val="70577BC4"/>
    <w:rsid w:val="7061359F"/>
    <w:rsid w:val="706135E4"/>
    <w:rsid w:val="706214D3"/>
    <w:rsid w:val="70684D5F"/>
    <w:rsid w:val="706B63EA"/>
    <w:rsid w:val="70710AB2"/>
    <w:rsid w:val="70787698"/>
    <w:rsid w:val="707C5A00"/>
    <w:rsid w:val="707E6CD2"/>
    <w:rsid w:val="70840522"/>
    <w:rsid w:val="70874A0D"/>
    <w:rsid w:val="708C3276"/>
    <w:rsid w:val="708E2394"/>
    <w:rsid w:val="7090057E"/>
    <w:rsid w:val="70960B19"/>
    <w:rsid w:val="70966B89"/>
    <w:rsid w:val="709D470D"/>
    <w:rsid w:val="709D57FF"/>
    <w:rsid w:val="70A21BFC"/>
    <w:rsid w:val="70A56C66"/>
    <w:rsid w:val="70A748D6"/>
    <w:rsid w:val="70AE5203"/>
    <w:rsid w:val="70B00072"/>
    <w:rsid w:val="70B11B6E"/>
    <w:rsid w:val="70B24A79"/>
    <w:rsid w:val="70BA4140"/>
    <w:rsid w:val="70BB1D7E"/>
    <w:rsid w:val="70BF231F"/>
    <w:rsid w:val="70C21AA4"/>
    <w:rsid w:val="70CD5591"/>
    <w:rsid w:val="70D254C6"/>
    <w:rsid w:val="70D54A97"/>
    <w:rsid w:val="70D72CF3"/>
    <w:rsid w:val="70DE3347"/>
    <w:rsid w:val="70DF7FA8"/>
    <w:rsid w:val="70E21FF5"/>
    <w:rsid w:val="70E241F5"/>
    <w:rsid w:val="70E40A82"/>
    <w:rsid w:val="70E71BD2"/>
    <w:rsid w:val="70E9549C"/>
    <w:rsid w:val="70EA14A5"/>
    <w:rsid w:val="70F05A8D"/>
    <w:rsid w:val="70F20381"/>
    <w:rsid w:val="70F40181"/>
    <w:rsid w:val="70F454BC"/>
    <w:rsid w:val="70F505F6"/>
    <w:rsid w:val="70F61D6C"/>
    <w:rsid w:val="70F71DBD"/>
    <w:rsid w:val="70F85E7F"/>
    <w:rsid w:val="70FC3463"/>
    <w:rsid w:val="70FD2F15"/>
    <w:rsid w:val="70FE7BD9"/>
    <w:rsid w:val="71012578"/>
    <w:rsid w:val="71045B9F"/>
    <w:rsid w:val="710476F0"/>
    <w:rsid w:val="710864EA"/>
    <w:rsid w:val="710A4A98"/>
    <w:rsid w:val="710C1071"/>
    <w:rsid w:val="71144423"/>
    <w:rsid w:val="711A0728"/>
    <w:rsid w:val="71200AD1"/>
    <w:rsid w:val="712047FD"/>
    <w:rsid w:val="7122374B"/>
    <w:rsid w:val="712A424A"/>
    <w:rsid w:val="712B6A38"/>
    <w:rsid w:val="712D3FF3"/>
    <w:rsid w:val="712F3FBE"/>
    <w:rsid w:val="712F75D2"/>
    <w:rsid w:val="713462AD"/>
    <w:rsid w:val="71395965"/>
    <w:rsid w:val="71415B1B"/>
    <w:rsid w:val="71437897"/>
    <w:rsid w:val="714A16A5"/>
    <w:rsid w:val="714A4F4E"/>
    <w:rsid w:val="714A5260"/>
    <w:rsid w:val="714B76A1"/>
    <w:rsid w:val="714D3E6B"/>
    <w:rsid w:val="714D7A31"/>
    <w:rsid w:val="714F6BA0"/>
    <w:rsid w:val="71506BE0"/>
    <w:rsid w:val="71523D5B"/>
    <w:rsid w:val="715243BA"/>
    <w:rsid w:val="71534F4B"/>
    <w:rsid w:val="7153763D"/>
    <w:rsid w:val="71537E86"/>
    <w:rsid w:val="71583755"/>
    <w:rsid w:val="715A018C"/>
    <w:rsid w:val="715F4D5A"/>
    <w:rsid w:val="71662E2D"/>
    <w:rsid w:val="716921ED"/>
    <w:rsid w:val="71695927"/>
    <w:rsid w:val="716F1FA9"/>
    <w:rsid w:val="717111A4"/>
    <w:rsid w:val="7171612D"/>
    <w:rsid w:val="71783BFB"/>
    <w:rsid w:val="7179257A"/>
    <w:rsid w:val="71807BBC"/>
    <w:rsid w:val="7181636F"/>
    <w:rsid w:val="718351FD"/>
    <w:rsid w:val="71861DB9"/>
    <w:rsid w:val="718A11B5"/>
    <w:rsid w:val="71906846"/>
    <w:rsid w:val="71912009"/>
    <w:rsid w:val="71971B78"/>
    <w:rsid w:val="719731A3"/>
    <w:rsid w:val="719A3723"/>
    <w:rsid w:val="719C74F6"/>
    <w:rsid w:val="719E138F"/>
    <w:rsid w:val="719E6C65"/>
    <w:rsid w:val="71A30B83"/>
    <w:rsid w:val="71A34106"/>
    <w:rsid w:val="71A5692F"/>
    <w:rsid w:val="71AB2F6B"/>
    <w:rsid w:val="71B11374"/>
    <w:rsid w:val="71C32902"/>
    <w:rsid w:val="71C5159D"/>
    <w:rsid w:val="71C801FF"/>
    <w:rsid w:val="71C93161"/>
    <w:rsid w:val="71C9504D"/>
    <w:rsid w:val="71CB0E46"/>
    <w:rsid w:val="71CB6A0C"/>
    <w:rsid w:val="71D22EC4"/>
    <w:rsid w:val="71D57EDD"/>
    <w:rsid w:val="71D738D2"/>
    <w:rsid w:val="71D8417D"/>
    <w:rsid w:val="71DC070C"/>
    <w:rsid w:val="71DD66DD"/>
    <w:rsid w:val="71EC228E"/>
    <w:rsid w:val="71EF41E0"/>
    <w:rsid w:val="71F27A9C"/>
    <w:rsid w:val="71F52C3D"/>
    <w:rsid w:val="71F614F4"/>
    <w:rsid w:val="71F80DDC"/>
    <w:rsid w:val="71F841A1"/>
    <w:rsid w:val="72014BBD"/>
    <w:rsid w:val="721265CD"/>
    <w:rsid w:val="72160306"/>
    <w:rsid w:val="72161BB7"/>
    <w:rsid w:val="72166E15"/>
    <w:rsid w:val="72170CC7"/>
    <w:rsid w:val="721A3273"/>
    <w:rsid w:val="721B4FC9"/>
    <w:rsid w:val="721E06CC"/>
    <w:rsid w:val="721E5191"/>
    <w:rsid w:val="72296C9E"/>
    <w:rsid w:val="722A3938"/>
    <w:rsid w:val="72347C44"/>
    <w:rsid w:val="723513EB"/>
    <w:rsid w:val="72395AC9"/>
    <w:rsid w:val="723A0991"/>
    <w:rsid w:val="723A568C"/>
    <w:rsid w:val="723C71B1"/>
    <w:rsid w:val="723E0710"/>
    <w:rsid w:val="723E3532"/>
    <w:rsid w:val="72456C39"/>
    <w:rsid w:val="72493538"/>
    <w:rsid w:val="724B14D8"/>
    <w:rsid w:val="7250287D"/>
    <w:rsid w:val="7257268E"/>
    <w:rsid w:val="725F30AC"/>
    <w:rsid w:val="725F3DFF"/>
    <w:rsid w:val="726157C0"/>
    <w:rsid w:val="726604F3"/>
    <w:rsid w:val="72672840"/>
    <w:rsid w:val="726A573D"/>
    <w:rsid w:val="726B21BD"/>
    <w:rsid w:val="726F4F5B"/>
    <w:rsid w:val="7277137F"/>
    <w:rsid w:val="728234E9"/>
    <w:rsid w:val="72854462"/>
    <w:rsid w:val="72856079"/>
    <w:rsid w:val="72870E15"/>
    <w:rsid w:val="72891B9B"/>
    <w:rsid w:val="728B72C3"/>
    <w:rsid w:val="728F5C8B"/>
    <w:rsid w:val="729204BA"/>
    <w:rsid w:val="72921F48"/>
    <w:rsid w:val="729B3811"/>
    <w:rsid w:val="729C137B"/>
    <w:rsid w:val="729C5F71"/>
    <w:rsid w:val="72A049C1"/>
    <w:rsid w:val="72A04AC0"/>
    <w:rsid w:val="72A46CEA"/>
    <w:rsid w:val="72A71129"/>
    <w:rsid w:val="72AD0F0F"/>
    <w:rsid w:val="72B76988"/>
    <w:rsid w:val="72BA3B7E"/>
    <w:rsid w:val="72BB791D"/>
    <w:rsid w:val="72BC3C0F"/>
    <w:rsid w:val="72C26431"/>
    <w:rsid w:val="72C65893"/>
    <w:rsid w:val="72C661B3"/>
    <w:rsid w:val="72C757AB"/>
    <w:rsid w:val="72CB2010"/>
    <w:rsid w:val="72CC655C"/>
    <w:rsid w:val="72D139B9"/>
    <w:rsid w:val="72D2561E"/>
    <w:rsid w:val="72D351B7"/>
    <w:rsid w:val="72D40796"/>
    <w:rsid w:val="72D73B85"/>
    <w:rsid w:val="72DC75B6"/>
    <w:rsid w:val="72E06B73"/>
    <w:rsid w:val="72E07EFF"/>
    <w:rsid w:val="72E17695"/>
    <w:rsid w:val="72E34E2F"/>
    <w:rsid w:val="72E65515"/>
    <w:rsid w:val="72E70B17"/>
    <w:rsid w:val="72E809D4"/>
    <w:rsid w:val="72EA1591"/>
    <w:rsid w:val="72EA2CCF"/>
    <w:rsid w:val="72ED2E8E"/>
    <w:rsid w:val="72ED6490"/>
    <w:rsid w:val="72F6565F"/>
    <w:rsid w:val="72F86A57"/>
    <w:rsid w:val="72F96D88"/>
    <w:rsid w:val="72FA3E4C"/>
    <w:rsid w:val="72FB4B40"/>
    <w:rsid w:val="72FB7169"/>
    <w:rsid w:val="72FB7196"/>
    <w:rsid w:val="72FE68E6"/>
    <w:rsid w:val="73095614"/>
    <w:rsid w:val="73097DD3"/>
    <w:rsid w:val="730D4C9C"/>
    <w:rsid w:val="73210966"/>
    <w:rsid w:val="73227B6B"/>
    <w:rsid w:val="73254C86"/>
    <w:rsid w:val="73272C61"/>
    <w:rsid w:val="732B21E6"/>
    <w:rsid w:val="732B3B62"/>
    <w:rsid w:val="73305AEF"/>
    <w:rsid w:val="733464DA"/>
    <w:rsid w:val="733661E3"/>
    <w:rsid w:val="73372698"/>
    <w:rsid w:val="7338771C"/>
    <w:rsid w:val="733979FD"/>
    <w:rsid w:val="733A11E2"/>
    <w:rsid w:val="733F24A0"/>
    <w:rsid w:val="73426F22"/>
    <w:rsid w:val="73471CEA"/>
    <w:rsid w:val="734E5D66"/>
    <w:rsid w:val="73515981"/>
    <w:rsid w:val="73557992"/>
    <w:rsid w:val="73573B47"/>
    <w:rsid w:val="735951C3"/>
    <w:rsid w:val="735A779A"/>
    <w:rsid w:val="735C1561"/>
    <w:rsid w:val="735E1F99"/>
    <w:rsid w:val="73605CE8"/>
    <w:rsid w:val="736323F6"/>
    <w:rsid w:val="73643B27"/>
    <w:rsid w:val="736B6581"/>
    <w:rsid w:val="736F0404"/>
    <w:rsid w:val="736F2D53"/>
    <w:rsid w:val="73706A3D"/>
    <w:rsid w:val="73710D70"/>
    <w:rsid w:val="73753260"/>
    <w:rsid w:val="73753A81"/>
    <w:rsid w:val="73761131"/>
    <w:rsid w:val="73781020"/>
    <w:rsid w:val="737C21F2"/>
    <w:rsid w:val="737C7DF0"/>
    <w:rsid w:val="737D3738"/>
    <w:rsid w:val="73836E56"/>
    <w:rsid w:val="73850D0D"/>
    <w:rsid w:val="73886DFA"/>
    <w:rsid w:val="738A73AA"/>
    <w:rsid w:val="738C2B52"/>
    <w:rsid w:val="738D2FD4"/>
    <w:rsid w:val="7397480C"/>
    <w:rsid w:val="739941AE"/>
    <w:rsid w:val="739C3EA6"/>
    <w:rsid w:val="73B50207"/>
    <w:rsid w:val="73C367C5"/>
    <w:rsid w:val="73C644BD"/>
    <w:rsid w:val="73C71032"/>
    <w:rsid w:val="73CC0509"/>
    <w:rsid w:val="73CC2A51"/>
    <w:rsid w:val="73CD24E7"/>
    <w:rsid w:val="73CF716A"/>
    <w:rsid w:val="73DB33C2"/>
    <w:rsid w:val="73DF070A"/>
    <w:rsid w:val="73E110E1"/>
    <w:rsid w:val="73E13A8B"/>
    <w:rsid w:val="73E17EAC"/>
    <w:rsid w:val="73E5433B"/>
    <w:rsid w:val="73E57CAC"/>
    <w:rsid w:val="73E67C14"/>
    <w:rsid w:val="73E71FDF"/>
    <w:rsid w:val="73EA1C2E"/>
    <w:rsid w:val="73EA41C1"/>
    <w:rsid w:val="73F132D6"/>
    <w:rsid w:val="73F15D9C"/>
    <w:rsid w:val="73F23C1D"/>
    <w:rsid w:val="73F320EA"/>
    <w:rsid w:val="73F34452"/>
    <w:rsid w:val="73F34A5D"/>
    <w:rsid w:val="73F53F3B"/>
    <w:rsid w:val="73F56889"/>
    <w:rsid w:val="73F92E65"/>
    <w:rsid w:val="74047AEE"/>
    <w:rsid w:val="74054CC9"/>
    <w:rsid w:val="740558F0"/>
    <w:rsid w:val="74091C74"/>
    <w:rsid w:val="740A18E0"/>
    <w:rsid w:val="740B4131"/>
    <w:rsid w:val="740B56CD"/>
    <w:rsid w:val="741A2D1C"/>
    <w:rsid w:val="741A7C98"/>
    <w:rsid w:val="741C402C"/>
    <w:rsid w:val="741C6085"/>
    <w:rsid w:val="741D52A1"/>
    <w:rsid w:val="74253133"/>
    <w:rsid w:val="74253BDE"/>
    <w:rsid w:val="742D5731"/>
    <w:rsid w:val="742E58C7"/>
    <w:rsid w:val="74310B0B"/>
    <w:rsid w:val="74336406"/>
    <w:rsid w:val="743B6AE0"/>
    <w:rsid w:val="743C5AAC"/>
    <w:rsid w:val="7440543E"/>
    <w:rsid w:val="7441076A"/>
    <w:rsid w:val="7441245C"/>
    <w:rsid w:val="7447527C"/>
    <w:rsid w:val="74526399"/>
    <w:rsid w:val="74575342"/>
    <w:rsid w:val="745C2BC8"/>
    <w:rsid w:val="745E4071"/>
    <w:rsid w:val="745E5FCD"/>
    <w:rsid w:val="745F1545"/>
    <w:rsid w:val="746008C5"/>
    <w:rsid w:val="74604F29"/>
    <w:rsid w:val="74617C0E"/>
    <w:rsid w:val="74632834"/>
    <w:rsid w:val="746815C9"/>
    <w:rsid w:val="746E60F4"/>
    <w:rsid w:val="746F25E8"/>
    <w:rsid w:val="747015FE"/>
    <w:rsid w:val="74754537"/>
    <w:rsid w:val="74756586"/>
    <w:rsid w:val="747B1D9D"/>
    <w:rsid w:val="747B7410"/>
    <w:rsid w:val="7482735F"/>
    <w:rsid w:val="74876CEC"/>
    <w:rsid w:val="748B1439"/>
    <w:rsid w:val="748C6666"/>
    <w:rsid w:val="748F4D93"/>
    <w:rsid w:val="749652FF"/>
    <w:rsid w:val="749A421B"/>
    <w:rsid w:val="749F4DB7"/>
    <w:rsid w:val="74A11C29"/>
    <w:rsid w:val="74A97A18"/>
    <w:rsid w:val="74B11B3F"/>
    <w:rsid w:val="74B36567"/>
    <w:rsid w:val="74B5650D"/>
    <w:rsid w:val="74B57C47"/>
    <w:rsid w:val="74B67E54"/>
    <w:rsid w:val="74B734E1"/>
    <w:rsid w:val="74BF6C54"/>
    <w:rsid w:val="74C13894"/>
    <w:rsid w:val="74C634ED"/>
    <w:rsid w:val="74C74BB6"/>
    <w:rsid w:val="74C84179"/>
    <w:rsid w:val="74CB04D1"/>
    <w:rsid w:val="74CF014B"/>
    <w:rsid w:val="74CF6052"/>
    <w:rsid w:val="74D20F00"/>
    <w:rsid w:val="74D30A96"/>
    <w:rsid w:val="74D547CD"/>
    <w:rsid w:val="74E163C6"/>
    <w:rsid w:val="74E94995"/>
    <w:rsid w:val="74EA7B60"/>
    <w:rsid w:val="74EB5D54"/>
    <w:rsid w:val="74EC2E76"/>
    <w:rsid w:val="74EF3BA6"/>
    <w:rsid w:val="74F0413C"/>
    <w:rsid w:val="74F33C72"/>
    <w:rsid w:val="74F70660"/>
    <w:rsid w:val="74FC58F5"/>
    <w:rsid w:val="74FE6000"/>
    <w:rsid w:val="75011415"/>
    <w:rsid w:val="75071C10"/>
    <w:rsid w:val="7507793E"/>
    <w:rsid w:val="750A172A"/>
    <w:rsid w:val="750C5F92"/>
    <w:rsid w:val="751038B2"/>
    <w:rsid w:val="7512260E"/>
    <w:rsid w:val="7513389B"/>
    <w:rsid w:val="7514143B"/>
    <w:rsid w:val="751A388B"/>
    <w:rsid w:val="75285446"/>
    <w:rsid w:val="752C3E84"/>
    <w:rsid w:val="753A748E"/>
    <w:rsid w:val="753D6F32"/>
    <w:rsid w:val="754F5342"/>
    <w:rsid w:val="75523984"/>
    <w:rsid w:val="75544705"/>
    <w:rsid w:val="75607A13"/>
    <w:rsid w:val="7561243B"/>
    <w:rsid w:val="756D1E6F"/>
    <w:rsid w:val="756D25F3"/>
    <w:rsid w:val="757263B5"/>
    <w:rsid w:val="75734068"/>
    <w:rsid w:val="757A57CC"/>
    <w:rsid w:val="757E6FEC"/>
    <w:rsid w:val="757F04DE"/>
    <w:rsid w:val="757F1895"/>
    <w:rsid w:val="75863E79"/>
    <w:rsid w:val="75884AA4"/>
    <w:rsid w:val="758A62B8"/>
    <w:rsid w:val="758D308E"/>
    <w:rsid w:val="75907FE4"/>
    <w:rsid w:val="75971FD4"/>
    <w:rsid w:val="7598328E"/>
    <w:rsid w:val="75987ED7"/>
    <w:rsid w:val="75A03250"/>
    <w:rsid w:val="75A94626"/>
    <w:rsid w:val="75B1073B"/>
    <w:rsid w:val="75B624AA"/>
    <w:rsid w:val="75B85691"/>
    <w:rsid w:val="75C047A5"/>
    <w:rsid w:val="75C21107"/>
    <w:rsid w:val="75C321D8"/>
    <w:rsid w:val="75C42DB2"/>
    <w:rsid w:val="75C97903"/>
    <w:rsid w:val="75CB4737"/>
    <w:rsid w:val="75CC69A1"/>
    <w:rsid w:val="75CE0A6C"/>
    <w:rsid w:val="75D119CF"/>
    <w:rsid w:val="75D14D3B"/>
    <w:rsid w:val="75D30632"/>
    <w:rsid w:val="75D3398D"/>
    <w:rsid w:val="75D412EE"/>
    <w:rsid w:val="75D82EF2"/>
    <w:rsid w:val="75DA5246"/>
    <w:rsid w:val="75DB6210"/>
    <w:rsid w:val="75E01835"/>
    <w:rsid w:val="75E477E3"/>
    <w:rsid w:val="75EA66F6"/>
    <w:rsid w:val="75EE5392"/>
    <w:rsid w:val="75EE6128"/>
    <w:rsid w:val="75EF6404"/>
    <w:rsid w:val="75F0095C"/>
    <w:rsid w:val="75F53347"/>
    <w:rsid w:val="75F811B4"/>
    <w:rsid w:val="75FA6450"/>
    <w:rsid w:val="75FC73EC"/>
    <w:rsid w:val="75FC77E4"/>
    <w:rsid w:val="76042539"/>
    <w:rsid w:val="760446CA"/>
    <w:rsid w:val="760955CE"/>
    <w:rsid w:val="76097DC1"/>
    <w:rsid w:val="760C5283"/>
    <w:rsid w:val="760C7FB9"/>
    <w:rsid w:val="760D10E3"/>
    <w:rsid w:val="76126151"/>
    <w:rsid w:val="761C380A"/>
    <w:rsid w:val="761C5F7E"/>
    <w:rsid w:val="761D2337"/>
    <w:rsid w:val="761F5BB3"/>
    <w:rsid w:val="76200317"/>
    <w:rsid w:val="76201BAA"/>
    <w:rsid w:val="762045E8"/>
    <w:rsid w:val="7629168A"/>
    <w:rsid w:val="762C50E6"/>
    <w:rsid w:val="762F575D"/>
    <w:rsid w:val="762F7C6A"/>
    <w:rsid w:val="76350259"/>
    <w:rsid w:val="76395F7F"/>
    <w:rsid w:val="763A4EE7"/>
    <w:rsid w:val="763C3DCB"/>
    <w:rsid w:val="763E64CC"/>
    <w:rsid w:val="76477E5E"/>
    <w:rsid w:val="764C76C0"/>
    <w:rsid w:val="764D74C2"/>
    <w:rsid w:val="76502B6A"/>
    <w:rsid w:val="76512BEE"/>
    <w:rsid w:val="7656535F"/>
    <w:rsid w:val="76576690"/>
    <w:rsid w:val="76596349"/>
    <w:rsid w:val="765F50BD"/>
    <w:rsid w:val="76612B6F"/>
    <w:rsid w:val="76617028"/>
    <w:rsid w:val="7665024D"/>
    <w:rsid w:val="76681356"/>
    <w:rsid w:val="766C75D8"/>
    <w:rsid w:val="766E07F7"/>
    <w:rsid w:val="767506D1"/>
    <w:rsid w:val="76765A40"/>
    <w:rsid w:val="7679291A"/>
    <w:rsid w:val="767B2CD3"/>
    <w:rsid w:val="767D3EB7"/>
    <w:rsid w:val="768526C8"/>
    <w:rsid w:val="76891391"/>
    <w:rsid w:val="768958AD"/>
    <w:rsid w:val="76895F37"/>
    <w:rsid w:val="76897B9E"/>
    <w:rsid w:val="768A2207"/>
    <w:rsid w:val="769212DE"/>
    <w:rsid w:val="769920F9"/>
    <w:rsid w:val="769B63CA"/>
    <w:rsid w:val="769C79B6"/>
    <w:rsid w:val="769F78E0"/>
    <w:rsid w:val="76A003F5"/>
    <w:rsid w:val="76A3042E"/>
    <w:rsid w:val="76A62892"/>
    <w:rsid w:val="76A910CA"/>
    <w:rsid w:val="76AC615E"/>
    <w:rsid w:val="76AC6B54"/>
    <w:rsid w:val="76B03966"/>
    <w:rsid w:val="76B3171E"/>
    <w:rsid w:val="76B359C2"/>
    <w:rsid w:val="76B37C38"/>
    <w:rsid w:val="76B42F35"/>
    <w:rsid w:val="76B61280"/>
    <w:rsid w:val="76BF3D43"/>
    <w:rsid w:val="76C037C4"/>
    <w:rsid w:val="76C27CF1"/>
    <w:rsid w:val="76C405D1"/>
    <w:rsid w:val="76C90C67"/>
    <w:rsid w:val="76CE2B58"/>
    <w:rsid w:val="76CE654F"/>
    <w:rsid w:val="76D125DB"/>
    <w:rsid w:val="76D52197"/>
    <w:rsid w:val="76D84BB4"/>
    <w:rsid w:val="76DA7203"/>
    <w:rsid w:val="76DD17B7"/>
    <w:rsid w:val="76E23D9F"/>
    <w:rsid w:val="76E27AAE"/>
    <w:rsid w:val="76E375AE"/>
    <w:rsid w:val="76E4668F"/>
    <w:rsid w:val="76F16AFC"/>
    <w:rsid w:val="76F458ED"/>
    <w:rsid w:val="76F734D8"/>
    <w:rsid w:val="76F80CFA"/>
    <w:rsid w:val="76FA0EE0"/>
    <w:rsid w:val="76FB6FF6"/>
    <w:rsid w:val="76FC1F31"/>
    <w:rsid w:val="76FE0B2C"/>
    <w:rsid w:val="77025CE3"/>
    <w:rsid w:val="770838CD"/>
    <w:rsid w:val="770A1130"/>
    <w:rsid w:val="7713497A"/>
    <w:rsid w:val="77137F58"/>
    <w:rsid w:val="77190FA8"/>
    <w:rsid w:val="771D1762"/>
    <w:rsid w:val="7722109E"/>
    <w:rsid w:val="77231210"/>
    <w:rsid w:val="772349BC"/>
    <w:rsid w:val="77260263"/>
    <w:rsid w:val="77264A54"/>
    <w:rsid w:val="77280689"/>
    <w:rsid w:val="77300B64"/>
    <w:rsid w:val="77306BA5"/>
    <w:rsid w:val="77320D5E"/>
    <w:rsid w:val="773757A1"/>
    <w:rsid w:val="77407424"/>
    <w:rsid w:val="77413C02"/>
    <w:rsid w:val="77437930"/>
    <w:rsid w:val="77450A25"/>
    <w:rsid w:val="774523A8"/>
    <w:rsid w:val="77460D52"/>
    <w:rsid w:val="77473727"/>
    <w:rsid w:val="77473F79"/>
    <w:rsid w:val="77484C65"/>
    <w:rsid w:val="774E36D1"/>
    <w:rsid w:val="77502D56"/>
    <w:rsid w:val="77503DE1"/>
    <w:rsid w:val="77520CD4"/>
    <w:rsid w:val="775A2998"/>
    <w:rsid w:val="775B30C6"/>
    <w:rsid w:val="775B49DB"/>
    <w:rsid w:val="775E6097"/>
    <w:rsid w:val="77673915"/>
    <w:rsid w:val="776937B5"/>
    <w:rsid w:val="776D2E7C"/>
    <w:rsid w:val="77775998"/>
    <w:rsid w:val="77792E4B"/>
    <w:rsid w:val="777D0728"/>
    <w:rsid w:val="77815EF0"/>
    <w:rsid w:val="778B1DFE"/>
    <w:rsid w:val="778B38D7"/>
    <w:rsid w:val="778D5F2B"/>
    <w:rsid w:val="778E5340"/>
    <w:rsid w:val="778F6945"/>
    <w:rsid w:val="779004D6"/>
    <w:rsid w:val="779034C1"/>
    <w:rsid w:val="77951F91"/>
    <w:rsid w:val="77965C32"/>
    <w:rsid w:val="77976D0C"/>
    <w:rsid w:val="779D0E94"/>
    <w:rsid w:val="779E659C"/>
    <w:rsid w:val="77A05267"/>
    <w:rsid w:val="77A166E7"/>
    <w:rsid w:val="77A52526"/>
    <w:rsid w:val="77A53304"/>
    <w:rsid w:val="77AA13DF"/>
    <w:rsid w:val="77AC4C82"/>
    <w:rsid w:val="77AD3939"/>
    <w:rsid w:val="77AE73D5"/>
    <w:rsid w:val="77B150B4"/>
    <w:rsid w:val="77B355E7"/>
    <w:rsid w:val="77C053E5"/>
    <w:rsid w:val="77C24811"/>
    <w:rsid w:val="77C26F3F"/>
    <w:rsid w:val="77C34090"/>
    <w:rsid w:val="77C71C09"/>
    <w:rsid w:val="77C845E5"/>
    <w:rsid w:val="77D001E9"/>
    <w:rsid w:val="77D26B05"/>
    <w:rsid w:val="77D5432F"/>
    <w:rsid w:val="77DA2D83"/>
    <w:rsid w:val="77DA7461"/>
    <w:rsid w:val="77E072D2"/>
    <w:rsid w:val="77E9658D"/>
    <w:rsid w:val="77EA7757"/>
    <w:rsid w:val="77EB5A15"/>
    <w:rsid w:val="77EC63E8"/>
    <w:rsid w:val="77ED49F9"/>
    <w:rsid w:val="77F60D9F"/>
    <w:rsid w:val="77F61BEA"/>
    <w:rsid w:val="77FB45F2"/>
    <w:rsid w:val="77FB5A8C"/>
    <w:rsid w:val="77FE0292"/>
    <w:rsid w:val="77FF0E8E"/>
    <w:rsid w:val="780462AC"/>
    <w:rsid w:val="780811F7"/>
    <w:rsid w:val="780A6552"/>
    <w:rsid w:val="780F6B21"/>
    <w:rsid w:val="78112EBE"/>
    <w:rsid w:val="78162F72"/>
    <w:rsid w:val="78187260"/>
    <w:rsid w:val="781934F4"/>
    <w:rsid w:val="781A1512"/>
    <w:rsid w:val="781C1D88"/>
    <w:rsid w:val="78217408"/>
    <w:rsid w:val="78222EC4"/>
    <w:rsid w:val="782408FF"/>
    <w:rsid w:val="7826218B"/>
    <w:rsid w:val="78271AC0"/>
    <w:rsid w:val="78294F2F"/>
    <w:rsid w:val="78295F65"/>
    <w:rsid w:val="782E4198"/>
    <w:rsid w:val="78331B77"/>
    <w:rsid w:val="78356215"/>
    <w:rsid w:val="783D3518"/>
    <w:rsid w:val="783D4E9E"/>
    <w:rsid w:val="78492A36"/>
    <w:rsid w:val="785668E1"/>
    <w:rsid w:val="78596C20"/>
    <w:rsid w:val="785D1874"/>
    <w:rsid w:val="78602E55"/>
    <w:rsid w:val="78603B36"/>
    <w:rsid w:val="78692BD3"/>
    <w:rsid w:val="786A206F"/>
    <w:rsid w:val="786B5F62"/>
    <w:rsid w:val="786D054F"/>
    <w:rsid w:val="7871176E"/>
    <w:rsid w:val="7872149F"/>
    <w:rsid w:val="78783D55"/>
    <w:rsid w:val="787F07EC"/>
    <w:rsid w:val="787F0E09"/>
    <w:rsid w:val="78800629"/>
    <w:rsid w:val="788220CF"/>
    <w:rsid w:val="788A19C0"/>
    <w:rsid w:val="788A65E4"/>
    <w:rsid w:val="788B0693"/>
    <w:rsid w:val="78932EFD"/>
    <w:rsid w:val="78935BF6"/>
    <w:rsid w:val="78990AD8"/>
    <w:rsid w:val="789D167B"/>
    <w:rsid w:val="78A204C3"/>
    <w:rsid w:val="78A9068C"/>
    <w:rsid w:val="78AC006A"/>
    <w:rsid w:val="78AE35B9"/>
    <w:rsid w:val="78B4658A"/>
    <w:rsid w:val="78B67F82"/>
    <w:rsid w:val="78BB79BD"/>
    <w:rsid w:val="78C76AF2"/>
    <w:rsid w:val="78C84E04"/>
    <w:rsid w:val="78CE1B31"/>
    <w:rsid w:val="78D124AC"/>
    <w:rsid w:val="78D23C0F"/>
    <w:rsid w:val="78D75243"/>
    <w:rsid w:val="78D756B1"/>
    <w:rsid w:val="78D83538"/>
    <w:rsid w:val="78D9613C"/>
    <w:rsid w:val="78E0199D"/>
    <w:rsid w:val="78E31797"/>
    <w:rsid w:val="78E62142"/>
    <w:rsid w:val="78EC3DF4"/>
    <w:rsid w:val="78FA02D5"/>
    <w:rsid w:val="78FD7EE0"/>
    <w:rsid w:val="78FF7C01"/>
    <w:rsid w:val="79035C66"/>
    <w:rsid w:val="790533D5"/>
    <w:rsid w:val="790751D4"/>
    <w:rsid w:val="79081029"/>
    <w:rsid w:val="790C6DF6"/>
    <w:rsid w:val="790E2E17"/>
    <w:rsid w:val="79145235"/>
    <w:rsid w:val="79153825"/>
    <w:rsid w:val="791560E7"/>
    <w:rsid w:val="79165493"/>
    <w:rsid w:val="7919365B"/>
    <w:rsid w:val="791B2A2E"/>
    <w:rsid w:val="79215914"/>
    <w:rsid w:val="79220E3A"/>
    <w:rsid w:val="79226636"/>
    <w:rsid w:val="79236DA4"/>
    <w:rsid w:val="792C0ADD"/>
    <w:rsid w:val="793119EC"/>
    <w:rsid w:val="79332493"/>
    <w:rsid w:val="79347290"/>
    <w:rsid w:val="79357448"/>
    <w:rsid w:val="79377799"/>
    <w:rsid w:val="7940736E"/>
    <w:rsid w:val="7941074F"/>
    <w:rsid w:val="7942132A"/>
    <w:rsid w:val="7943299F"/>
    <w:rsid w:val="794B36E9"/>
    <w:rsid w:val="794E5724"/>
    <w:rsid w:val="79516BCA"/>
    <w:rsid w:val="79522DDF"/>
    <w:rsid w:val="795535AE"/>
    <w:rsid w:val="79560974"/>
    <w:rsid w:val="795936F7"/>
    <w:rsid w:val="796015BB"/>
    <w:rsid w:val="79632D9D"/>
    <w:rsid w:val="796365E8"/>
    <w:rsid w:val="79636CE1"/>
    <w:rsid w:val="79643413"/>
    <w:rsid w:val="79675A33"/>
    <w:rsid w:val="79693338"/>
    <w:rsid w:val="796958F2"/>
    <w:rsid w:val="796B3F2C"/>
    <w:rsid w:val="79700F84"/>
    <w:rsid w:val="79745152"/>
    <w:rsid w:val="79792627"/>
    <w:rsid w:val="797B70A1"/>
    <w:rsid w:val="797B7CCF"/>
    <w:rsid w:val="79864128"/>
    <w:rsid w:val="798D3A5B"/>
    <w:rsid w:val="798E519A"/>
    <w:rsid w:val="79901815"/>
    <w:rsid w:val="799271BE"/>
    <w:rsid w:val="79932ACB"/>
    <w:rsid w:val="79952AFF"/>
    <w:rsid w:val="799A493A"/>
    <w:rsid w:val="799D4520"/>
    <w:rsid w:val="79A85FEB"/>
    <w:rsid w:val="79AA2370"/>
    <w:rsid w:val="79AD5CEC"/>
    <w:rsid w:val="79B00CE1"/>
    <w:rsid w:val="79B07A12"/>
    <w:rsid w:val="79B177DE"/>
    <w:rsid w:val="79B564D4"/>
    <w:rsid w:val="79B56A45"/>
    <w:rsid w:val="79BA3AF0"/>
    <w:rsid w:val="79C262FC"/>
    <w:rsid w:val="79C55CA8"/>
    <w:rsid w:val="79C669C4"/>
    <w:rsid w:val="79C9100D"/>
    <w:rsid w:val="79CF3B10"/>
    <w:rsid w:val="79D1587F"/>
    <w:rsid w:val="79D45B97"/>
    <w:rsid w:val="79D535EA"/>
    <w:rsid w:val="79D72DE8"/>
    <w:rsid w:val="79D837FE"/>
    <w:rsid w:val="79DC2934"/>
    <w:rsid w:val="79E37CA1"/>
    <w:rsid w:val="79EB7179"/>
    <w:rsid w:val="79F17EC2"/>
    <w:rsid w:val="79F4705B"/>
    <w:rsid w:val="79F727D0"/>
    <w:rsid w:val="7A084277"/>
    <w:rsid w:val="7A0C5201"/>
    <w:rsid w:val="7A1536A7"/>
    <w:rsid w:val="7A1648CF"/>
    <w:rsid w:val="7A1A6237"/>
    <w:rsid w:val="7A1B31A9"/>
    <w:rsid w:val="7A1D1D3A"/>
    <w:rsid w:val="7A243A2C"/>
    <w:rsid w:val="7A2575F2"/>
    <w:rsid w:val="7A2D7D2B"/>
    <w:rsid w:val="7A2E1134"/>
    <w:rsid w:val="7A2E2397"/>
    <w:rsid w:val="7A3214E1"/>
    <w:rsid w:val="7A3236FD"/>
    <w:rsid w:val="7A370088"/>
    <w:rsid w:val="7A3F37CE"/>
    <w:rsid w:val="7A411CA6"/>
    <w:rsid w:val="7A422E20"/>
    <w:rsid w:val="7A475DF0"/>
    <w:rsid w:val="7A4C4F08"/>
    <w:rsid w:val="7A4F7E0E"/>
    <w:rsid w:val="7A5425D5"/>
    <w:rsid w:val="7A56544F"/>
    <w:rsid w:val="7A576CF4"/>
    <w:rsid w:val="7A61644C"/>
    <w:rsid w:val="7A6201B6"/>
    <w:rsid w:val="7A640D2E"/>
    <w:rsid w:val="7A6429A9"/>
    <w:rsid w:val="7A644A04"/>
    <w:rsid w:val="7A657B59"/>
    <w:rsid w:val="7A676A56"/>
    <w:rsid w:val="7A6912ED"/>
    <w:rsid w:val="7A6F5388"/>
    <w:rsid w:val="7A716F06"/>
    <w:rsid w:val="7A7208BC"/>
    <w:rsid w:val="7A762C22"/>
    <w:rsid w:val="7A831E83"/>
    <w:rsid w:val="7A860FD2"/>
    <w:rsid w:val="7A8624DA"/>
    <w:rsid w:val="7A8B7DBA"/>
    <w:rsid w:val="7A941DE2"/>
    <w:rsid w:val="7A9543FA"/>
    <w:rsid w:val="7AA24B4D"/>
    <w:rsid w:val="7AA45C70"/>
    <w:rsid w:val="7AA50D56"/>
    <w:rsid w:val="7AA65FC8"/>
    <w:rsid w:val="7AA670E6"/>
    <w:rsid w:val="7AA80180"/>
    <w:rsid w:val="7AA9634E"/>
    <w:rsid w:val="7AA96F03"/>
    <w:rsid w:val="7AA97993"/>
    <w:rsid w:val="7AAC451A"/>
    <w:rsid w:val="7AAE6E5F"/>
    <w:rsid w:val="7AB3729E"/>
    <w:rsid w:val="7AB72D54"/>
    <w:rsid w:val="7AB94775"/>
    <w:rsid w:val="7AB95139"/>
    <w:rsid w:val="7ABD2956"/>
    <w:rsid w:val="7ABF15F1"/>
    <w:rsid w:val="7AC1248A"/>
    <w:rsid w:val="7AC33077"/>
    <w:rsid w:val="7AC65214"/>
    <w:rsid w:val="7ACB2FCB"/>
    <w:rsid w:val="7ACD1375"/>
    <w:rsid w:val="7ACD720F"/>
    <w:rsid w:val="7AD5558D"/>
    <w:rsid w:val="7AD62C8F"/>
    <w:rsid w:val="7AD8438B"/>
    <w:rsid w:val="7ADA1FBA"/>
    <w:rsid w:val="7AE11270"/>
    <w:rsid w:val="7AE76BCB"/>
    <w:rsid w:val="7AE9695C"/>
    <w:rsid w:val="7AEB46CE"/>
    <w:rsid w:val="7AF02C39"/>
    <w:rsid w:val="7AF034EC"/>
    <w:rsid w:val="7AF41065"/>
    <w:rsid w:val="7AF54C58"/>
    <w:rsid w:val="7AF644A8"/>
    <w:rsid w:val="7AF91184"/>
    <w:rsid w:val="7AFA79D0"/>
    <w:rsid w:val="7AFD4A1A"/>
    <w:rsid w:val="7B021A61"/>
    <w:rsid w:val="7B041189"/>
    <w:rsid w:val="7B0C3EC1"/>
    <w:rsid w:val="7B0C5FD9"/>
    <w:rsid w:val="7B134B5D"/>
    <w:rsid w:val="7B1808D5"/>
    <w:rsid w:val="7B19361E"/>
    <w:rsid w:val="7B230C58"/>
    <w:rsid w:val="7B2A3139"/>
    <w:rsid w:val="7B312E3E"/>
    <w:rsid w:val="7B313BB0"/>
    <w:rsid w:val="7B3202E6"/>
    <w:rsid w:val="7B3B70D7"/>
    <w:rsid w:val="7B3B7560"/>
    <w:rsid w:val="7B403FDE"/>
    <w:rsid w:val="7B435361"/>
    <w:rsid w:val="7B4513E6"/>
    <w:rsid w:val="7B451747"/>
    <w:rsid w:val="7B4647DB"/>
    <w:rsid w:val="7B473C49"/>
    <w:rsid w:val="7B4B551F"/>
    <w:rsid w:val="7B563B33"/>
    <w:rsid w:val="7B576D57"/>
    <w:rsid w:val="7B5903D8"/>
    <w:rsid w:val="7B5F0DC1"/>
    <w:rsid w:val="7B5F34F9"/>
    <w:rsid w:val="7B62079F"/>
    <w:rsid w:val="7B7254A3"/>
    <w:rsid w:val="7B731C9E"/>
    <w:rsid w:val="7B765D32"/>
    <w:rsid w:val="7B770869"/>
    <w:rsid w:val="7B7E7130"/>
    <w:rsid w:val="7B8053DC"/>
    <w:rsid w:val="7B8214B4"/>
    <w:rsid w:val="7B83426C"/>
    <w:rsid w:val="7B883984"/>
    <w:rsid w:val="7B8A0D34"/>
    <w:rsid w:val="7B8F1D6C"/>
    <w:rsid w:val="7B901BB6"/>
    <w:rsid w:val="7B913857"/>
    <w:rsid w:val="7B992409"/>
    <w:rsid w:val="7BA03329"/>
    <w:rsid w:val="7BA24743"/>
    <w:rsid w:val="7BA80C74"/>
    <w:rsid w:val="7BAA2EC0"/>
    <w:rsid w:val="7BB03A53"/>
    <w:rsid w:val="7BB22290"/>
    <w:rsid w:val="7BB32ECF"/>
    <w:rsid w:val="7BB45410"/>
    <w:rsid w:val="7BB46605"/>
    <w:rsid w:val="7BB875F5"/>
    <w:rsid w:val="7BBC4ADC"/>
    <w:rsid w:val="7BBD07AF"/>
    <w:rsid w:val="7BBE136C"/>
    <w:rsid w:val="7BBE4E5B"/>
    <w:rsid w:val="7BC42692"/>
    <w:rsid w:val="7BC4276D"/>
    <w:rsid w:val="7BCB327B"/>
    <w:rsid w:val="7BCD5B1C"/>
    <w:rsid w:val="7BCF3FA1"/>
    <w:rsid w:val="7BCF7082"/>
    <w:rsid w:val="7BD070D1"/>
    <w:rsid w:val="7BD2373C"/>
    <w:rsid w:val="7BD752C3"/>
    <w:rsid w:val="7BDE57DB"/>
    <w:rsid w:val="7BF12915"/>
    <w:rsid w:val="7BF321C0"/>
    <w:rsid w:val="7BF37E1B"/>
    <w:rsid w:val="7BFB1EB0"/>
    <w:rsid w:val="7BFB7775"/>
    <w:rsid w:val="7BFC6977"/>
    <w:rsid w:val="7BFF450E"/>
    <w:rsid w:val="7C025BC5"/>
    <w:rsid w:val="7C0D67A8"/>
    <w:rsid w:val="7C0E55CE"/>
    <w:rsid w:val="7C0F7F03"/>
    <w:rsid w:val="7C122F4A"/>
    <w:rsid w:val="7C135135"/>
    <w:rsid w:val="7C156F5E"/>
    <w:rsid w:val="7C1B60D0"/>
    <w:rsid w:val="7C1D1EE9"/>
    <w:rsid w:val="7C2175B0"/>
    <w:rsid w:val="7C2405CE"/>
    <w:rsid w:val="7C243376"/>
    <w:rsid w:val="7C2B08EA"/>
    <w:rsid w:val="7C2C257B"/>
    <w:rsid w:val="7C327398"/>
    <w:rsid w:val="7C3918D5"/>
    <w:rsid w:val="7C3C259D"/>
    <w:rsid w:val="7C3D4176"/>
    <w:rsid w:val="7C422CEA"/>
    <w:rsid w:val="7C460903"/>
    <w:rsid w:val="7C4D6770"/>
    <w:rsid w:val="7C51639B"/>
    <w:rsid w:val="7C5D0C53"/>
    <w:rsid w:val="7C5D17DB"/>
    <w:rsid w:val="7C631D2B"/>
    <w:rsid w:val="7C6A55D4"/>
    <w:rsid w:val="7C6A655E"/>
    <w:rsid w:val="7C6B6999"/>
    <w:rsid w:val="7C727EA0"/>
    <w:rsid w:val="7C754E7B"/>
    <w:rsid w:val="7C762E2D"/>
    <w:rsid w:val="7C7B0057"/>
    <w:rsid w:val="7C7B2F5F"/>
    <w:rsid w:val="7C82381F"/>
    <w:rsid w:val="7C847980"/>
    <w:rsid w:val="7C865760"/>
    <w:rsid w:val="7C87538E"/>
    <w:rsid w:val="7C9045B9"/>
    <w:rsid w:val="7C970E5B"/>
    <w:rsid w:val="7C9A1843"/>
    <w:rsid w:val="7C9F1BE3"/>
    <w:rsid w:val="7CA239F3"/>
    <w:rsid w:val="7CA547FD"/>
    <w:rsid w:val="7CA8767E"/>
    <w:rsid w:val="7CA87822"/>
    <w:rsid w:val="7CAE01B0"/>
    <w:rsid w:val="7CAF19DE"/>
    <w:rsid w:val="7CB12FF1"/>
    <w:rsid w:val="7CB572D1"/>
    <w:rsid w:val="7CB95C7E"/>
    <w:rsid w:val="7CC000F8"/>
    <w:rsid w:val="7CC74477"/>
    <w:rsid w:val="7CC969E8"/>
    <w:rsid w:val="7CCA2E4A"/>
    <w:rsid w:val="7CCC3F1A"/>
    <w:rsid w:val="7CCD5D38"/>
    <w:rsid w:val="7CCE29A9"/>
    <w:rsid w:val="7CD161F5"/>
    <w:rsid w:val="7CD74F34"/>
    <w:rsid w:val="7CD96A75"/>
    <w:rsid w:val="7CDD0E30"/>
    <w:rsid w:val="7CE02F4D"/>
    <w:rsid w:val="7CE103DB"/>
    <w:rsid w:val="7CE175DF"/>
    <w:rsid w:val="7CE47BFF"/>
    <w:rsid w:val="7CE62B0F"/>
    <w:rsid w:val="7CEE0A39"/>
    <w:rsid w:val="7CF46107"/>
    <w:rsid w:val="7CF52286"/>
    <w:rsid w:val="7D000A82"/>
    <w:rsid w:val="7D0376BB"/>
    <w:rsid w:val="7D08157A"/>
    <w:rsid w:val="7D0A1632"/>
    <w:rsid w:val="7D0D169D"/>
    <w:rsid w:val="7D0E2780"/>
    <w:rsid w:val="7D0F5E01"/>
    <w:rsid w:val="7D165F20"/>
    <w:rsid w:val="7D171F17"/>
    <w:rsid w:val="7D1775C6"/>
    <w:rsid w:val="7D1E3B6D"/>
    <w:rsid w:val="7D1F2A79"/>
    <w:rsid w:val="7D203B81"/>
    <w:rsid w:val="7D23749A"/>
    <w:rsid w:val="7D2B7345"/>
    <w:rsid w:val="7D2D1C69"/>
    <w:rsid w:val="7D311253"/>
    <w:rsid w:val="7D3332BA"/>
    <w:rsid w:val="7D38694B"/>
    <w:rsid w:val="7D3B7DCB"/>
    <w:rsid w:val="7D3E1DA2"/>
    <w:rsid w:val="7D41715F"/>
    <w:rsid w:val="7D423D9E"/>
    <w:rsid w:val="7D445733"/>
    <w:rsid w:val="7D495F2D"/>
    <w:rsid w:val="7D4C31C3"/>
    <w:rsid w:val="7D4D10D9"/>
    <w:rsid w:val="7D510540"/>
    <w:rsid w:val="7D531F65"/>
    <w:rsid w:val="7D554741"/>
    <w:rsid w:val="7D557D01"/>
    <w:rsid w:val="7D5E37E7"/>
    <w:rsid w:val="7D5E6255"/>
    <w:rsid w:val="7D5F6107"/>
    <w:rsid w:val="7D637501"/>
    <w:rsid w:val="7D672AF7"/>
    <w:rsid w:val="7D69560B"/>
    <w:rsid w:val="7D6A627A"/>
    <w:rsid w:val="7D6C215E"/>
    <w:rsid w:val="7D6F2B6A"/>
    <w:rsid w:val="7D72599D"/>
    <w:rsid w:val="7D74101E"/>
    <w:rsid w:val="7D7443E2"/>
    <w:rsid w:val="7D765E58"/>
    <w:rsid w:val="7D7A5CAA"/>
    <w:rsid w:val="7D826440"/>
    <w:rsid w:val="7D84372A"/>
    <w:rsid w:val="7D8E4620"/>
    <w:rsid w:val="7D921210"/>
    <w:rsid w:val="7D9369C8"/>
    <w:rsid w:val="7D9D7962"/>
    <w:rsid w:val="7DA23B77"/>
    <w:rsid w:val="7DA27925"/>
    <w:rsid w:val="7DA4026E"/>
    <w:rsid w:val="7DA80012"/>
    <w:rsid w:val="7DA9202B"/>
    <w:rsid w:val="7DAB4546"/>
    <w:rsid w:val="7DAE4C28"/>
    <w:rsid w:val="7DAE74B5"/>
    <w:rsid w:val="7DB477FD"/>
    <w:rsid w:val="7DBE7045"/>
    <w:rsid w:val="7DC27917"/>
    <w:rsid w:val="7DC37E82"/>
    <w:rsid w:val="7DC56048"/>
    <w:rsid w:val="7DCB6F5D"/>
    <w:rsid w:val="7DCC3906"/>
    <w:rsid w:val="7DCD6435"/>
    <w:rsid w:val="7DCE18C0"/>
    <w:rsid w:val="7DD059E5"/>
    <w:rsid w:val="7DD17575"/>
    <w:rsid w:val="7DD52347"/>
    <w:rsid w:val="7DD637AF"/>
    <w:rsid w:val="7DD857CB"/>
    <w:rsid w:val="7DE87B34"/>
    <w:rsid w:val="7DE917B5"/>
    <w:rsid w:val="7DE919F2"/>
    <w:rsid w:val="7DEC0D5D"/>
    <w:rsid w:val="7DEC6342"/>
    <w:rsid w:val="7DED290E"/>
    <w:rsid w:val="7DF36355"/>
    <w:rsid w:val="7DFD6C5C"/>
    <w:rsid w:val="7DFF0B74"/>
    <w:rsid w:val="7E005AB3"/>
    <w:rsid w:val="7E020851"/>
    <w:rsid w:val="7E022AC3"/>
    <w:rsid w:val="7E031863"/>
    <w:rsid w:val="7E0C1456"/>
    <w:rsid w:val="7E0C1799"/>
    <w:rsid w:val="7E0C75F8"/>
    <w:rsid w:val="7E0E2761"/>
    <w:rsid w:val="7E0F3DF5"/>
    <w:rsid w:val="7E141A21"/>
    <w:rsid w:val="7E1433CB"/>
    <w:rsid w:val="7E144757"/>
    <w:rsid w:val="7E1A5A9D"/>
    <w:rsid w:val="7E1A7533"/>
    <w:rsid w:val="7E2101F1"/>
    <w:rsid w:val="7E28630C"/>
    <w:rsid w:val="7E2D457E"/>
    <w:rsid w:val="7E2E47AF"/>
    <w:rsid w:val="7E2F5118"/>
    <w:rsid w:val="7E3129C3"/>
    <w:rsid w:val="7E367031"/>
    <w:rsid w:val="7E3739EB"/>
    <w:rsid w:val="7E392482"/>
    <w:rsid w:val="7E460489"/>
    <w:rsid w:val="7E481C4D"/>
    <w:rsid w:val="7E4C08A8"/>
    <w:rsid w:val="7E5236AC"/>
    <w:rsid w:val="7E582068"/>
    <w:rsid w:val="7E590B79"/>
    <w:rsid w:val="7E5B4576"/>
    <w:rsid w:val="7E5E386E"/>
    <w:rsid w:val="7E5F72A5"/>
    <w:rsid w:val="7E607E09"/>
    <w:rsid w:val="7E6272B3"/>
    <w:rsid w:val="7E652CBA"/>
    <w:rsid w:val="7E685A19"/>
    <w:rsid w:val="7E691D7D"/>
    <w:rsid w:val="7E6F0A75"/>
    <w:rsid w:val="7E6F5455"/>
    <w:rsid w:val="7E7954FE"/>
    <w:rsid w:val="7E7A0F04"/>
    <w:rsid w:val="7E7B72C5"/>
    <w:rsid w:val="7E7E518D"/>
    <w:rsid w:val="7E813BE8"/>
    <w:rsid w:val="7E815CEA"/>
    <w:rsid w:val="7E8410CD"/>
    <w:rsid w:val="7E853CDC"/>
    <w:rsid w:val="7E866C7C"/>
    <w:rsid w:val="7E8B6C3E"/>
    <w:rsid w:val="7E8C2364"/>
    <w:rsid w:val="7E932C5C"/>
    <w:rsid w:val="7E9527D7"/>
    <w:rsid w:val="7E9F35D3"/>
    <w:rsid w:val="7EA115CC"/>
    <w:rsid w:val="7EA320F4"/>
    <w:rsid w:val="7EA62CFC"/>
    <w:rsid w:val="7EA652C0"/>
    <w:rsid w:val="7EA7134A"/>
    <w:rsid w:val="7EAC484B"/>
    <w:rsid w:val="7EB02D85"/>
    <w:rsid w:val="7EB12709"/>
    <w:rsid w:val="7EB36CE4"/>
    <w:rsid w:val="7EB41B96"/>
    <w:rsid w:val="7EB66913"/>
    <w:rsid w:val="7EB700C0"/>
    <w:rsid w:val="7EB77222"/>
    <w:rsid w:val="7EBE0787"/>
    <w:rsid w:val="7EC13980"/>
    <w:rsid w:val="7EC26DBE"/>
    <w:rsid w:val="7EC349D4"/>
    <w:rsid w:val="7EC41536"/>
    <w:rsid w:val="7EC465B6"/>
    <w:rsid w:val="7EC670DB"/>
    <w:rsid w:val="7ECD0136"/>
    <w:rsid w:val="7ECF1B92"/>
    <w:rsid w:val="7ED729D4"/>
    <w:rsid w:val="7EDA6BA6"/>
    <w:rsid w:val="7EE12737"/>
    <w:rsid w:val="7EE27F1D"/>
    <w:rsid w:val="7EE81A82"/>
    <w:rsid w:val="7EE94CF2"/>
    <w:rsid w:val="7EEA2C15"/>
    <w:rsid w:val="7EED10BC"/>
    <w:rsid w:val="7EEE07D4"/>
    <w:rsid w:val="7EEE1D19"/>
    <w:rsid w:val="7EEF207D"/>
    <w:rsid w:val="7EFD4849"/>
    <w:rsid w:val="7EFF7EDB"/>
    <w:rsid w:val="7F032800"/>
    <w:rsid w:val="7F0721CB"/>
    <w:rsid w:val="7F085969"/>
    <w:rsid w:val="7F0922BB"/>
    <w:rsid w:val="7F0D5B66"/>
    <w:rsid w:val="7F0F1943"/>
    <w:rsid w:val="7F102BBA"/>
    <w:rsid w:val="7F192C8C"/>
    <w:rsid w:val="7F220813"/>
    <w:rsid w:val="7F25325C"/>
    <w:rsid w:val="7F28760E"/>
    <w:rsid w:val="7F2C56CB"/>
    <w:rsid w:val="7F333138"/>
    <w:rsid w:val="7F3579A2"/>
    <w:rsid w:val="7F374F25"/>
    <w:rsid w:val="7F3835D2"/>
    <w:rsid w:val="7F3977F4"/>
    <w:rsid w:val="7F3B7501"/>
    <w:rsid w:val="7F3D300B"/>
    <w:rsid w:val="7F3E0EC9"/>
    <w:rsid w:val="7F450D64"/>
    <w:rsid w:val="7F463BA4"/>
    <w:rsid w:val="7F4A53DA"/>
    <w:rsid w:val="7F4D6571"/>
    <w:rsid w:val="7F524F69"/>
    <w:rsid w:val="7F53195A"/>
    <w:rsid w:val="7F56767F"/>
    <w:rsid w:val="7F590C80"/>
    <w:rsid w:val="7F5972DF"/>
    <w:rsid w:val="7F597A24"/>
    <w:rsid w:val="7F5A7FEE"/>
    <w:rsid w:val="7F637567"/>
    <w:rsid w:val="7F685153"/>
    <w:rsid w:val="7F6875D8"/>
    <w:rsid w:val="7F70256B"/>
    <w:rsid w:val="7F716D0C"/>
    <w:rsid w:val="7F776B86"/>
    <w:rsid w:val="7F7A043D"/>
    <w:rsid w:val="7F7C55E7"/>
    <w:rsid w:val="7F7D4B9D"/>
    <w:rsid w:val="7F81247F"/>
    <w:rsid w:val="7F832143"/>
    <w:rsid w:val="7F880370"/>
    <w:rsid w:val="7F89732D"/>
    <w:rsid w:val="7F8B4A18"/>
    <w:rsid w:val="7F8E206D"/>
    <w:rsid w:val="7F932047"/>
    <w:rsid w:val="7F943077"/>
    <w:rsid w:val="7F97675A"/>
    <w:rsid w:val="7FA0286E"/>
    <w:rsid w:val="7FA046F2"/>
    <w:rsid w:val="7FA25EE5"/>
    <w:rsid w:val="7FA422C8"/>
    <w:rsid w:val="7FAC46EB"/>
    <w:rsid w:val="7FAE4EA0"/>
    <w:rsid w:val="7FB03B5E"/>
    <w:rsid w:val="7FB0540A"/>
    <w:rsid w:val="7FB20E4E"/>
    <w:rsid w:val="7FB519BD"/>
    <w:rsid w:val="7FB82D34"/>
    <w:rsid w:val="7FBA1E12"/>
    <w:rsid w:val="7FBC4587"/>
    <w:rsid w:val="7FC17022"/>
    <w:rsid w:val="7FC22DC3"/>
    <w:rsid w:val="7FC327C0"/>
    <w:rsid w:val="7FC466BA"/>
    <w:rsid w:val="7FC6103E"/>
    <w:rsid w:val="7FC71DE2"/>
    <w:rsid w:val="7FC873C6"/>
    <w:rsid w:val="7FCA385A"/>
    <w:rsid w:val="7FCC4AAD"/>
    <w:rsid w:val="7FCD363D"/>
    <w:rsid w:val="7FCE30BF"/>
    <w:rsid w:val="7FCF2FA9"/>
    <w:rsid w:val="7FD34F9B"/>
    <w:rsid w:val="7FD57B00"/>
    <w:rsid w:val="7FD971FF"/>
    <w:rsid w:val="7FDC6E2C"/>
    <w:rsid w:val="7FDE149B"/>
    <w:rsid w:val="7FE123D9"/>
    <w:rsid w:val="7FE21211"/>
    <w:rsid w:val="7FE42649"/>
    <w:rsid w:val="7FEF7DF4"/>
    <w:rsid w:val="7FF0765A"/>
    <w:rsid w:val="7FF176B9"/>
    <w:rsid w:val="7FF264EB"/>
    <w:rsid w:val="7FF40B9E"/>
    <w:rsid w:val="7FF56781"/>
    <w:rsid w:val="7FF64B7C"/>
    <w:rsid w:val="7FF868D5"/>
    <w:rsid w:val="7FF871BD"/>
    <w:rsid w:val="7FFB5690"/>
    <w:rsid w:val="7FFD1C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qFormat="1" w:unhideWhenUsed="0" w:uiPriority="0" w:semiHidden="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qFormat="1"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3">
    <w:name w:val="heading 1"/>
    <w:basedOn w:val="1"/>
    <w:next w:val="1"/>
    <w:qFormat/>
    <w:uiPriority w:val="0"/>
    <w:pPr>
      <w:keepNext/>
      <w:keepLines/>
      <w:widowControl w:val="0"/>
      <w:spacing w:before="72" w:beforeLines="30" w:after="72" w:afterLines="30" w:line="500" w:lineRule="exact"/>
      <w:jc w:val="both"/>
      <w:outlineLvl w:val="0"/>
    </w:pPr>
    <w:rPr>
      <w:rFonts w:ascii="Times New Roman" w:hAnsi="Times New Roman" w:cs="Times New Roman"/>
      <w:b/>
      <w:snapToGrid w:val="0"/>
      <w:sz w:val="32"/>
      <w:szCs w:val="32"/>
    </w:rPr>
  </w:style>
  <w:style w:type="paragraph" w:styleId="4">
    <w:name w:val="heading 2"/>
    <w:basedOn w:val="1"/>
    <w:next w:val="1"/>
    <w:link w:val="69"/>
    <w:qFormat/>
    <w:uiPriority w:val="0"/>
    <w:pPr>
      <w:keepNext/>
      <w:keepLines/>
      <w:widowControl w:val="0"/>
      <w:adjustRightInd w:val="0"/>
      <w:spacing w:before="72" w:beforeLines="30" w:after="72" w:afterLines="30" w:line="500" w:lineRule="exact"/>
      <w:outlineLvl w:val="1"/>
    </w:pPr>
    <w:rPr>
      <w:rFonts w:ascii="Times New Roman" w:hAnsi="Times New Roman" w:cs="Times New Roman"/>
      <w:b/>
      <w:snapToGrid w:val="0"/>
      <w:sz w:val="28"/>
      <w:szCs w:val="20"/>
    </w:rPr>
  </w:style>
  <w:style w:type="paragraph" w:styleId="5">
    <w:name w:val="heading 3"/>
    <w:basedOn w:val="1"/>
    <w:next w:val="1"/>
    <w:link w:val="68"/>
    <w:qFormat/>
    <w:uiPriority w:val="0"/>
    <w:pPr>
      <w:keepNext/>
      <w:keepLines/>
      <w:widowControl w:val="0"/>
      <w:tabs>
        <w:tab w:val="left" w:pos="980"/>
      </w:tabs>
      <w:spacing w:line="480" w:lineRule="exact"/>
      <w:jc w:val="both"/>
      <w:outlineLvl w:val="2"/>
    </w:pPr>
    <w:rPr>
      <w:rFonts w:ascii="Times New Roman" w:hAnsi="Times New Roman" w:cs="Times New Roman"/>
      <w:b/>
      <w:snapToGrid w:val="0"/>
      <w:color w:val="000000"/>
      <w:sz w:val="28"/>
      <w:szCs w:val="28"/>
    </w:rPr>
  </w:style>
  <w:style w:type="paragraph" w:styleId="6">
    <w:name w:val="heading 4"/>
    <w:basedOn w:val="1"/>
    <w:next w:val="1"/>
    <w:link w:val="70"/>
    <w:qFormat/>
    <w:uiPriority w:val="0"/>
    <w:pPr>
      <w:keepNext/>
      <w:keepLines/>
      <w:widowControl w:val="0"/>
      <w:spacing w:before="280" w:after="290" w:line="376" w:lineRule="auto"/>
      <w:jc w:val="both"/>
      <w:outlineLvl w:val="3"/>
    </w:pPr>
    <w:rPr>
      <w:rFonts w:ascii="Arial" w:hAnsi="Arial" w:eastAsia="黑体" w:cs="Times New Roman"/>
      <w:b/>
      <w:bCs/>
      <w:snapToGrid w:val="0"/>
      <w:sz w:val="28"/>
      <w:szCs w:val="28"/>
    </w:rPr>
  </w:style>
  <w:style w:type="paragraph" w:styleId="7">
    <w:name w:val="heading 5"/>
    <w:basedOn w:val="1"/>
    <w:next w:val="8"/>
    <w:qFormat/>
    <w:uiPriority w:val="0"/>
    <w:pPr>
      <w:keepNext/>
      <w:keepLines/>
      <w:widowControl w:val="0"/>
      <w:spacing w:line="360" w:lineRule="auto"/>
      <w:jc w:val="both"/>
      <w:outlineLvl w:val="4"/>
    </w:pPr>
    <w:rPr>
      <w:rFonts w:ascii="仿宋_GB2312" w:hAnsi="Arial" w:eastAsia="仿宋_GB2312" w:cs="仿宋_GB2312"/>
      <w:kern w:val="2"/>
      <w:sz w:val="28"/>
      <w:szCs w:val="28"/>
    </w:rPr>
  </w:style>
  <w:style w:type="paragraph" w:styleId="9">
    <w:name w:val="heading 6"/>
    <w:basedOn w:val="1"/>
    <w:next w:val="1"/>
    <w:qFormat/>
    <w:uiPriority w:val="0"/>
    <w:pPr>
      <w:keepNext/>
      <w:widowControl w:val="0"/>
      <w:numPr>
        <w:ilvl w:val="0"/>
        <w:numId w:val="1"/>
      </w:numPr>
      <w:adjustRightInd w:val="0"/>
      <w:snapToGrid w:val="0"/>
      <w:spacing w:line="348" w:lineRule="auto"/>
      <w:jc w:val="both"/>
      <w:outlineLvl w:val="5"/>
    </w:pPr>
    <w:rPr>
      <w:rFonts w:ascii="Times New Roman" w:hAnsi="Times New Roman" w:cs="Times New Roman"/>
      <w:kern w:val="2"/>
      <w:sz w:val="28"/>
      <w:szCs w:val="20"/>
    </w:rPr>
  </w:style>
  <w:style w:type="paragraph" w:styleId="10">
    <w:name w:val="heading 7"/>
    <w:basedOn w:val="1"/>
    <w:next w:val="1"/>
    <w:qFormat/>
    <w:uiPriority w:val="0"/>
    <w:pPr>
      <w:keepNext/>
      <w:keepLines/>
      <w:tabs>
        <w:tab w:val="left" w:pos="1296"/>
      </w:tabs>
      <w:spacing w:before="240" w:after="64" w:line="320" w:lineRule="auto"/>
      <w:ind w:left="1296" w:hanging="1296"/>
      <w:outlineLvl w:val="6"/>
    </w:pPr>
    <w:rPr>
      <w:rFonts w:ascii="Times New Roman" w:hAnsi="Times New Roman" w:cs="Times New Roman"/>
      <w:b/>
      <w:bCs/>
    </w:rPr>
  </w:style>
  <w:style w:type="paragraph" w:styleId="11">
    <w:name w:val="heading 8"/>
    <w:basedOn w:val="1"/>
    <w:next w:val="1"/>
    <w:qFormat/>
    <w:uiPriority w:val="0"/>
    <w:pPr>
      <w:keepNext/>
      <w:keepLines/>
      <w:tabs>
        <w:tab w:val="left" w:pos="1440"/>
      </w:tabs>
      <w:spacing w:before="240" w:after="64" w:line="320" w:lineRule="auto"/>
      <w:ind w:left="1440" w:hanging="1440"/>
      <w:outlineLvl w:val="7"/>
    </w:pPr>
    <w:rPr>
      <w:rFonts w:ascii="Arial" w:hAnsi="Arial" w:eastAsia="黑体" w:cs="Times New Roman"/>
    </w:rPr>
  </w:style>
  <w:style w:type="paragraph" w:styleId="12">
    <w:name w:val="heading 9"/>
    <w:basedOn w:val="1"/>
    <w:next w:val="1"/>
    <w:qFormat/>
    <w:uiPriority w:val="0"/>
    <w:pPr>
      <w:keepNext/>
      <w:keepLines/>
      <w:widowControl w:val="0"/>
      <w:numPr>
        <w:ilvl w:val="8"/>
        <w:numId w:val="2"/>
      </w:numPr>
      <w:spacing w:line="360" w:lineRule="auto"/>
      <w:jc w:val="both"/>
      <w:outlineLvl w:val="8"/>
    </w:pPr>
    <w:rPr>
      <w:rFonts w:hAnsi="Arial"/>
      <w:kern w:val="2"/>
      <w:sz w:val="28"/>
      <w:szCs w:val="28"/>
    </w:rPr>
  </w:style>
  <w:style w:type="character" w:default="1" w:styleId="59">
    <w:name w:val="Default Paragraph Font"/>
    <w:semiHidden/>
    <w:unhideWhenUsed/>
    <w:qFormat/>
    <w:uiPriority w:val="1"/>
  </w:style>
  <w:style w:type="table" w:default="1" w:styleId="55">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74"/>
    <w:qFormat/>
    <w:uiPriority w:val="0"/>
    <w:pPr>
      <w:widowControl w:val="0"/>
      <w:spacing w:line="240" w:lineRule="atLeast"/>
      <w:jc w:val="center"/>
    </w:pPr>
    <w:rPr>
      <w:rFonts w:ascii="Times New Roman" w:hAnsi="Times New Roman" w:cs="Times New Roman"/>
      <w:snapToGrid w:val="0"/>
      <w:w w:val="90"/>
      <w:sz w:val="21"/>
      <w:szCs w:val="20"/>
    </w:rPr>
  </w:style>
  <w:style w:type="paragraph" w:styleId="8">
    <w:name w:val="Normal Indent"/>
    <w:basedOn w:val="1"/>
    <w:link w:val="71"/>
    <w:qFormat/>
    <w:uiPriority w:val="0"/>
    <w:pPr>
      <w:widowControl w:val="0"/>
      <w:ind w:firstLine="420"/>
      <w:jc w:val="both"/>
    </w:pPr>
    <w:rPr>
      <w:rFonts w:ascii="Times New Roman" w:hAnsi="Times New Roman" w:cs="Times New Roman"/>
      <w:snapToGrid w:val="0"/>
      <w:sz w:val="28"/>
      <w:szCs w:val="20"/>
    </w:rPr>
  </w:style>
  <w:style w:type="paragraph" w:styleId="13">
    <w:name w:val="toc 7"/>
    <w:basedOn w:val="1"/>
    <w:next w:val="1"/>
    <w:qFormat/>
    <w:uiPriority w:val="39"/>
    <w:pPr>
      <w:widowControl w:val="0"/>
      <w:ind w:left="1680"/>
    </w:pPr>
    <w:rPr>
      <w:rFonts w:ascii="Times New Roman" w:hAnsi="Times New Roman" w:cs="Times New Roman"/>
      <w:snapToGrid w:val="0"/>
      <w:sz w:val="18"/>
      <w:szCs w:val="18"/>
    </w:rPr>
  </w:style>
  <w:style w:type="paragraph" w:styleId="14">
    <w:name w:val="Note Heading"/>
    <w:basedOn w:val="1"/>
    <w:next w:val="1"/>
    <w:link w:val="375"/>
    <w:qFormat/>
    <w:uiPriority w:val="0"/>
    <w:pPr>
      <w:widowControl w:val="0"/>
      <w:jc w:val="center"/>
    </w:pPr>
    <w:rPr>
      <w:rFonts w:ascii="Calibri" w:hAnsi="Calibri" w:cs="Times New Roman"/>
      <w:snapToGrid w:val="0"/>
      <w:sz w:val="28"/>
      <w:szCs w:val="20"/>
    </w:rPr>
  </w:style>
  <w:style w:type="paragraph" w:styleId="15">
    <w:name w:val="index 8"/>
    <w:basedOn w:val="1"/>
    <w:next w:val="1"/>
    <w:semiHidden/>
    <w:qFormat/>
    <w:uiPriority w:val="0"/>
    <w:pPr>
      <w:ind w:left="1400" w:leftChars="1400"/>
    </w:pPr>
    <w:rPr>
      <w:snapToGrid w:val="0"/>
      <w:kern w:val="2"/>
      <w:sz w:val="21"/>
      <w:szCs w:val="21"/>
    </w:rPr>
  </w:style>
  <w:style w:type="paragraph" w:styleId="16">
    <w:name w:val="List Number"/>
    <w:basedOn w:val="1"/>
    <w:qFormat/>
    <w:uiPriority w:val="0"/>
    <w:pPr>
      <w:widowControl w:val="0"/>
      <w:tabs>
        <w:tab w:val="left" w:pos="720"/>
      </w:tabs>
      <w:spacing w:line="420" w:lineRule="exact"/>
      <w:ind w:left="-737" w:firstLine="737"/>
      <w:jc w:val="both"/>
    </w:pPr>
    <w:rPr>
      <w:rFonts w:ascii="Times New Roman" w:hAnsi="Times New Roman" w:cs="Times New Roman"/>
      <w:kern w:val="44"/>
      <w:szCs w:val="20"/>
    </w:rPr>
  </w:style>
  <w:style w:type="paragraph" w:styleId="17">
    <w:name w:val="caption"/>
    <w:basedOn w:val="1"/>
    <w:next w:val="1"/>
    <w:link w:val="169"/>
    <w:qFormat/>
    <w:uiPriority w:val="0"/>
    <w:pPr>
      <w:widowControl w:val="0"/>
      <w:tabs>
        <w:tab w:val="center" w:leader="hyphen" w:pos="0"/>
      </w:tabs>
      <w:jc w:val="center"/>
    </w:pPr>
    <w:rPr>
      <w:rFonts w:ascii="Arial" w:hAnsi="Arial" w:eastAsia="黑体" w:cs="Arial"/>
      <w:kern w:val="2"/>
      <w:szCs w:val="20"/>
    </w:rPr>
  </w:style>
  <w:style w:type="paragraph" w:styleId="18">
    <w:name w:val="index 5"/>
    <w:basedOn w:val="1"/>
    <w:next w:val="1"/>
    <w:semiHidden/>
    <w:qFormat/>
    <w:uiPriority w:val="0"/>
    <w:pPr>
      <w:ind w:left="800" w:leftChars="800"/>
    </w:pPr>
    <w:rPr>
      <w:snapToGrid w:val="0"/>
      <w:kern w:val="2"/>
      <w:sz w:val="21"/>
      <w:szCs w:val="21"/>
    </w:rPr>
  </w:style>
  <w:style w:type="paragraph" w:styleId="19">
    <w:name w:val="Document Map"/>
    <w:basedOn w:val="1"/>
    <w:qFormat/>
    <w:uiPriority w:val="0"/>
    <w:pPr>
      <w:framePr w:wrap="around" w:vAnchor="text" w:hAnchor="text" w:y="1"/>
      <w:widowControl w:val="0"/>
      <w:shd w:val="clear" w:color="auto" w:fill="FF99CC"/>
      <w:spacing w:line="264" w:lineRule="auto"/>
      <w:jc w:val="both"/>
    </w:pPr>
    <w:rPr>
      <w:rFonts w:ascii="Times New Roman" w:hAnsi="Times New Roman" w:cs="Times New Roman"/>
      <w:snapToGrid w:val="0"/>
      <w:color w:val="808080"/>
      <w:sz w:val="21"/>
    </w:rPr>
  </w:style>
  <w:style w:type="paragraph" w:styleId="20">
    <w:name w:val="annotation text"/>
    <w:basedOn w:val="1"/>
    <w:link w:val="109"/>
    <w:qFormat/>
    <w:uiPriority w:val="0"/>
    <w:pPr>
      <w:widowControl w:val="0"/>
    </w:pPr>
    <w:rPr>
      <w:rFonts w:ascii="Times New Roman" w:hAnsi="Times New Roman" w:cs="Times New Roman"/>
      <w:kern w:val="2"/>
      <w:sz w:val="21"/>
      <w:szCs w:val="21"/>
    </w:rPr>
  </w:style>
  <w:style w:type="paragraph" w:styleId="21">
    <w:name w:val="index 6"/>
    <w:basedOn w:val="1"/>
    <w:next w:val="1"/>
    <w:semiHidden/>
    <w:qFormat/>
    <w:uiPriority w:val="0"/>
    <w:pPr>
      <w:ind w:left="1000" w:leftChars="1000"/>
    </w:pPr>
    <w:rPr>
      <w:snapToGrid w:val="0"/>
      <w:kern w:val="2"/>
      <w:sz w:val="21"/>
      <w:szCs w:val="21"/>
    </w:rPr>
  </w:style>
  <w:style w:type="paragraph" w:styleId="22">
    <w:name w:val="Body Text Indent"/>
    <w:basedOn w:val="1"/>
    <w:link w:val="114"/>
    <w:qFormat/>
    <w:uiPriority w:val="0"/>
    <w:pPr>
      <w:widowControl w:val="0"/>
      <w:spacing w:after="120"/>
      <w:ind w:left="420" w:leftChars="200"/>
      <w:jc w:val="both"/>
    </w:pPr>
    <w:rPr>
      <w:rFonts w:ascii="Times New Roman" w:hAnsi="Times New Roman" w:cs="Times New Roman"/>
      <w:snapToGrid w:val="0"/>
      <w:sz w:val="28"/>
      <w:szCs w:val="20"/>
    </w:rPr>
  </w:style>
  <w:style w:type="paragraph" w:styleId="23">
    <w:name w:val="List 2"/>
    <w:basedOn w:val="1"/>
    <w:qFormat/>
    <w:uiPriority w:val="0"/>
    <w:pPr>
      <w:widowControl w:val="0"/>
      <w:ind w:left="100" w:leftChars="200" w:hanging="200" w:hangingChars="200"/>
      <w:jc w:val="both"/>
    </w:pPr>
    <w:rPr>
      <w:rFonts w:ascii="Times New Roman" w:hAnsi="Times New Roman" w:cs="Times New Roman"/>
      <w:kern w:val="2"/>
      <w:sz w:val="21"/>
    </w:rPr>
  </w:style>
  <w:style w:type="paragraph" w:styleId="24">
    <w:name w:val="index 4"/>
    <w:basedOn w:val="1"/>
    <w:next w:val="1"/>
    <w:semiHidden/>
    <w:qFormat/>
    <w:uiPriority w:val="0"/>
    <w:pPr>
      <w:ind w:left="600" w:leftChars="600"/>
    </w:pPr>
    <w:rPr>
      <w:snapToGrid w:val="0"/>
      <w:kern w:val="2"/>
      <w:sz w:val="21"/>
      <w:szCs w:val="21"/>
    </w:rPr>
  </w:style>
  <w:style w:type="paragraph" w:styleId="25">
    <w:name w:val="toc 5"/>
    <w:basedOn w:val="1"/>
    <w:next w:val="1"/>
    <w:qFormat/>
    <w:uiPriority w:val="39"/>
    <w:pPr>
      <w:widowControl w:val="0"/>
      <w:ind w:left="1120"/>
    </w:pPr>
    <w:rPr>
      <w:rFonts w:ascii="Times New Roman" w:hAnsi="Times New Roman" w:cs="Times New Roman"/>
      <w:snapToGrid w:val="0"/>
      <w:sz w:val="18"/>
      <w:szCs w:val="18"/>
    </w:rPr>
  </w:style>
  <w:style w:type="paragraph" w:styleId="26">
    <w:name w:val="toc 3"/>
    <w:basedOn w:val="1"/>
    <w:next w:val="1"/>
    <w:qFormat/>
    <w:uiPriority w:val="39"/>
    <w:pPr>
      <w:widowControl w:val="0"/>
      <w:ind w:left="560"/>
    </w:pPr>
    <w:rPr>
      <w:rFonts w:ascii="Times New Roman" w:hAnsi="Times New Roman" w:cs="Times New Roman"/>
      <w:iCs/>
      <w:snapToGrid w:val="0"/>
      <w:sz w:val="20"/>
      <w:szCs w:val="20"/>
    </w:rPr>
  </w:style>
  <w:style w:type="paragraph" w:styleId="27">
    <w:name w:val="Plain Text"/>
    <w:basedOn w:val="1"/>
    <w:link w:val="106"/>
    <w:qFormat/>
    <w:uiPriority w:val="0"/>
    <w:pPr>
      <w:widowControl w:val="0"/>
      <w:jc w:val="both"/>
    </w:pPr>
    <w:rPr>
      <w:rFonts w:hAnsi="Courier New" w:cs="Times New Roman"/>
      <w:kern w:val="2"/>
      <w:sz w:val="21"/>
      <w:szCs w:val="20"/>
    </w:rPr>
  </w:style>
  <w:style w:type="paragraph" w:styleId="28">
    <w:name w:val="toc 8"/>
    <w:basedOn w:val="1"/>
    <w:next w:val="1"/>
    <w:qFormat/>
    <w:uiPriority w:val="39"/>
    <w:pPr>
      <w:widowControl w:val="0"/>
      <w:ind w:left="1960"/>
    </w:pPr>
    <w:rPr>
      <w:rFonts w:ascii="Times New Roman" w:hAnsi="Times New Roman" w:cs="Times New Roman"/>
      <w:snapToGrid w:val="0"/>
      <w:sz w:val="18"/>
      <w:szCs w:val="18"/>
    </w:rPr>
  </w:style>
  <w:style w:type="paragraph" w:styleId="29">
    <w:name w:val="index 3"/>
    <w:basedOn w:val="1"/>
    <w:next w:val="1"/>
    <w:semiHidden/>
    <w:qFormat/>
    <w:uiPriority w:val="0"/>
    <w:pPr>
      <w:ind w:left="400" w:leftChars="400"/>
    </w:pPr>
    <w:rPr>
      <w:snapToGrid w:val="0"/>
      <w:kern w:val="2"/>
      <w:sz w:val="21"/>
      <w:szCs w:val="21"/>
    </w:rPr>
  </w:style>
  <w:style w:type="paragraph" w:styleId="30">
    <w:name w:val="Date"/>
    <w:basedOn w:val="1"/>
    <w:next w:val="1"/>
    <w:link w:val="73"/>
    <w:qFormat/>
    <w:uiPriority w:val="0"/>
    <w:pPr>
      <w:widowControl w:val="0"/>
      <w:jc w:val="both"/>
    </w:pPr>
    <w:rPr>
      <w:rFonts w:ascii="仿宋_GB2312" w:hAnsi="Times New Roman" w:eastAsia="仿宋_GB2312" w:cs="Times New Roman"/>
      <w:kern w:val="2"/>
      <w:sz w:val="28"/>
      <w:szCs w:val="20"/>
    </w:rPr>
  </w:style>
  <w:style w:type="paragraph" w:styleId="31">
    <w:name w:val="Body Text Indent 2"/>
    <w:basedOn w:val="1"/>
    <w:link w:val="142"/>
    <w:qFormat/>
    <w:uiPriority w:val="0"/>
    <w:pPr>
      <w:widowControl w:val="0"/>
      <w:spacing w:before="40" w:after="120" w:line="360" w:lineRule="exact"/>
      <w:ind w:firstLine="420"/>
      <w:jc w:val="both"/>
    </w:pPr>
    <w:rPr>
      <w:rFonts w:ascii="Times New Roman" w:hAnsi="Times New Roman" w:cs="Times New Roman"/>
      <w:snapToGrid w:val="0"/>
      <w:szCs w:val="20"/>
    </w:rPr>
  </w:style>
  <w:style w:type="paragraph" w:styleId="32">
    <w:name w:val="Balloon Text"/>
    <w:basedOn w:val="1"/>
    <w:semiHidden/>
    <w:qFormat/>
    <w:uiPriority w:val="0"/>
    <w:pPr>
      <w:widowControl w:val="0"/>
      <w:jc w:val="both"/>
    </w:pPr>
    <w:rPr>
      <w:rFonts w:ascii="Times New Roman" w:hAnsi="Times New Roman" w:cs="Times New Roman"/>
      <w:snapToGrid w:val="0"/>
      <w:sz w:val="18"/>
      <w:szCs w:val="18"/>
    </w:rPr>
  </w:style>
  <w:style w:type="paragraph" w:styleId="33">
    <w:name w:val="footer"/>
    <w:basedOn w:val="1"/>
    <w:link w:val="194"/>
    <w:qFormat/>
    <w:uiPriority w:val="0"/>
    <w:pPr>
      <w:widowControl w:val="0"/>
      <w:tabs>
        <w:tab w:val="center" w:pos="4153"/>
        <w:tab w:val="right" w:pos="8306"/>
      </w:tabs>
      <w:snapToGrid w:val="0"/>
    </w:pPr>
    <w:rPr>
      <w:rFonts w:ascii="Times New Roman" w:hAnsi="Times New Roman" w:cs="Times New Roman"/>
      <w:snapToGrid w:val="0"/>
      <w:sz w:val="18"/>
      <w:szCs w:val="20"/>
    </w:rPr>
  </w:style>
  <w:style w:type="paragraph" w:styleId="34">
    <w:name w:val="header"/>
    <w:basedOn w:val="1"/>
    <w:next w:val="1"/>
    <w:link w:val="145"/>
    <w:qFormat/>
    <w:uiPriority w:val="0"/>
    <w:pPr>
      <w:widowControl w:val="0"/>
      <w:pBdr>
        <w:bottom w:val="single" w:color="auto" w:sz="6" w:space="1"/>
      </w:pBdr>
      <w:tabs>
        <w:tab w:val="center" w:pos="4153"/>
        <w:tab w:val="right" w:pos="8306"/>
      </w:tabs>
      <w:snapToGrid w:val="0"/>
      <w:jc w:val="center"/>
    </w:pPr>
    <w:rPr>
      <w:rFonts w:ascii="Times New Roman" w:hAnsi="Times New Roman" w:cs="Times New Roman"/>
      <w:snapToGrid w:val="0"/>
      <w:sz w:val="18"/>
      <w:szCs w:val="20"/>
    </w:rPr>
  </w:style>
  <w:style w:type="paragraph" w:styleId="35">
    <w:name w:val="toc 1"/>
    <w:basedOn w:val="1"/>
    <w:next w:val="1"/>
    <w:qFormat/>
    <w:uiPriority w:val="39"/>
    <w:pPr>
      <w:widowControl w:val="0"/>
      <w:tabs>
        <w:tab w:val="right" w:leader="dot" w:pos="9060"/>
      </w:tabs>
      <w:spacing w:before="120" w:after="120" w:line="400" w:lineRule="exact"/>
    </w:pPr>
    <w:rPr>
      <w:rFonts w:ascii="Times New Roman" w:hAnsi="Times New Roman" w:cs="Times New Roman"/>
      <w:bCs/>
      <w:caps/>
      <w:snapToGrid w:val="0"/>
      <w:sz w:val="20"/>
      <w:szCs w:val="20"/>
    </w:rPr>
  </w:style>
  <w:style w:type="paragraph" w:styleId="36">
    <w:name w:val="toc 4"/>
    <w:basedOn w:val="1"/>
    <w:next w:val="1"/>
    <w:qFormat/>
    <w:uiPriority w:val="39"/>
    <w:pPr>
      <w:widowControl w:val="0"/>
      <w:ind w:left="840"/>
    </w:pPr>
    <w:rPr>
      <w:rFonts w:ascii="Times New Roman" w:hAnsi="Times New Roman" w:cs="Times New Roman"/>
      <w:snapToGrid w:val="0"/>
      <w:sz w:val="18"/>
      <w:szCs w:val="18"/>
    </w:rPr>
  </w:style>
  <w:style w:type="paragraph" w:styleId="37">
    <w:name w:val="index heading"/>
    <w:basedOn w:val="1"/>
    <w:next w:val="38"/>
    <w:semiHidden/>
    <w:qFormat/>
    <w:uiPriority w:val="0"/>
    <w:rPr>
      <w:snapToGrid w:val="0"/>
      <w:kern w:val="2"/>
      <w:sz w:val="21"/>
      <w:szCs w:val="21"/>
    </w:rPr>
  </w:style>
  <w:style w:type="paragraph" w:styleId="38">
    <w:name w:val="index 1"/>
    <w:basedOn w:val="1"/>
    <w:next w:val="1"/>
    <w:semiHidden/>
    <w:qFormat/>
    <w:uiPriority w:val="0"/>
    <w:pPr>
      <w:widowControl w:val="0"/>
      <w:jc w:val="both"/>
    </w:pPr>
    <w:rPr>
      <w:kern w:val="2"/>
      <w:sz w:val="21"/>
      <w:szCs w:val="21"/>
    </w:rPr>
  </w:style>
  <w:style w:type="paragraph" w:styleId="39">
    <w:name w:val="List"/>
    <w:basedOn w:val="1"/>
    <w:qFormat/>
    <w:uiPriority w:val="0"/>
    <w:pPr>
      <w:widowControl w:val="0"/>
      <w:ind w:left="200" w:hanging="200" w:hangingChars="200"/>
      <w:jc w:val="both"/>
    </w:pPr>
    <w:rPr>
      <w:rFonts w:ascii="Times New Roman" w:hAnsi="Times New Roman" w:cs="Times New Roman"/>
      <w:snapToGrid w:val="0"/>
      <w:sz w:val="28"/>
      <w:szCs w:val="20"/>
    </w:rPr>
  </w:style>
  <w:style w:type="paragraph" w:styleId="40">
    <w:name w:val="footnote text"/>
    <w:basedOn w:val="1"/>
    <w:semiHidden/>
    <w:qFormat/>
    <w:uiPriority w:val="0"/>
    <w:pPr>
      <w:snapToGrid w:val="0"/>
    </w:pPr>
    <w:rPr>
      <w:snapToGrid w:val="0"/>
      <w:kern w:val="2"/>
      <w:sz w:val="18"/>
      <w:szCs w:val="18"/>
    </w:rPr>
  </w:style>
  <w:style w:type="paragraph" w:styleId="41">
    <w:name w:val="toc 6"/>
    <w:basedOn w:val="1"/>
    <w:next w:val="1"/>
    <w:qFormat/>
    <w:uiPriority w:val="39"/>
    <w:pPr>
      <w:widowControl w:val="0"/>
      <w:ind w:left="1400"/>
    </w:pPr>
    <w:rPr>
      <w:rFonts w:ascii="Times New Roman" w:hAnsi="Times New Roman" w:cs="Times New Roman"/>
      <w:snapToGrid w:val="0"/>
      <w:sz w:val="18"/>
      <w:szCs w:val="18"/>
    </w:rPr>
  </w:style>
  <w:style w:type="paragraph" w:styleId="42">
    <w:name w:val="Body Text Indent 3"/>
    <w:basedOn w:val="1"/>
    <w:link w:val="86"/>
    <w:qFormat/>
    <w:uiPriority w:val="0"/>
    <w:pPr>
      <w:widowControl w:val="0"/>
      <w:spacing w:after="120"/>
      <w:ind w:left="420" w:leftChars="200"/>
      <w:jc w:val="both"/>
    </w:pPr>
    <w:rPr>
      <w:rFonts w:ascii="Times New Roman" w:hAnsi="Times New Roman" w:cs="Times New Roman"/>
      <w:snapToGrid w:val="0"/>
      <w:sz w:val="16"/>
      <w:szCs w:val="16"/>
    </w:rPr>
  </w:style>
  <w:style w:type="paragraph" w:styleId="43">
    <w:name w:val="index 7"/>
    <w:basedOn w:val="1"/>
    <w:next w:val="1"/>
    <w:semiHidden/>
    <w:qFormat/>
    <w:uiPriority w:val="0"/>
    <w:pPr>
      <w:ind w:left="1200" w:leftChars="1200"/>
    </w:pPr>
    <w:rPr>
      <w:snapToGrid w:val="0"/>
      <w:kern w:val="2"/>
      <w:sz w:val="21"/>
      <w:szCs w:val="21"/>
    </w:rPr>
  </w:style>
  <w:style w:type="paragraph" w:styleId="44">
    <w:name w:val="index 9"/>
    <w:basedOn w:val="1"/>
    <w:next w:val="1"/>
    <w:semiHidden/>
    <w:qFormat/>
    <w:uiPriority w:val="0"/>
    <w:pPr>
      <w:ind w:left="1600" w:leftChars="1600"/>
    </w:pPr>
    <w:rPr>
      <w:snapToGrid w:val="0"/>
      <w:kern w:val="2"/>
      <w:sz w:val="21"/>
      <w:szCs w:val="21"/>
    </w:rPr>
  </w:style>
  <w:style w:type="paragraph" w:styleId="45">
    <w:name w:val="toc 2"/>
    <w:basedOn w:val="1"/>
    <w:next w:val="1"/>
    <w:qFormat/>
    <w:uiPriority w:val="39"/>
    <w:pPr>
      <w:widowControl w:val="0"/>
      <w:ind w:left="280"/>
    </w:pPr>
    <w:rPr>
      <w:rFonts w:ascii="Times New Roman" w:hAnsi="Times New Roman" w:cs="Times New Roman"/>
      <w:smallCaps/>
      <w:snapToGrid w:val="0"/>
      <w:sz w:val="20"/>
      <w:szCs w:val="20"/>
    </w:rPr>
  </w:style>
  <w:style w:type="paragraph" w:styleId="46">
    <w:name w:val="toc 9"/>
    <w:basedOn w:val="1"/>
    <w:next w:val="1"/>
    <w:qFormat/>
    <w:uiPriority w:val="39"/>
    <w:pPr>
      <w:widowControl w:val="0"/>
      <w:ind w:left="2240"/>
    </w:pPr>
    <w:rPr>
      <w:rFonts w:ascii="Times New Roman" w:hAnsi="Times New Roman" w:cs="Times New Roman"/>
      <w:snapToGrid w:val="0"/>
      <w:sz w:val="18"/>
      <w:szCs w:val="18"/>
    </w:rPr>
  </w:style>
  <w:style w:type="paragraph" w:styleId="47">
    <w:name w:val="Body Text 2"/>
    <w:basedOn w:val="1"/>
    <w:qFormat/>
    <w:uiPriority w:val="0"/>
    <w:pPr>
      <w:widowControl w:val="0"/>
      <w:spacing w:line="280" w:lineRule="exact"/>
      <w:jc w:val="center"/>
    </w:pPr>
    <w:rPr>
      <w:kern w:val="2"/>
      <w:sz w:val="21"/>
      <w:szCs w:val="21"/>
    </w:rPr>
  </w:style>
  <w:style w:type="paragraph" w:styleId="4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paragraph" w:styleId="49">
    <w:name w:val="Normal (Web)"/>
    <w:basedOn w:val="1"/>
    <w:qFormat/>
    <w:uiPriority w:val="99"/>
    <w:pPr>
      <w:spacing w:before="100" w:beforeAutospacing="1" w:after="100" w:afterAutospacing="1"/>
    </w:pPr>
    <w:rPr>
      <w:rFonts w:cs="Times New Roman"/>
    </w:rPr>
  </w:style>
  <w:style w:type="paragraph" w:styleId="50">
    <w:name w:val="index 2"/>
    <w:basedOn w:val="1"/>
    <w:next w:val="1"/>
    <w:semiHidden/>
    <w:qFormat/>
    <w:uiPriority w:val="0"/>
    <w:pPr>
      <w:ind w:left="200" w:leftChars="200"/>
    </w:pPr>
    <w:rPr>
      <w:snapToGrid w:val="0"/>
      <w:kern w:val="2"/>
      <w:sz w:val="21"/>
      <w:szCs w:val="21"/>
    </w:rPr>
  </w:style>
  <w:style w:type="paragraph" w:styleId="51">
    <w:name w:val="Title"/>
    <w:basedOn w:val="1"/>
    <w:link w:val="108"/>
    <w:qFormat/>
    <w:uiPriority w:val="0"/>
    <w:pPr>
      <w:widowControl w:val="0"/>
      <w:spacing w:before="240" w:after="60"/>
      <w:jc w:val="center"/>
      <w:outlineLvl w:val="0"/>
    </w:pPr>
    <w:rPr>
      <w:rFonts w:ascii="Arial" w:hAnsi="Arial" w:cs="Arial"/>
      <w:b/>
      <w:bCs/>
      <w:kern w:val="2"/>
      <w:sz w:val="32"/>
      <w:szCs w:val="32"/>
    </w:rPr>
  </w:style>
  <w:style w:type="paragraph" w:styleId="52">
    <w:name w:val="annotation subject"/>
    <w:basedOn w:val="20"/>
    <w:next w:val="20"/>
    <w:link w:val="126"/>
    <w:qFormat/>
    <w:uiPriority w:val="0"/>
    <w:rPr>
      <w:rFonts w:ascii="Arial" w:hAnsi="Arial"/>
      <w:b/>
      <w:bCs/>
      <w:snapToGrid w:val="0"/>
      <w:sz w:val="28"/>
      <w:szCs w:val="20"/>
    </w:rPr>
  </w:style>
  <w:style w:type="paragraph" w:styleId="53">
    <w:name w:val="Body Text First Indent"/>
    <w:basedOn w:val="2"/>
    <w:next w:val="1"/>
    <w:qFormat/>
    <w:uiPriority w:val="0"/>
    <w:pPr>
      <w:spacing w:after="120" w:line="240" w:lineRule="auto"/>
      <w:ind w:firstLine="420" w:firstLineChars="100"/>
      <w:jc w:val="both"/>
    </w:pPr>
    <w:rPr>
      <w:w w:val="100"/>
      <w:sz w:val="28"/>
    </w:rPr>
  </w:style>
  <w:style w:type="paragraph" w:styleId="54">
    <w:name w:val="Body Text First Indent 2"/>
    <w:basedOn w:val="22"/>
    <w:next w:val="53"/>
    <w:link w:val="152"/>
    <w:qFormat/>
    <w:uiPriority w:val="0"/>
    <w:pPr>
      <w:ind w:firstLine="420" w:firstLineChars="200"/>
    </w:pPr>
    <w:rPr>
      <w:rFonts w:ascii="Arial" w:hAnsi="Arial" w:eastAsia="黑体"/>
      <w:snapToGrid/>
      <w:kern w:val="2"/>
      <w:sz w:val="20"/>
    </w:rPr>
  </w:style>
  <w:style w:type="table" w:styleId="56">
    <w:name w:val="Table Grid"/>
    <w:basedOn w:val="5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7">
    <w:name w:val="Table Theme"/>
    <w:basedOn w:val="5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8">
    <w:name w:val="Table Classic 1"/>
    <w:basedOn w:val="55"/>
    <w:qFormat/>
    <w:uiPriority w:val="0"/>
    <w:pPr>
      <w:widowControl w:val="0"/>
      <w:adjustRightInd w:val="0"/>
      <w:snapToGrid w:val="0"/>
      <w:jc w:val="center"/>
      <w:textAlignment w:val="baseline"/>
    </w:pPr>
    <w:rPr>
      <w:rFonts w:ascii="Times New Roman" w:hAnsi="Times New Roman" w:eastAsia="宋体" w:cs="Times New Roman"/>
    </w:rPr>
    <w:tblPr>
      <w:jc w:val="center"/>
      <w:tblBorders>
        <w:top w:val="single" w:color="auto" w:sz="12" w:space="0"/>
        <w:bottom w:val="single" w:color="auto" w:sz="12" w:space="0"/>
        <w:insideH w:val="single" w:color="auto" w:sz="4" w:space="0"/>
        <w:insideV w:val="single" w:color="auto" w:sz="4" w:space="0"/>
      </w:tblBorders>
    </w:tblPr>
    <w:trPr>
      <w:cantSplit/>
      <w:jc w:val="center"/>
    </w:trPr>
    <w:tcPr>
      <w:shd w:val="clear" w:color="auto" w:fill="auto"/>
      <w:vAlign w:val="center"/>
    </w:tcPr>
    <w:tblStylePr w:type="firstRow">
      <w:rPr>
        <w:rFonts w:ascii="Times New Roman" w:hAnsi="Times New Roman" w:eastAsia="宋体"/>
        <w:b/>
        <w:i w:val="0"/>
        <w:iCs/>
        <w:sz w:val="21"/>
      </w:rPr>
      <w:tblPr/>
      <w:trPr>
        <w:tblHeader/>
      </w:trPr>
      <w:tcPr>
        <w:tcBorders>
          <w:bottom w:val="single" w:color="000000" w:sz="6" w:space="0"/>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60">
    <w:name w:val="Strong"/>
    <w:qFormat/>
    <w:uiPriority w:val="22"/>
  </w:style>
  <w:style w:type="character" w:styleId="61">
    <w:name w:val="page number"/>
    <w:basedOn w:val="59"/>
    <w:qFormat/>
    <w:uiPriority w:val="0"/>
  </w:style>
  <w:style w:type="character" w:styleId="62">
    <w:name w:val="FollowedHyperlink"/>
    <w:qFormat/>
    <w:uiPriority w:val="0"/>
    <w:rPr>
      <w:color w:val="800080"/>
      <w:u w:val="single"/>
    </w:rPr>
  </w:style>
  <w:style w:type="character" w:styleId="63">
    <w:name w:val="Emphasis"/>
    <w:qFormat/>
    <w:uiPriority w:val="0"/>
    <w:rPr>
      <w:color w:val="CC0000"/>
    </w:rPr>
  </w:style>
  <w:style w:type="character" w:styleId="64">
    <w:name w:val="Hyperlink"/>
    <w:qFormat/>
    <w:uiPriority w:val="99"/>
    <w:rPr>
      <w:color w:val="0000FF"/>
      <w:u w:val="single"/>
    </w:rPr>
  </w:style>
  <w:style w:type="character" w:styleId="65">
    <w:name w:val="annotation reference"/>
    <w:semiHidden/>
    <w:qFormat/>
    <w:uiPriority w:val="0"/>
    <w:rPr>
      <w:sz w:val="21"/>
      <w:szCs w:val="21"/>
    </w:rPr>
  </w:style>
  <w:style w:type="character" w:styleId="66">
    <w:name w:val="footnote reference"/>
    <w:semiHidden/>
    <w:qFormat/>
    <w:uiPriority w:val="0"/>
    <w:rPr>
      <w:vertAlign w:val="superscript"/>
    </w:rPr>
  </w:style>
  <w:style w:type="paragraph" w:customStyle="1" w:styleId="67">
    <w:name w:val="0正文"/>
    <w:basedOn w:val="49"/>
    <w:qFormat/>
    <w:uiPriority w:val="0"/>
    <w:pPr>
      <w:spacing w:before="0" w:beforeAutospacing="0" w:after="0" w:afterAutospacing="0" w:line="360" w:lineRule="auto"/>
      <w:ind w:firstLine="482"/>
      <w:jc w:val="both"/>
    </w:pPr>
    <w:rPr>
      <w:rFonts w:ascii="Times New Roman" w:hAnsi="Times New Roman"/>
      <w:kern w:val="2"/>
    </w:rPr>
  </w:style>
  <w:style w:type="character" w:customStyle="1" w:styleId="68">
    <w:name w:val="标题 3 字符"/>
    <w:link w:val="5"/>
    <w:qFormat/>
    <w:uiPriority w:val="0"/>
    <w:rPr>
      <w:b/>
      <w:snapToGrid w:val="0"/>
      <w:color w:val="000000"/>
      <w:sz w:val="28"/>
      <w:szCs w:val="28"/>
    </w:rPr>
  </w:style>
  <w:style w:type="character" w:customStyle="1" w:styleId="69">
    <w:name w:val="标题 2 字符"/>
    <w:link w:val="4"/>
    <w:qFormat/>
    <w:uiPriority w:val="0"/>
    <w:rPr>
      <w:b/>
      <w:snapToGrid w:val="0"/>
      <w:sz w:val="28"/>
    </w:rPr>
  </w:style>
  <w:style w:type="character" w:customStyle="1" w:styleId="70">
    <w:name w:val="标题 4 字符"/>
    <w:link w:val="6"/>
    <w:qFormat/>
    <w:uiPriority w:val="0"/>
    <w:rPr>
      <w:rFonts w:ascii="Arial" w:hAnsi="Arial" w:eastAsia="黑体"/>
      <w:b/>
      <w:bCs/>
      <w:snapToGrid w:val="0"/>
      <w:sz w:val="28"/>
      <w:szCs w:val="28"/>
      <w:lang w:val="en-US" w:eastAsia="zh-CN" w:bidi="ar-SA"/>
    </w:rPr>
  </w:style>
  <w:style w:type="character" w:customStyle="1" w:styleId="71">
    <w:name w:val="正文缩进 字符"/>
    <w:link w:val="8"/>
    <w:qFormat/>
    <w:uiPriority w:val="0"/>
    <w:rPr>
      <w:rFonts w:eastAsia="宋体"/>
      <w:snapToGrid w:val="0"/>
      <w:sz w:val="28"/>
      <w:lang w:val="en-US" w:eastAsia="zh-CN" w:bidi="ar-SA"/>
    </w:rPr>
  </w:style>
  <w:style w:type="character" w:customStyle="1" w:styleId="72">
    <w:name w:val="style331"/>
    <w:qFormat/>
    <w:uiPriority w:val="0"/>
    <w:rPr>
      <w:sz w:val="18"/>
      <w:szCs w:val="18"/>
    </w:rPr>
  </w:style>
  <w:style w:type="character" w:customStyle="1" w:styleId="73">
    <w:name w:val="日期 字符"/>
    <w:link w:val="30"/>
    <w:qFormat/>
    <w:uiPriority w:val="0"/>
    <w:rPr>
      <w:rFonts w:ascii="仿宋_GB2312" w:eastAsia="仿宋_GB2312"/>
      <w:kern w:val="2"/>
      <w:sz w:val="28"/>
    </w:rPr>
  </w:style>
  <w:style w:type="character" w:customStyle="1" w:styleId="74">
    <w:name w:val="正文文本 字符"/>
    <w:link w:val="2"/>
    <w:qFormat/>
    <w:uiPriority w:val="0"/>
    <w:rPr>
      <w:rFonts w:eastAsia="宋体"/>
      <w:snapToGrid w:val="0"/>
      <w:w w:val="90"/>
      <w:sz w:val="21"/>
      <w:lang w:val="en-US" w:eastAsia="zh-CN" w:bidi="ar-SA"/>
    </w:rPr>
  </w:style>
  <w:style w:type="character" w:customStyle="1" w:styleId="75">
    <w:name w:val="标题 2 Char Char Char Char Char"/>
    <w:qFormat/>
    <w:uiPriority w:val="0"/>
    <w:rPr>
      <w:rFonts w:ascii="Arial" w:hAnsi="Arial" w:eastAsia="黑体"/>
      <w:b/>
      <w:bCs/>
      <w:kern w:val="2"/>
      <w:sz w:val="32"/>
      <w:szCs w:val="32"/>
      <w:lang w:val="en-US" w:eastAsia="zh-CN" w:bidi="ar-SA"/>
    </w:rPr>
  </w:style>
  <w:style w:type="character" w:customStyle="1" w:styleId="76">
    <w:name w:val="表格表格 Char"/>
    <w:link w:val="77"/>
    <w:qFormat/>
    <w:uiPriority w:val="0"/>
    <w:rPr>
      <w:rFonts w:eastAsia="宋体" w:cs="宋体"/>
      <w:color w:val="000000"/>
      <w:kern w:val="2"/>
      <w:sz w:val="21"/>
      <w:szCs w:val="21"/>
      <w:lang w:val="en-US" w:eastAsia="zh-CN" w:bidi="ar-SA"/>
    </w:rPr>
  </w:style>
  <w:style w:type="paragraph" w:customStyle="1" w:styleId="77">
    <w:name w:val="表格表格"/>
    <w:basedOn w:val="1"/>
    <w:link w:val="76"/>
    <w:qFormat/>
    <w:uiPriority w:val="0"/>
    <w:pPr>
      <w:widowControl w:val="0"/>
    </w:pPr>
    <w:rPr>
      <w:rFonts w:ascii="Times New Roman" w:hAnsi="Times New Roman"/>
      <w:color w:val="000000"/>
      <w:kern w:val="2"/>
      <w:sz w:val="21"/>
      <w:szCs w:val="21"/>
    </w:rPr>
  </w:style>
  <w:style w:type="character" w:customStyle="1" w:styleId="78">
    <w:name w:val="正文文本_"/>
    <w:qFormat/>
    <w:uiPriority w:val="0"/>
    <w:rPr>
      <w:rFonts w:ascii="宋体" w:hAnsi="宋体" w:cs="宋体"/>
      <w:sz w:val="14"/>
      <w:szCs w:val="14"/>
      <w:u w:val="none"/>
    </w:rPr>
  </w:style>
  <w:style w:type="character" w:customStyle="1" w:styleId="79">
    <w:name w:val="正文四号 Char"/>
    <w:link w:val="80"/>
    <w:qFormat/>
    <w:uiPriority w:val="0"/>
    <w:rPr>
      <w:rFonts w:eastAsia="宋体" w:cs="宋体"/>
      <w:kern w:val="2"/>
      <w:sz w:val="24"/>
      <w:szCs w:val="24"/>
      <w:lang w:val="en-US" w:eastAsia="zh-CN" w:bidi="ar-SA"/>
    </w:rPr>
  </w:style>
  <w:style w:type="paragraph" w:customStyle="1" w:styleId="80">
    <w:name w:val="正文四号"/>
    <w:basedOn w:val="1"/>
    <w:link w:val="79"/>
    <w:qFormat/>
    <w:uiPriority w:val="0"/>
    <w:pPr>
      <w:widowControl w:val="0"/>
      <w:spacing w:after="50" w:afterLines="50" w:line="360" w:lineRule="auto"/>
      <w:ind w:firstLine="200" w:firstLineChars="200"/>
      <w:jc w:val="both"/>
    </w:pPr>
    <w:rPr>
      <w:rFonts w:ascii="Times New Roman" w:hAnsi="Times New Roman"/>
      <w:kern w:val="2"/>
    </w:rPr>
  </w:style>
  <w:style w:type="character" w:customStyle="1" w:styleId="81">
    <w:name w:val="apple-style-span"/>
    <w:basedOn w:val="59"/>
    <w:qFormat/>
    <w:uiPriority w:val="0"/>
  </w:style>
  <w:style w:type="character" w:customStyle="1" w:styleId="82">
    <w:name w:val="keyword1"/>
    <w:qFormat/>
    <w:uiPriority w:val="0"/>
    <w:rPr>
      <w:color w:val="FF0000"/>
    </w:rPr>
  </w:style>
  <w:style w:type="character" w:customStyle="1" w:styleId="83">
    <w:name w:val="r"/>
    <w:basedOn w:val="59"/>
    <w:qFormat/>
    <w:uiPriority w:val="0"/>
  </w:style>
  <w:style w:type="character" w:customStyle="1" w:styleId="84">
    <w:name w:val="txt101"/>
    <w:basedOn w:val="59"/>
    <w:qFormat/>
    <w:uiPriority w:val="0"/>
  </w:style>
  <w:style w:type="character" w:customStyle="1" w:styleId="85">
    <w:name w:val="unnamed11"/>
    <w:qFormat/>
    <w:uiPriority w:val="0"/>
    <w:rPr>
      <w:color w:val="333333"/>
      <w:sz w:val="18"/>
      <w:szCs w:val="18"/>
      <w:u w:val="none"/>
    </w:rPr>
  </w:style>
  <w:style w:type="character" w:customStyle="1" w:styleId="86">
    <w:name w:val="正文文本缩进 3 字符"/>
    <w:link w:val="42"/>
    <w:qFormat/>
    <w:uiPriority w:val="0"/>
    <w:rPr>
      <w:rFonts w:eastAsia="宋体"/>
      <w:snapToGrid w:val="0"/>
      <w:sz w:val="16"/>
      <w:szCs w:val="16"/>
      <w:lang w:val="en-US" w:eastAsia="zh-CN" w:bidi="ar-SA"/>
    </w:rPr>
  </w:style>
  <w:style w:type="character" w:customStyle="1" w:styleId="87">
    <w:name w:val="表蕊 Char1"/>
    <w:link w:val="88"/>
    <w:qFormat/>
    <w:uiPriority w:val="0"/>
    <w:rPr>
      <w:rFonts w:eastAsia="楷体_GB2312"/>
      <w:spacing w:val="-10"/>
      <w:kern w:val="2"/>
      <w:sz w:val="21"/>
      <w:szCs w:val="24"/>
      <w:lang w:val="en-US" w:eastAsia="zh-CN" w:bidi="ar-SA"/>
    </w:rPr>
  </w:style>
  <w:style w:type="paragraph" w:customStyle="1" w:styleId="88">
    <w:name w:val="表蕊"/>
    <w:basedOn w:val="1"/>
    <w:link w:val="87"/>
    <w:qFormat/>
    <w:uiPriority w:val="0"/>
    <w:pPr>
      <w:widowControl w:val="0"/>
      <w:adjustRightInd w:val="0"/>
      <w:spacing w:line="320" w:lineRule="atLeast"/>
      <w:textAlignment w:val="baseline"/>
    </w:pPr>
    <w:rPr>
      <w:rFonts w:ascii="Times New Roman" w:hAnsi="Times New Roman" w:eastAsia="楷体_GB2312" w:cs="Times New Roman"/>
      <w:spacing w:val="-10"/>
      <w:kern w:val="2"/>
      <w:sz w:val="21"/>
    </w:rPr>
  </w:style>
  <w:style w:type="character" w:customStyle="1" w:styleId="89">
    <w:name w:val="表格内文字 Char"/>
    <w:link w:val="90"/>
    <w:qFormat/>
    <w:uiPriority w:val="0"/>
    <w:rPr>
      <w:rFonts w:ascii="Calibri" w:hAnsi="Calibri" w:eastAsia="仿宋_GB2312"/>
      <w:kern w:val="2"/>
      <w:sz w:val="24"/>
      <w:szCs w:val="24"/>
      <w:lang w:val="en-US" w:eastAsia="zh-CN" w:bidi="ar-SA"/>
    </w:rPr>
  </w:style>
  <w:style w:type="paragraph" w:customStyle="1" w:styleId="90">
    <w:name w:val="表格内文字"/>
    <w:basedOn w:val="1"/>
    <w:link w:val="89"/>
    <w:qFormat/>
    <w:uiPriority w:val="0"/>
    <w:pPr>
      <w:widowControl w:val="0"/>
      <w:tabs>
        <w:tab w:val="left" w:pos="0"/>
      </w:tabs>
      <w:adjustRightInd w:val="0"/>
      <w:snapToGrid w:val="0"/>
      <w:jc w:val="center"/>
    </w:pPr>
    <w:rPr>
      <w:rFonts w:ascii="Calibri" w:hAnsi="Calibri" w:eastAsia="仿宋_GB2312" w:cs="Times New Roman"/>
      <w:kern w:val="2"/>
    </w:rPr>
  </w:style>
  <w:style w:type="character" w:customStyle="1" w:styleId="91">
    <w:name w:val="新正文 Char"/>
    <w:link w:val="92"/>
    <w:qFormat/>
    <w:uiPriority w:val="0"/>
    <w:rPr>
      <w:rFonts w:ascii="仿宋_GB2312" w:eastAsia="仿宋_GB2312"/>
      <w:bCs/>
      <w:sz w:val="28"/>
      <w:lang w:val="en-US" w:eastAsia="zh-CN" w:bidi="ar-SA"/>
    </w:rPr>
  </w:style>
  <w:style w:type="paragraph" w:customStyle="1" w:styleId="92">
    <w:name w:val="新正文"/>
    <w:basedOn w:val="1"/>
    <w:link w:val="91"/>
    <w:qFormat/>
    <w:uiPriority w:val="0"/>
    <w:pPr>
      <w:widowControl w:val="0"/>
      <w:spacing w:line="500" w:lineRule="exact"/>
      <w:ind w:firstLine="482"/>
      <w:jc w:val="both"/>
    </w:pPr>
    <w:rPr>
      <w:rFonts w:ascii="仿宋_GB2312" w:hAnsi="Times New Roman" w:eastAsia="仿宋_GB2312" w:cs="Times New Roman"/>
      <w:bCs/>
      <w:sz w:val="28"/>
      <w:szCs w:val="20"/>
    </w:rPr>
  </w:style>
  <w:style w:type="character" w:customStyle="1" w:styleId="93">
    <w:name w:val="单学凯环表头 Char"/>
    <w:link w:val="94"/>
    <w:qFormat/>
    <w:uiPriority w:val="0"/>
    <w:rPr>
      <w:rFonts w:ascii="宋体" w:eastAsia="宋体"/>
      <w:b/>
      <w:bCs/>
      <w:sz w:val="24"/>
      <w:szCs w:val="24"/>
      <w:shd w:val="clear" w:color="auto" w:fill="FFFFFF"/>
      <w:lang w:val="en-US" w:eastAsia="zh-CN" w:bidi="ar-SA"/>
    </w:rPr>
  </w:style>
  <w:style w:type="paragraph" w:customStyle="1" w:styleId="94">
    <w:name w:val="单学凯环表头"/>
    <w:basedOn w:val="1"/>
    <w:link w:val="93"/>
    <w:qFormat/>
    <w:uiPriority w:val="0"/>
    <w:pPr>
      <w:tabs>
        <w:tab w:val="left" w:pos="-1008"/>
        <w:tab w:val="left" w:pos="4873"/>
      </w:tabs>
      <w:adjustRightInd w:val="0"/>
      <w:spacing w:before="120" w:after="120"/>
      <w:jc w:val="center"/>
      <w:textAlignment w:val="baseline"/>
    </w:pPr>
    <w:rPr>
      <w:rFonts w:hAnsi="Times New Roman" w:cs="Times New Roman"/>
      <w:b/>
      <w:bCs/>
      <w:shd w:val="clear" w:color="auto" w:fill="FFFFFF"/>
    </w:rPr>
  </w:style>
  <w:style w:type="character" w:customStyle="1" w:styleId="95">
    <w:name w:val="Plain Text Char1 Char1"/>
    <w:qFormat/>
    <w:uiPriority w:val="0"/>
    <w:rPr>
      <w:rFonts w:ascii="宋体" w:hAnsi="Courier New" w:eastAsia="仿宋_GB2312"/>
      <w:kern w:val="2"/>
      <w:sz w:val="28"/>
      <w:lang w:val="en-US" w:eastAsia="zh-CN" w:bidi="ar-SA"/>
    </w:rPr>
  </w:style>
  <w:style w:type="character" w:customStyle="1" w:styleId="96">
    <w:name w:val="+正文 Char"/>
    <w:link w:val="97"/>
    <w:qFormat/>
    <w:uiPriority w:val="0"/>
    <w:rPr>
      <w:rFonts w:eastAsia="宋体"/>
      <w:kern w:val="2"/>
      <w:sz w:val="28"/>
      <w:szCs w:val="28"/>
      <w:lang w:val="en-US" w:eastAsia="zh-CN" w:bidi="ar-SA"/>
    </w:rPr>
  </w:style>
  <w:style w:type="paragraph" w:customStyle="1" w:styleId="97">
    <w:name w:val="+正文"/>
    <w:basedOn w:val="1"/>
    <w:link w:val="96"/>
    <w:qFormat/>
    <w:uiPriority w:val="0"/>
    <w:pPr>
      <w:widowControl w:val="0"/>
      <w:spacing w:line="360" w:lineRule="auto"/>
      <w:ind w:firstLine="200" w:firstLineChars="200"/>
      <w:jc w:val="both"/>
    </w:pPr>
    <w:rPr>
      <w:rFonts w:ascii="Times New Roman" w:hAnsi="Times New Roman" w:cs="Times New Roman"/>
      <w:kern w:val="2"/>
      <w:sz w:val="28"/>
      <w:szCs w:val="28"/>
    </w:rPr>
  </w:style>
  <w:style w:type="character" w:customStyle="1" w:styleId="98">
    <w:name w:val="标题 1 Char"/>
    <w:qFormat/>
    <w:uiPriority w:val="0"/>
    <w:rPr>
      <w:rFonts w:ascii="黑体" w:eastAsia="黑体"/>
      <w:bCs/>
      <w:kern w:val="44"/>
      <w:sz w:val="44"/>
      <w:lang w:val="en-US" w:eastAsia="zh-CN" w:bidi="ar-SA"/>
    </w:rPr>
  </w:style>
  <w:style w:type="character" w:customStyle="1" w:styleId="99">
    <w:name w:val="f151"/>
    <w:qFormat/>
    <w:uiPriority w:val="0"/>
    <w:rPr>
      <w:sz w:val="23"/>
      <w:szCs w:val="23"/>
    </w:rPr>
  </w:style>
  <w:style w:type="character" w:customStyle="1" w:styleId="100">
    <w:name w:val="正文（首行缩进两字） Char5"/>
    <w:qFormat/>
    <w:uiPriority w:val="0"/>
    <w:rPr>
      <w:rFonts w:ascii="仿宋_GB2312" w:eastAsia="仿宋_GB2312"/>
      <w:color w:val="000000"/>
      <w:kern w:val="2"/>
      <w:sz w:val="28"/>
      <w:szCs w:val="24"/>
      <w:lang w:val="en-US" w:eastAsia="zh-CN" w:bidi="ar-SA"/>
    </w:rPr>
  </w:style>
  <w:style w:type="character" w:customStyle="1" w:styleId="101">
    <w:name w:val="font21"/>
    <w:qFormat/>
    <w:uiPriority w:val="0"/>
    <w:rPr>
      <w:rFonts w:hint="eastAsia" w:ascii="宋体" w:hAnsi="宋体" w:eastAsia="宋体" w:cs="宋体"/>
      <w:color w:val="000000"/>
      <w:sz w:val="24"/>
      <w:szCs w:val="24"/>
      <w:u w:val="none"/>
    </w:rPr>
  </w:style>
  <w:style w:type="character" w:customStyle="1" w:styleId="102">
    <w:name w:val="表格文字 Char"/>
    <w:link w:val="103"/>
    <w:qFormat/>
    <w:uiPriority w:val="0"/>
    <w:rPr>
      <w:kern w:val="2"/>
      <w:sz w:val="21"/>
      <w:szCs w:val="21"/>
    </w:rPr>
  </w:style>
  <w:style w:type="paragraph" w:customStyle="1" w:styleId="103">
    <w:name w:val="表格文字"/>
    <w:basedOn w:val="2"/>
    <w:link w:val="102"/>
    <w:qFormat/>
    <w:uiPriority w:val="0"/>
    <w:pPr>
      <w:snapToGrid w:val="0"/>
      <w:spacing w:line="300" w:lineRule="exact"/>
    </w:pPr>
    <w:rPr>
      <w:snapToGrid/>
      <w:w w:val="100"/>
      <w:kern w:val="2"/>
      <w:szCs w:val="21"/>
    </w:rPr>
  </w:style>
  <w:style w:type="character" w:customStyle="1" w:styleId="104">
    <w:name w:val="fontstyle31"/>
    <w:qFormat/>
    <w:uiPriority w:val="0"/>
    <w:rPr>
      <w:rFonts w:hint="eastAsia" w:ascii="宋体" w:hAnsi="宋体" w:eastAsia="宋体"/>
      <w:color w:val="000000"/>
      <w:sz w:val="28"/>
      <w:szCs w:val="28"/>
    </w:rPr>
  </w:style>
  <w:style w:type="character" w:customStyle="1" w:styleId="105">
    <w:name w:val="正文（首行缩进两字） Char2"/>
    <w:qFormat/>
    <w:uiPriority w:val="0"/>
    <w:rPr>
      <w:rFonts w:ascii="仿宋_GB2312" w:eastAsia="仿宋_GB2312"/>
      <w:kern w:val="2"/>
      <w:sz w:val="28"/>
      <w:szCs w:val="24"/>
      <w:lang w:val="en-US" w:eastAsia="zh-CN" w:bidi="ar-SA"/>
    </w:rPr>
  </w:style>
  <w:style w:type="character" w:customStyle="1" w:styleId="106">
    <w:name w:val="纯文本 字符"/>
    <w:link w:val="27"/>
    <w:qFormat/>
    <w:uiPriority w:val="0"/>
    <w:rPr>
      <w:rFonts w:ascii="宋体" w:hAnsi="Courier New" w:eastAsia="宋体"/>
      <w:kern w:val="2"/>
      <w:sz w:val="21"/>
      <w:lang w:val="en-US" w:eastAsia="zh-CN" w:bidi="ar-SA"/>
    </w:rPr>
  </w:style>
  <w:style w:type="character" w:customStyle="1" w:styleId="107">
    <w:name w:val="fontstyle01"/>
    <w:qFormat/>
    <w:uiPriority w:val="0"/>
    <w:rPr>
      <w:rFonts w:hint="eastAsia" w:ascii="宋体" w:hAnsi="宋体" w:eastAsia="宋体"/>
      <w:color w:val="000000"/>
      <w:sz w:val="24"/>
      <w:szCs w:val="24"/>
    </w:rPr>
  </w:style>
  <w:style w:type="character" w:customStyle="1" w:styleId="108">
    <w:name w:val="标题 字符"/>
    <w:link w:val="51"/>
    <w:qFormat/>
    <w:uiPriority w:val="0"/>
    <w:rPr>
      <w:rFonts w:ascii="Arial" w:hAnsi="Arial" w:eastAsia="宋体" w:cs="Arial"/>
      <w:b/>
      <w:bCs/>
      <w:kern w:val="2"/>
      <w:sz w:val="32"/>
      <w:szCs w:val="32"/>
      <w:lang w:val="en-US" w:eastAsia="zh-CN" w:bidi="ar-SA"/>
    </w:rPr>
  </w:style>
  <w:style w:type="character" w:customStyle="1" w:styleId="109">
    <w:name w:val="批注文字 字符"/>
    <w:link w:val="20"/>
    <w:qFormat/>
    <w:uiPriority w:val="0"/>
    <w:rPr>
      <w:rFonts w:eastAsia="宋体"/>
      <w:kern w:val="2"/>
      <w:sz w:val="21"/>
      <w:szCs w:val="21"/>
      <w:lang w:val="en-US" w:eastAsia="zh-CN" w:bidi="ar-SA"/>
    </w:rPr>
  </w:style>
  <w:style w:type="character" w:customStyle="1" w:styleId="110">
    <w:name w:val="p9l1"/>
    <w:qFormat/>
    <w:uiPriority w:val="0"/>
    <w:rPr>
      <w:sz w:val="18"/>
      <w:szCs w:val="18"/>
      <w:u w:val="none"/>
    </w:rPr>
  </w:style>
  <w:style w:type="character" w:customStyle="1" w:styleId="111">
    <w:name w:val="1 Char"/>
    <w:qFormat/>
    <w:uiPriority w:val="0"/>
    <w:rPr>
      <w:rFonts w:ascii="Arial" w:hAnsi="Arial" w:eastAsia="黑体"/>
      <w:b/>
      <w:bCs/>
      <w:kern w:val="2"/>
      <w:sz w:val="32"/>
      <w:szCs w:val="32"/>
      <w:lang w:val="en-US" w:eastAsia="zh-CN" w:bidi="ar-SA"/>
    </w:rPr>
  </w:style>
  <w:style w:type="character" w:customStyle="1" w:styleId="112">
    <w:name w:val="fontstyle11"/>
    <w:basedOn w:val="59"/>
    <w:qFormat/>
    <w:uiPriority w:val="0"/>
    <w:rPr>
      <w:rFonts w:hint="default" w:ascii="Times New Roman" w:hAnsi="Times New Roman" w:cs="Times New Roman"/>
      <w:color w:val="000000"/>
      <w:sz w:val="28"/>
      <w:szCs w:val="28"/>
    </w:rPr>
  </w:style>
  <w:style w:type="character" w:customStyle="1" w:styleId="113">
    <w:name w:val="表标题 Char Char"/>
    <w:qFormat/>
    <w:uiPriority w:val="0"/>
    <w:rPr>
      <w:rFonts w:ascii="仿宋_GB2312" w:eastAsia="仿宋_GB2312"/>
      <w:b/>
      <w:bCs/>
      <w:kern w:val="2"/>
      <w:sz w:val="24"/>
      <w:szCs w:val="24"/>
      <w:lang w:val="en-US" w:eastAsia="zh-CN" w:bidi="ar-SA"/>
    </w:rPr>
  </w:style>
  <w:style w:type="character" w:customStyle="1" w:styleId="114">
    <w:name w:val="正文文本缩进 字符"/>
    <w:link w:val="22"/>
    <w:qFormat/>
    <w:uiPriority w:val="0"/>
    <w:rPr>
      <w:rFonts w:eastAsia="宋体"/>
      <w:snapToGrid w:val="0"/>
      <w:sz w:val="28"/>
      <w:lang w:val="en-US" w:eastAsia="zh-CN" w:bidi="ar-SA"/>
    </w:rPr>
  </w:style>
  <w:style w:type="character" w:customStyle="1" w:styleId="115">
    <w:name w:val="font11"/>
    <w:qFormat/>
    <w:uiPriority w:val="0"/>
    <w:rPr>
      <w:rFonts w:hint="eastAsia" w:ascii="宋体" w:hAnsi="宋体" w:eastAsia="宋体" w:cs="宋体"/>
      <w:color w:val="000000"/>
      <w:sz w:val="24"/>
      <w:szCs w:val="24"/>
      <w:u w:val="none"/>
    </w:rPr>
  </w:style>
  <w:style w:type="character" w:customStyle="1" w:styleId="116">
    <w:name w:val="H4 Char"/>
    <w:qFormat/>
    <w:uiPriority w:val="0"/>
    <w:rPr>
      <w:rFonts w:ascii="Arial" w:hAnsi="Arial" w:eastAsia="黑体"/>
      <w:b/>
      <w:bCs/>
      <w:snapToGrid w:val="0"/>
      <w:sz w:val="28"/>
      <w:szCs w:val="28"/>
      <w:lang w:val="en-US" w:eastAsia="zh-CN" w:bidi="ar-SA"/>
    </w:rPr>
  </w:style>
  <w:style w:type="character" w:customStyle="1" w:styleId="117">
    <w:name w:val="Char Char4"/>
    <w:qFormat/>
    <w:uiPriority w:val="0"/>
    <w:rPr>
      <w:rFonts w:ascii="Arial" w:hAnsi="Arial" w:eastAsia="宋体" w:cs="Arial"/>
      <w:b/>
      <w:bCs/>
      <w:kern w:val="2"/>
      <w:sz w:val="32"/>
      <w:szCs w:val="32"/>
      <w:lang w:val="en-US" w:eastAsia="zh-CN" w:bidi="ar-SA"/>
    </w:rPr>
  </w:style>
  <w:style w:type="character" w:customStyle="1" w:styleId="118">
    <w:name w:val="表头 Char"/>
    <w:link w:val="119"/>
    <w:qFormat/>
    <w:uiPriority w:val="0"/>
    <w:rPr>
      <w:rFonts w:eastAsia="黑体"/>
      <w:spacing w:val="-10"/>
      <w:sz w:val="21"/>
      <w:szCs w:val="21"/>
      <w:lang w:val="en-US" w:eastAsia="zh-CN" w:bidi="ar-SA"/>
    </w:rPr>
  </w:style>
  <w:style w:type="paragraph" w:customStyle="1" w:styleId="119">
    <w:name w:val="表头"/>
    <w:basedOn w:val="1"/>
    <w:link w:val="118"/>
    <w:qFormat/>
    <w:uiPriority w:val="0"/>
    <w:pPr>
      <w:widowControl w:val="0"/>
      <w:adjustRightInd w:val="0"/>
      <w:spacing w:line="320" w:lineRule="atLeast"/>
      <w:jc w:val="center"/>
      <w:textAlignment w:val="baseline"/>
    </w:pPr>
    <w:rPr>
      <w:rFonts w:ascii="Times New Roman" w:hAnsi="Times New Roman" w:eastAsia="黑体" w:cs="Times New Roman"/>
      <w:spacing w:val="-10"/>
      <w:sz w:val="21"/>
      <w:szCs w:val="21"/>
    </w:rPr>
  </w:style>
  <w:style w:type="character" w:customStyle="1" w:styleId="120">
    <w:name w:val="stystyle1"/>
    <w:basedOn w:val="59"/>
    <w:qFormat/>
    <w:uiPriority w:val="0"/>
  </w:style>
  <w:style w:type="character" w:customStyle="1" w:styleId="121">
    <w:name w:val="批注文字 Char Char"/>
    <w:qFormat/>
    <w:uiPriority w:val="0"/>
    <w:rPr>
      <w:rFonts w:eastAsia="宋体"/>
      <w:kern w:val="2"/>
      <w:sz w:val="21"/>
      <w:szCs w:val="21"/>
      <w:lang w:val="en-US" w:eastAsia="zh-CN" w:bidi="ar-SA"/>
    </w:rPr>
  </w:style>
  <w:style w:type="character" w:customStyle="1" w:styleId="122">
    <w:name w:val="Char Char8"/>
    <w:qFormat/>
    <w:uiPriority w:val="0"/>
    <w:rPr>
      <w:rFonts w:ascii="仿宋_GB2312" w:eastAsia="仿宋_GB2312"/>
      <w:b/>
      <w:color w:val="000000"/>
      <w:sz w:val="21"/>
      <w:lang w:val="zh-CN" w:eastAsia="zh-CN" w:bidi="ar-SA"/>
    </w:rPr>
  </w:style>
  <w:style w:type="character" w:customStyle="1" w:styleId="123">
    <w:name w:val="105v1"/>
    <w:qFormat/>
    <w:uiPriority w:val="0"/>
    <w:rPr>
      <w:rFonts w:hint="eastAsia" w:ascii="宋体" w:hAnsi="宋体" w:eastAsia="宋体"/>
      <w:sz w:val="21"/>
      <w:szCs w:val="21"/>
    </w:rPr>
  </w:style>
  <w:style w:type="character" w:customStyle="1" w:styleId="124">
    <w:name w:val="样式 报告 + Times New Roman Char"/>
    <w:link w:val="125"/>
    <w:qFormat/>
    <w:uiPriority w:val="0"/>
    <w:rPr>
      <w:rFonts w:eastAsia="宋体"/>
      <w:kern w:val="2"/>
      <w:sz w:val="28"/>
      <w:szCs w:val="28"/>
      <w:lang w:val="en-US" w:eastAsia="zh-CN" w:bidi="ar-SA"/>
    </w:rPr>
  </w:style>
  <w:style w:type="paragraph" w:customStyle="1" w:styleId="125">
    <w:name w:val="样式 报告 + Times New Roman"/>
    <w:basedOn w:val="1"/>
    <w:link w:val="124"/>
    <w:qFormat/>
    <w:uiPriority w:val="0"/>
    <w:pPr>
      <w:widowControl w:val="0"/>
      <w:adjustRightInd w:val="0"/>
      <w:spacing w:line="500" w:lineRule="exact"/>
      <w:ind w:firstLine="505"/>
      <w:jc w:val="both"/>
      <w:textAlignment w:val="center"/>
    </w:pPr>
    <w:rPr>
      <w:rFonts w:ascii="Times New Roman" w:hAnsi="Times New Roman" w:cs="Times New Roman"/>
      <w:kern w:val="2"/>
      <w:sz w:val="28"/>
      <w:szCs w:val="28"/>
    </w:rPr>
  </w:style>
  <w:style w:type="character" w:customStyle="1" w:styleId="126">
    <w:name w:val="批注主题 字符"/>
    <w:link w:val="52"/>
    <w:qFormat/>
    <w:uiPriority w:val="0"/>
    <w:rPr>
      <w:rFonts w:ascii="Arial" w:hAnsi="Arial" w:eastAsia="宋体"/>
      <w:b/>
      <w:bCs/>
      <w:snapToGrid w:val="0"/>
      <w:kern w:val="2"/>
      <w:sz w:val="28"/>
      <w:lang w:val="en-US" w:eastAsia="zh-CN" w:bidi="ar-SA"/>
    </w:rPr>
  </w:style>
  <w:style w:type="character" w:customStyle="1" w:styleId="127">
    <w:name w:val="style71"/>
    <w:qFormat/>
    <w:uiPriority w:val="0"/>
    <w:rPr>
      <w:rFonts w:hint="eastAsia" w:ascii="MingLiU" w:hAnsi="MingLiU" w:eastAsia="MingLiU"/>
    </w:rPr>
  </w:style>
  <w:style w:type="character" w:customStyle="1" w:styleId="128">
    <w:name w:val="表格 Char1 Char"/>
    <w:link w:val="129"/>
    <w:qFormat/>
    <w:uiPriority w:val="0"/>
    <w:rPr>
      <w:sz w:val="21"/>
      <w:lang w:val="en-US" w:eastAsia="zh-CN" w:bidi="ar-SA"/>
    </w:rPr>
  </w:style>
  <w:style w:type="paragraph" w:customStyle="1" w:styleId="129">
    <w:name w:val="表格 Char1"/>
    <w:link w:val="128"/>
    <w:qFormat/>
    <w:uiPriority w:val="0"/>
    <w:pPr>
      <w:spacing w:line="240" w:lineRule="atLeast"/>
      <w:jc w:val="center"/>
    </w:pPr>
    <w:rPr>
      <w:rFonts w:ascii="Times New Roman" w:hAnsi="Times New Roman" w:eastAsia="宋体" w:cs="Times New Roman"/>
      <w:sz w:val="21"/>
      <w:lang w:val="en-US" w:eastAsia="zh-CN" w:bidi="ar-SA"/>
    </w:rPr>
  </w:style>
  <w:style w:type="character" w:customStyle="1" w:styleId="130">
    <w:name w:val="grame"/>
    <w:basedOn w:val="59"/>
    <w:qFormat/>
    <w:uiPriority w:val="0"/>
  </w:style>
  <w:style w:type="character" w:customStyle="1" w:styleId="131">
    <w:name w:val="单学凯段落格式 Char"/>
    <w:link w:val="132"/>
    <w:qFormat/>
    <w:uiPriority w:val="0"/>
    <w:rPr>
      <w:rFonts w:ascii="宋体" w:hAnsi="宋体" w:eastAsia="宋体"/>
      <w:color w:val="000000"/>
      <w:sz w:val="24"/>
      <w:szCs w:val="24"/>
      <w:lang w:val="zh-CN" w:eastAsia="zh-CN" w:bidi="ar-SA"/>
    </w:rPr>
  </w:style>
  <w:style w:type="paragraph" w:customStyle="1" w:styleId="132">
    <w:name w:val="单学凯段落格式"/>
    <w:basedOn w:val="1"/>
    <w:link w:val="131"/>
    <w:qFormat/>
    <w:uiPriority w:val="0"/>
    <w:pPr>
      <w:widowControl w:val="0"/>
      <w:adjustRightInd w:val="0"/>
      <w:snapToGrid w:val="0"/>
      <w:spacing w:line="500" w:lineRule="exact"/>
      <w:ind w:firstLine="200" w:firstLineChars="200"/>
      <w:jc w:val="both"/>
    </w:pPr>
    <w:rPr>
      <w:rFonts w:cs="Times New Roman"/>
      <w:color w:val="000000"/>
      <w:lang w:val="zh-CN"/>
    </w:rPr>
  </w:style>
  <w:style w:type="character" w:customStyle="1" w:styleId="133">
    <w:name w:val="正文文本 + MingLiU3"/>
    <w:qFormat/>
    <w:uiPriority w:val="0"/>
    <w:rPr>
      <w:rFonts w:ascii="MingLiU" w:hAnsi="宋体" w:eastAsia="MingLiU" w:cs="MingLiU"/>
      <w:sz w:val="13"/>
      <w:szCs w:val="13"/>
      <w:u w:val="none"/>
      <w:lang w:val="en-US" w:eastAsia="en-US"/>
    </w:rPr>
  </w:style>
  <w:style w:type="character" w:customStyle="1" w:styleId="134">
    <w:name w:val="标题4 Char"/>
    <w:qFormat/>
    <w:uiPriority w:val="0"/>
    <w:rPr>
      <w:rFonts w:eastAsia="宋体"/>
      <w:b/>
      <w:bCs/>
      <w:kern w:val="2"/>
      <w:sz w:val="30"/>
      <w:szCs w:val="32"/>
      <w:lang w:val="en-US" w:eastAsia="zh-CN" w:bidi="ar-SA"/>
    </w:rPr>
  </w:style>
  <w:style w:type="character" w:customStyle="1" w:styleId="135">
    <w:name w:val="apple-converted-space"/>
    <w:basedOn w:val="59"/>
    <w:qFormat/>
    <w:uiPriority w:val="0"/>
  </w:style>
  <w:style w:type="character" w:customStyle="1" w:styleId="136">
    <w:name w:val="表格标题 Char Char1"/>
    <w:link w:val="137"/>
    <w:qFormat/>
    <w:uiPriority w:val="0"/>
    <w:rPr>
      <w:rFonts w:eastAsia="宋体"/>
      <w:kern w:val="2"/>
      <w:sz w:val="28"/>
      <w:szCs w:val="28"/>
      <w:lang w:val="en-US" w:eastAsia="zh-CN" w:bidi="ar-SA"/>
    </w:rPr>
  </w:style>
  <w:style w:type="paragraph" w:customStyle="1" w:styleId="137">
    <w:name w:val="正文缩进1"/>
    <w:basedOn w:val="1"/>
    <w:link w:val="136"/>
    <w:qFormat/>
    <w:uiPriority w:val="0"/>
    <w:pPr>
      <w:widowControl w:val="0"/>
      <w:ind w:firstLine="200" w:firstLineChars="200"/>
    </w:pPr>
    <w:rPr>
      <w:rFonts w:ascii="Times New Roman" w:hAnsi="Times New Roman" w:cs="Times New Roman"/>
      <w:kern w:val="2"/>
      <w:sz w:val="28"/>
      <w:szCs w:val="28"/>
    </w:rPr>
  </w:style>
  <w:style w:type="character" w:customStyle="1" w:styleId="138">
    <w:name w:val="Char Char6"/>
    <w:qFormat/>
    <w:uiPriority w:val="0"/>
    <w:rPr>
      <w:rFonts w:eastAsia="宋体"/>
      <w:snapToGrid w:val="0"/>
      <w:w w:val="90"/>
      <w:sz w:val="21"/>
      <w:lang w:val="en-US" w:eastAsia="zh-CN" w:bidi="ar-SA"/>
    </w:rPr>
  </w:style>
  <w:style w:type="character" w:customStyle="1" w:styleId="139">
    <w:name w:val="在编文字 Char Char1"/>
    <w:qFormat/>
    <w:uiPriority w:val="0"/>
    <w:rPr>
      <w:rFonts w:eastAsia="宋体"/>
      <w:snapToGrid w:val="0"/>
      <w:w w:val="90"/>
      <w:sz w:val="21"/>
      <w:lang w:val="en-US" w:eastAsia="zh-CN" w:bidi="ar-SA"/>
    </w:rPr>
  </w:style>
  <w:style w:type="character" w:customStyle="1" w:styleId="140">
    <w:name w:val="样式 自动设置 Char"/>
    <w:link w:val="141"/>
    <w:qFormat/>
    <w:uiPriority w:val="0"/>
    <w:rPr>
      <w:rFonts w:eastAsia="宋体" w:cs="宋体"/>
      <w:kern w:val="2"/>
      <w:sz w:val="24"/>
      <w:szCs w:val="24"/>
      <w:lang w:val="en-US" w:eastAsia="zh-CN" w:bidi="ar-SA"/>
    </w:rPr>
  </w:style>
  <w:style w:type="paragraph" w:customStyle="1" w:styleId="141">
    <w:name w:val="样式 自动设置"/>
    <w:basedOn w:val="1"/>
    <w:link w:val="140"/>
    <w:qFormat/>
    <w:uiPriority w:val="0"/>
    <w:pPr>
      <w:widowControl w:val="0"/>
      <w:autoSpaceDE w:val="0"/>
      <w:autoSpaceDN w:val="0"/>
      <w:adjustRightInd w:val="0"/>
      <w:snapToGrid w:val="0"/>
      <w:spacing w:before="50" w:beforeLines="50" w:line="288" w:lineRule="auto"/>
      <w:ind w:firstLine="200" w:firstLineChars="200"/>
      <w:jc w:val="both"/>
    </w:pPr>
    <w:rPr>
      <w:rFonts w:ascii="Times New Roman" w:hAnsi="Times New Roman"/>
      <w:kern w:val="2"/>
    </w:rPr>
  </w:style>
  <w:style w:type="character" w:customStyle="1" w:styleId="142">
    <w:name w:val="正文文本缩进 2 字符"/>
    <w:link w:val="31"/>
    <w:qFormat/>
    <w:uiPriority w:val="0"/>
    <w:rPr>
      <w:rFonts w:eastAsia="宋体"/>
      <w:snapToGrid w:val="0"/>
      <w:sz w:val="24"/>
      <w:lang w:val="en-US" w:eastAsia="zh-CN" w:bidi="ar-SA"/>
    </w:rPr>
  </w:style>
  <w:style w:type="character" w:customStyle="1" w:styleId="143">
    <w:name w:val="Default Char"/>
    <w:link w:val="144"/>
    <w:qFormat/>
    <w:uiPriority w:val="0"/>
    <w:rPr>
      <w:color w:val="000000"/>
      <w:sz w:val="24"/>
      <w:szCs w:val="24"/>
      <w:lang w:val="en-US" w:eastAsia="zh-CN" w:bidi="ar-SA"/>
    </w:rPr>
  </w:style>
  <w:style w:type="paragraph" w:customStyle="1" w:styleId="144">
    <w:name w:val="Default"/>
    <w:link w:val="143"/>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145">
    <w:name w:val="页眉 字符"/>
    <w:link w:val="34"/>
    <w:semiHidden/>
    <w:qFormat/>
    <w:uiPriority w:val="0"/>
    <w:rPr>
      <w:rFonts w:eastAsia="宋体"/>
      <w:snapToGrid w:val="0"/>
      <w:sz w:val="18"/>
      <w:lang w:val="en-US" w:eastAsia="zh-CN" w:bidi="ar-SA"/>
    </w:rPr>
  </w:style>
  <w:style w:type="character" w:customStyle="1" w:styleId="146">
    <w:name w:val="a022"/>
    <w:basedOn w:val="59"/>
    <w:qFormat/>
    <w:uiPriority w:val="0"/>
  </w:style>
  <w:style w:type="character" w:customStyle="1" w:styleId="147">
    <w:name w:val="large1"/>
    <w:qFormat/>
    <w:uiPriority w:val="0"/>
    <w:rPr>
      <w:rFonts w:hint="eastAsia" w:ascii="宋体" w:hAnsi="宋体" w:eastAsia="宋体"/>
      <w:sz w:val="22"/>
      <w:szCs w:val="22"/>
    </w:rPr>
  </w:style>
  <w:style w:type="character" w:customStyle="1" w:styleId="148">
    <w:name w:val="H4 Char1"/>
    <w:qFormat/>
    <w:uiPriority w:val="0"/>
    <w:rPr>
      <w:rFonts w:ascii="Arial" w:hAnsi="Arial" w:eastAsia="黑体"/>
      <w:b/>
      <w:bCs/>
      <w:snapToGrid w:val="0"/>
      <w:sz w:val="28"/>
      <w:szCs w:val="28"/>
      <w:lang w:val="en-US" w:eastAsia="zh-CN" w:bidi="ar-SA"/>
    </w:rPr>
  </w:style>
  <w:style w:type="character" w:customStyle="1" w:styleId="149">
    <w:name w:val="style41"/>
    <w:qFormat/>
    <w:uiPriority w:val="0"/>
    <w:rPr>
      <w:b/>
      <w:bCs/>
      <w:sz w:val="21"/>
      <w:szCs w:val="21"/>
    </w:rPr>
  </w:style>
  <w:style w:type="character" w:customStyle="1" w:styleId="150">
    <w:name w:val="Char Char10"/>
    <w:qFormat/>
    <w:uiPriority w:val="0"/>
    <w:rPr>
      <w:rFonts w:ascii="Arial" w:hAnsi="Arial" w:eastAsia="黑体"/>
      <w:b/>
      <w:bCs/>
      <w:snapToGrid w:val="0"/>
      <w:sz w:val="28"/>
      <w:szCs w:val="28"/>
      <w:lang w:val="en-US" w:eastAsia="zh-CN" w:bidi="ar-SA"/>
    </w:rPr>
  </w:style>
  <w:style w:type="character" w:customStyle="1" w:styleId="151">
    <w:name w:val="Char Char1"/>
    <w:qFormat/>
    <w:uiPriority w:val="0"/>
    <w:rPr>
      <w:rFonts w:ascii="Times New Roman" w:hAnsi="Times New Roman" w:eastAsia="宋体" w:cs="Times New Roman"/>
      <w:snapToGrid w:val="0"/>
      <w:w w:val="90"/>
      <w:sz w:val="21"/>
      <w:lang w:val="en-US" w:eastAsia="zh-CN" w:bidi="ar-SA"/>
    </w:rPr>
  </w:style>
  <w:style w:type="character" w:customStyle="1" w:styleId="152">
    <w:name w:val="正文文本首行缩进 2 字符"/>
    <w:link w:val="54"/>
    <w:qFormat/>
    <w:uiPriority w:val="0"/>
    <w:rPr>
      <w:rFonts w:ascii="Arial" w:hAnsi="Arial" w:eastAsia="黑体"/>
      <w:kern w:val="2"/>
      <w:lang w:bidi="ar-SA"/>
    </w:rPr>
  </w:style>
  <w:style w:type="character" w:customStyle="1" w:styleId="153">
    <w:name w:val="c lh15"/>
    <w:basedOn w:val="59"/>
    <w:qFormat/>
    <w:uiPriority w:val="0"/>
  </w:style>
  <w:style w:type="character" w:customStyle="1" w:styleId="154">
    <w:name w:val="页眉或页脚 + 4 pt"/>
    <w:qFormat/>
    <w:uiPriority w:val="0"/>
    <w:rPr>
      <w:rFonts w:ascii="Times New Roman" w:hAnsi="Times New Roman" w:cs="Times New Roman"/>
      <w:spacing w:val="0"/>
      <w:sz w:val="8"/>
      <w:szCs w:val="8"/>
      <w:u w:val="none"/>
      <w:lang w:val="en-US" w:eastAsia="zh-CN"/>
    </w:rPr>
  </w:style>
  <w:style w:type="character" w:customStyle="1" w:styleId="155">
    <w:name w:val="题注 Char Char Char Char"/>
    <w:qFormat/>
    <w:uiPriority w:val="0"/>
    <w:rPr>
      <w:rFonts w:ascii="Arial" w:hAnsi="Arial" w:eastAsia="黑体"/>
      <w:kern w:val="2"/>
      <w:lang w:bidi="ar-SA"/>
    </w:rPr>
  </w:style>
  <w:style w:type="character" w:customStyle="1" w:styleId="156">
    <w:name w:val="text1"/>
    <w:qFormat/>
    <w:uiPriority w:val="0"/>
    <w:rPr>
      <w:rFonts w:hint="eastAsia" w:ascii="宋体" w:hAnsi="宋体" w:eastAsia="宋体"/>
      <w:color w:val="000000"/>
      <w:sz w:val="18"/>
      <w:szCs w:val="18"/>
    </w:rPr>
  </w:style>
  <w:style w:type="character" w:customStyle="1" w:styleId="157">
    <w:name w:val="样式 标题4 + (中文) 宋体 Char"/>
    <w:link w:val="158"/>
    <w:qFormat/>
    <w:uiPriority w:val="0"/>
    <w:rPr>
      <w:b/>
      <w:bCs/>
      <w:kern w:val="2"/>
      <w:sz w:val="30"/>
      <w:szCs w:val="32"/>
      <w:lang w:val="en-US" w:eastAsia="zh-CN" w:bidi="ar-SA"/>
    </w:rPr>
  </w:style>
  <w:style w:type="paragraph" w:customStyle="1" w:styleId="158">
    <w:name w:val="样式 标题4 + (中文) 宋体"/>
    <w:basedOn w:val="8"/>
    <w:next w:val="2"/>
    <w:link w:val="157"/>
    <w:qFormat/>
    <w:uiPriority w:val="0"/>
    <w:pPr>
      <w:keepNext/>
      <w:keepLines/>
      <w:spacing w:line="480" w:lineRule="exact"/>
      <w:ind w:firstLine="0"/>
      <w:outlineLvl w:val="3"/>
    </w:pPr>
    <w:rPr>
      <w:b/>
      <w:bCs/>
      <w:snapToGrid/>
      <w:kern w:val="2"/>
      <w:sz w:val="30"/>
      <w:szCs w:val="32"/>
    </w:rPr>
  </w:style>
  <w:style w:type="character" w:customStyle="1" w:styleId="159">
    <w:name w:val="正文小四 Char"/>
    <w:link w:val="160"/>
    <w:qFormat/>
    <w:uiPriority w:val="0"/>
    <w:rPr>
      <w:rFonts w:ascii="Calibri" w:hAnsi="Calibri" w:eastAsia="宋体"/>
      <w:kern w:val="2"/>
      <w:sz w:val="24"/>
      <w:szCs w:val="24"/>
      <w:lang w:bidi="ar-SA"/>
    </w:rPr>
  </w:style>
  <w:style w:type="paragraph" w:customStyle="1" w:styleId="160">
    <w:name w:val="正文小四"/>
    <w:basedOn w:val="1"/>
    <w:link w:val="159"/>
    <w:qFormat/>
    <w:uiPriority w:val="0"/>
    <w:pPr>
      <w:widowControl w:val="0"/>
      <w:spacing w:line="360" w:lineRule="auto"/>
      <w:ind w:firstLine="200" w:firstLineChars="200"/>
      <w:jc w:val="both"/>
    </w:pPr>
    <w:rPr>
      <w:rFonts w:ascii="Calibri" w:hAnsi="Calibri" w:cs="Times New Roman"/>
      <w:kern w:val="2"/>
    </w:rPr>
  </w:style>
  <w:style w:type="character" w:customStyle="1" w:styleId="161">
    <w:name w:val="标题 3 Char Char"/>
    <w:qFormat/>
    <w:uiPriority w:val="0"/>
    <w:rPr>
      <w:rFonts w:hAnsi="宋体" w:eastAsia="宋体"/>
      <w:b/>
      <w:snapToGrid w:val="0"/>
      <w:sz w:val="28"/>
      <w:szCs w:val="28"/>
      <w:lang w:val="en-US" w:eastAsia="zh-CN" w:bidi="ar-SA"/>
    </w:rPr>
  </w:style>
  <w:style w:type="character" w:customStyle="1" w:styleId="162">
    <w:name w:val="style31"/>
    <w:qFormat/>
    <w:uiPriority w:val="0"/>
    <w:rPr>
      <w:sz w:val="21"/>
      <w:szCs w:val="21"/>
    </w:rPr>
  </w:style>
  <w:style w:type="character" w:customStyle="1" w:styleId="163">
    <w:name w:val="表格内容 Char"/>
    <w:link w:val="164"/>
    <w:qFormat/>
    <w:uiPriority w:val="0"/>
    <w:rPr>
      <w:rFonts w:eastAsia="宋体"/>
      <w:sz w:val="21"/>
      <w:szCs w:val="21"/>
      <w:lang w:bidi="ar-SA"/>
    </w:rPr>
  </w:style>
  <w:style w:type="paragraph" w:customStyle="1" w:styleId="164">
    <w:name w:val="表格内容"/>
    <w:basedOn w:val="1"/>
    <w:next w:val="1"/>
    <w:link w:val="163"/>
    <w:qFormat/>
    <w:uiPriority w:val="0"/>
    <w:pPr>
      <w:spacing w:line="360" w:lineRule="auto"/>
      <w:jc w:val="center"/>
    </w:pPr>
    <w:rPr>
      <w:rFonts w:ascii="Times New Roman" w:hAnsi="Times New Roman" w:cs="Times New Roman"/>
      <w:sz w:val="21"/>
      <w:szCs w:val="21"/>
    </w:rPr>
  </w:style>
  <w:style w:type="character" w:customStyle="1" w:styleId="165">
    <w:name w:val="报告正文 Char"/>
    <w:link w:val="166"/>
    <w:qFormat/>
    <w:uiPriority w:val="0"/>
    <w:rPr>
      <w:rFonts w:eastAsia="楷体_GB2312"/>
      <w:bCs/>
      <w:kern w:val="2"/>
      <w:sz w:val="30"/>
      <w:szCs w:val="24"/>
      <w:lang w:val="en-US" w:eastAsia="zh-CN" w:bidi="ar-SA"/>
    </w:rPr>
  </w:style>
  <w:style w:type="paragraph" w:customStyle="1" w:styleId="166">
    <w:name w:val="报告正文"/>
    <w:basedOn w:val="167"/>
    <w:link w:val="165"/>
    <w:qFormat/>
    <w:uiPriority w:val="0"/>
    <w:pPr>
      <w:widowControl w:val="0"/>
      <w:spacing w:line="360" w:lineRule="auto"/>
      <w:ind w:firstLine="600" w:firstLineChars="200"/>
    </w:pPr>
    <w:rPr>
      <w:rFonts w:ascii="Times New Roman" w:hAnsi="Times New Roman" w:eastAsia="楷体_GB2312"/>
      <w:bCs/>
      <w:kern w:val="2"/>
      <w:sz w:val="30"/>
    </w:rPr>
  </w:style>
  <w:style w:type="paragraph" w:customStyle="1" w:styleId="167">
    <w:name w:val="Normal_33_0"/>
    <w:qFormat/>
    <w:uiPriority w:val="0"/>
    <w:pPr>
      <w:spacing w:before="120" w:after="240"/>
      <w:jc w:val="both"/>
    </w:pPr>
    <w:rPr>
      <w:rFonts w:ascii="Calibri" w:hAnsi="Calibri" w:eastAsia="Calibri" w:cs="Times New Roman"/>
      <w:sz w:val="22"/>
      <w:szCs w:val="22"/>
      <w:lang w:val="ru-RU" w:eastAsia="en-US" w:bidi="ar-SA"/>
    </w:rPr>
  </w:style>
  <w:style w:type="character" w:customStyle="1" w:styleId="168">
    <w:name w:val="fontb1"/>
    <w:qFormat/>
    <w:uiPriority w:val="0"/>
    <w:rPr>
      <w:rFonts w:hint="default" w:ascii="Arial" w:hAnsi="Arial" w:cs="Arial"/>
      <w:sz w:val="18"/>
      <w:szCs w:val="18"/>
    </w:rPr>
  </w:style>
  <w:style w:type="character" w:customStyle="1" w:styleId="169">
    <w:name w:val="题注 字符"/>
    <w:link w:val="17"/>
    <w:qFormat/>
    <w:uiPriority w:val="0"/>
    <w:rPr>
      <w:rFonts w:ascii="Arial" w:hAnsi="Arial" w:eastAsia="黑体" w:cs="Arial"/>
      <w:kern w:val="2"/>
      <w:sz w:val="24"/>
      <w:lang w:val="en-US" w:eastAsia="zh-CN" w:bidi="ar-SA"/>
    </w:rPr>
  </w:style>
  <w:style w:type="character" w:customStyle="1" w:styleId="170">
    <w:name w:val="报告书表格 Char"/>
    <w:link w:val="171"/>
    <w:qFormat/>
    <w:uiPriority w:val="0"/>
    <w:rPr>
      <w:rFonts w:eastAsia="仿宋_GB2312"/>
      <w:sz w:val="24"/>
      <w:lang w:val="en-US" w:eastAsia="zh-CN" w:bidi="ar-SA"/>
    </w:rPr>
  </w:style>
  <w:style w:type="paragraph" w:customStyle="1" w:styleId="171">
    <w:name w:val="报告书表格"/>
    <w:basedOn w:val="1"/>
    <w:link w:val="170"/>
    <w:qFormat/>
    <w:uiPriority w:val="0"/>
    <w:pPr>
      <w:widowControl w:val="0"/>
      <w:adjustRightInd w:val="0"/>
      <w:spacing w:line="400" w:lineRule="exact"/>
      <w:jc w:val="center"/>
      <w:textAlignment w:val="baseline"/>
    </w:pPr>
    <w:rPr>
      <w:rFonts w:ascii="Times New Roman" w:hAnsi="Times New Roman" w:eastAsia="仿宋_GB2312" w:cs="Times New Roman"/>
      <w:szCs w:val="20"/>
    </w:rPr>
  </w:style>
  <w:style w:type="character" w:customStyle="1" w:styleId="172">
    <w:name w:val="表标题 Char"/>
    <w:link w:val="173"/>
    <w:qFormat/>
    <w:uiPriority w:val="0"/>
    <w:rPr>
      <w:rFonts w:ascii="仿宋_GB2312" w:eastAsia="仿宋_GB2312"/>
      <w:b/>
      <w:bCs/>
      <w:kern w:val="2"/>
      <w:sz w:val="24"/>
      <w:szCs w:val="24"/>
      <w:lang w:val="en-US" w:eastAsia="zh-CN" w:bidi="ar-SA"/>
    </w:rPr>
  </w:style>
  <w:style w:type="paragraph" w:customStyle="1" w:styleId="173">
    <w:name w:val="表标题"/>
    <w:basedOn w:val="1"/>
    <w:link w:val="172"/>
    <w:qFormat/>
    <w:uiPriority w:val="0"/>
    <w:pPr>
      <w:widowControl w:val="0"/>
      <w:spacing w:line="500" w:lineRule="exact"/>
      <w:ind w:firstLine="482" w:firstLineChars="200"/>
      <w:jc w:val="center"/>
    </w:pPr>
    <w:rPr>
      <w:rFonts w:ascii="仿宋_GB2312" w:hAnsi="Times New Roman" w:eastAsia="仿宋_GB2312" w:cs="Times New Roman"/>
      <w:b/>
      <w:bCs/>
      <w:kern w:val="2"/>
    </w:rPr>
  </w:style>
  <w:style w:type="character" w:customStyle="1" w:styleId="174">
    <w:name w:val="图表文字 Char"/>
    <w:link w:val="175"/>
    <w:qFormat/>
    <w:uiPriority w:val="0"/>
    <w:rPr>
      <w:rFonts w:ascii="仿宋_GB2312" w:eastAsia="仿宋_GB2312"/>
      <w:kern w:val="2"/>
      <w:sz w:val="21"/>
      <w:szCs w:val="24"/>
      <w:lang w:val="en-US" w:eastAsia="zh-CN" w:bidi="ar-SA"/>
    </w:rPr>
  </w:style>
  <w:style w:type="paragraph" w:customStyle="1" w:styleId="175">
    <w:name w:val="图表文字"/>
    <w:basedOn w:val="1"/>
    <w:link w:val="174"/>
    <w:qFormat/>
    <w:uiPriority w:val="0"/>
    <w:pPr>
      <w:widowControl w:val="0"/>
      <w:jc w:val="center"/>
    </w:pPr>
    <w:rPr>
      <w:rFonts w:ascii="仿宋_GB2312" w:hAnsi="Times New Roman" w:eastAsia="仿宋_GB2312" w:cs="Times New Roman"/>
      <w:kern w:val="2"/>
      <w:sz w:val="21"/>
    </w:rPr>
  </w:style>
  <w:style w:type="character" w:customStyle="1" w:styleId="176">
    <w:name w:val="text_new"/>
    <w:basedOn w:val="59"/>
    <w:qFormat/>
    <w:uiPriority w:val="0"/>
  </w:style>
  <w:style w:type="character" w:customStyle="1" w:styleId="177">
    <w:name w:val="报告表格 Char"/>
    <w:link w:val="178"/>
    <w:qFormat/>
    <w:uiPriority w:val="0"/>
    <w:rPr>
      <w:rFonts w:ascii="宋体" w:hAnsi="宋体" w:eastAsia="宋体"/>
      <w:sz w:val="21"/>
      <w:szCs w:val="21"/>
      <w:lang w:val="en-US" w:eastAsia="zh-CN" w:bidi="ar-SA"/>
    </w:rPr>
  </w:style>
  <w:style w:type="paragraph" w:customStyle="1" w:styleId="178">
    <w:name w:val="报告表格"/>
    <w:basedOn w:val="1"/>
    <w:link w:val="177"/>
    <w:qFormat/>
    <w:uiPriority w:val="0"/>
    <w:pPr>
      <w:widowControl w:val="0"/>
      <w:autoSpaceDE w:val="0"/>
      <w:autoSpaceDN w:val="0"/>
      <w:adjustRightInd w:val="0"/>
      <w:spacing w:line="320" w:lineRule="exact"/>
      <w:jc w:val="center"/>
      <w:textAlignment w:val="bottom"/>
    </w:pPr>
    <w:rPr>
      <w:rFonts w:cs="Times New Roman"/>
      <w:sz w:val="21"/>
      <w:szCs w:val="21"/>
    </w:rPr>
  </w:style>
  <w:style w:type="character" w:customStyle="1" w:styleId="179">
    <w:name w:val="正文缩进 Char"/>
    <w:qFormat/>
    <w:uiPriority w:val="0"/>
    <w:rPr>
      <w:rFonts w:eastAsia="宋体"/>
      <w:snapToGrid w:val="0"/>
      <w:sz w:val="28"/>
      <w:lang w:val="en-US" w:eastAsia="zh-CN" w:bidi="ar-SA"/>
    </w:rPr>
  </w:style>
  <w:style w:type="character" w:customStyle="1" w:styleId="180">
    <w:name w:val="t_tag"/>
    <w:basedOn w:val="59"/>
    <w:qFormat/>
    <w:uiPriority w:val="0"/>
  </w:style>
  <w:style w:type="character" w:customStyle="1" w:styleId="181">
    <w:name w:val="l"/>
    <w:basedOn w:val="59"/>
    <w:qFormat/>
    <w:uiPriority w:val="0"/>
  </w:style>
  <w:style w:type="character" w:customStyle="1" w:styleId="182">
    <w:name w:val="标题1 Char"/>
    <w:link w:val="183"/>
    <w:qFormat/>
    <w:uiPriority w:val="0"/>
    <w:rPr>
      <w:rFonts w:eastAsia="方正小标宋_GBK"/>
      <w:snapToGrid w:val="0"/>
      <w:sz w:val="44"/>
      <w:lang w:val="en-US" w:eastAsia="zh-CN" w:bidi="ar-SA"/>
    </w:rPr>
  </w:style>
  <w:style w:type="paragraph" w:customStyle="1" w:styleId="183">
    <w:name w:val="标题1"/>
    <w:basedOn w:val="1"/>
    <w:next w:val="1"/>
    <w:link w:val="182"/>
    <w:qFormat/>
    <w:uiPriority w:val="0"/>
    <w:pPr>
      <w:widowControl w:val="0"/>
      <w:tabs>
        <w:tab w:val="left" w:pos="9193"/>
        <w:tab w:val="left" w:pos="9827"/>
      </w:tabs>
      <w:autoSpaceDE w:val="0"/>
      <w:autoSpaceDN w:val="0"/>
      <w:snapToGrid w:val="0"/>
      <w:spacing w:line="700" w:lineRule="atLeast"/>
      <w:jc w:val="center"/>
    </w:pPr>
    <w:rPr>
      <w:rFonts w:ascii="Times New Roman" w:hAnsi="Times New Roman" w:eastAsia="方正小标宋_GBK" w:cs="Times New Roman"/>
      <w:snapToGrid w:val="0"/>
      <w:sz w:val="44"/>
      <w:szCs w:val="20"/>
    </w:rPr>
  </w:style>
  <w:style w:type="character" w:customStyle="1" w:styleId="184">
    <w:name w:val="fontstyle21"/>
    <w:qFormat/>
    <w:uiPriority w:val="0"/>
    <w:rPr>
      <w:rFonts w:hint="default" w:ascii="Times New Roman" w:hAnsi="Times New Roman" w:cs="Times New Roman"/>
      <w:color w:val="000000"/>
      <w:sz w:val="24"/>
      <w:szCs w:val="24"/>
    </w:rPr>
  </w:style>
  <w:style w:type="character" w:customStyle="1" w:styleId="185">
    <w:name w:val="style291"/>
    <w:qFormat/>
    <w:uiPriority w:val="0"/>
    <w:rPr>
      <w:rFonts w:hint="eastAsia" w:ascii="文鼎CS中黑" w:eastAsia="文鼎CS中黑"/>
    </w:rPr>
  </w:style>
  <w:style w:type="character" w:customStyle="1" w:styleId="186">
    <w:name w:val="在编文字 Char Char"/>
    <w:qFormat/>
    <w:uiPriority w:val="0"/>
    <w:rPr>
      <w:rFonts w:eastAsia="宋体"/>
      <w:snapToGrid w:val="0"/>
      <w:w w:val="90"/>
      <w:sz w:val="21"/>
      <w:lang w:val="en-US" w:eastAsia="zh-CN" w:bidi="ar-SA"/>
    </w:rPr>
  </w:style>
  <w:style w:type="character" w:customStyle="1" w:styleId="187">
    <w:name w:val="font10"/>
    <w:basedOn w:val="59"/>
    <w:qFormat/>
    <w:uiPriority w:val="0"/>
  </w:style>
  <w:style w:type="character" w:customStyle="1" w:styleId="188">
    <w:name w:val="正文11111 Char"/>
    <w:link w:val="189"/>
    <w:qFormat/>
    <w:uiPriority w:val="0"/>
    <w:rPr>
      <w:rFonts w:eastAsia="仿宋_GB2312"/>
      <w:kern w:val="2"/>
      <w:sz w:val="28"/>
      <w:szCs w:val="24"/>
      <w:lang w:val="en-US" w:eastAsia="zh-CN" w:bidi="ar-SA"/>
    </w:rPr>
  </w:style>
  <w:style w:type="paragraph" w:customStyle="1" w:styleId="189">
    <w:name w:val="正文11111"/>
    <w:basedOn w:val="190"/>
    <w:link w:val="188"/>
    <w:qFormat/>
    <w:uiPriority w:val="0"/>
    <w:pPr>
      <w:adjustRightInd/>
      <w:ind w:firstLine="560" w:firstLineChars="200"/>
    </w:pPr>
    <w:rPr>
      <w:rFonts w:eastAsia="仿宋_GB2312"/>
      <w:szCs w:val="24"/>
    </w:rPr>
  </w:style>
  <w:style w:type="paragraph" w:customStyle="1" w:styleId="190">
    <w:name w:val="样式1"/>
    <w:basedOn w:val="1"/>
    <w:qFormat/>
    <w:uiPriority w:val="0"/>
    <w:pPr>
      <w:widowControl w:val="0"/>
      <w:adjustRightInd w:val="0"/>
      <w:spacing w:line="480" w:lineRule="exact"/>
      <w:ind w:firstLine="567"/>
      <w:jc w:val="both"/>
    </w:pPr>
    <w:rPr>
      <w:rFonts w:ascii="Times New Roman" w:hAnsi="Times New Roman" w:cs="Times New Roman"/>
      <w:kern w:val="2"/>
      <w:sz w:val="28"/>
      <w:szCs w:val="20"/>
    </w:rPr>
  </w:style>
  <w:style w:type="character" w:customStyle="1" w:styleId="191">
    <w:name w:val="表格文字 Char Char"/>
    <w:qFormat/>
    <w:uiPriority w:val="0"/>
    <w:rPr>
      <w:rFonts w:ascii="黑体" w:eastAsia="黑体"/>
      <w:kern w:val="2"/>
      <w:sz w:val="21"/>
      <w:lang w:val="en-US" w:eastAsia="zh-CN" w:bidi="ar-SA"/>
    </w:rPr>
  </w:style>
  <w:style w:type="character" w:customStyle="1" w:styleId="192">
    <w:name w:val="正文01 Char1"/>
    <w:link w:val="193"/>
    <w:qFormat/>
    <w:uiPriority w:val="0"/>
    <w:rPr>
      <w:rFonts w:eastAsia="宋体"/>
      <w:kern w:val="2"/>
      <w:sz w:val="24"/>
      <w:szCs w:val="24"/>
      <w:lang w:val="en-US" w:eastAsia="zh-CN" w:bidi="ar-SA"/>
    </w:rPr>
  </w:style>
  <w:style w:type="paragraph" w:customStyle="1" w:styleId="193">
    <w:name w:val="正文01"/>
    <w:basedOn w:val="1"/>
    <w:link w:val="192"/>
    <w:qFormat/>
    <w:uiPriority w:val="0"/>
    <w:pPr>
      <w:widowControl w:val="0"/>
      <w:spacing w:before="60" w:line="460" w:lineRule="exact"/>
      <w:ind w:firstLine="200" w:firstLineChars="200"/>
      <w:jc w:val="both"/>
    </w:pPr>
    <w:rPr>
      <w:rFonts w:ascii="Times New Roman" w:hAnsi="Times New Roman" w:cs="Times New Roman"/>
      <w:kern w:val="2"/>
    </w:rPr>
  </w:style>
  <w:style w:type="character" w:customStyle="1" w:styleId="194">
    <w:name w:val="页脚 字符"/>
    <w:link w:val="33"/>
    <w:qFormat/>
    <w:uiPriority w:val="0"/>
    <w:rPr>
      <w:snapToGrid w:val="0"/>
      <w:sz w:val="18"/>
    </w:rPr>
  </w:style>
  <w:style w:type="paragraph" w:customStyle="1" w:styleId="195">
    <w:name w:val="报告"/>
    <w:basedOn w:val="1"/>
    <w:qFormat/>
    <w:uiPriority w:val="0"/>
    <w:pPr>
      <w:widowControl w:val="0"/>
      <w:overflowPunct w:val="0"/>
      <w:autoSpaceDE w:val="0"/>
      <w:autoSpaceDN w:val="0"/>
      <w:adjustRightInd w:val="0"/>
      <w:spacing w:before="30" w:beforeLines="30" w:after="30" w:afterLines="30" w:line="400" w:lineRule="atLeast"/>
      <w:ind w:left="200" w:leftChars="200" w:firstLine="200" w:firstLineChars="200"/>
      <w:jc w:val="both"/>
      <w:textAlignment w:val="baseline"/>
    </w:pPr>
    <w:rPr>
      <w:rFonts w:ascii="Times New Roman" w:hAnsi="Times New Roman" w:cs="Times New Roman"/>
      <w:szCs w:val="20"/>
    </w:rPr>
  </w:style>
  <w:style w:type="paragraph" w:customStyle="1" w:styleId="196">
    <w:name w:val="Table Paragraph"/>
    <w:basedOn w:val="1"/>
    <w:qFormat/>
    <w:uiPriority w:val="0"/>
    <w:pPr>
      <w:widowControl w:val="0"/>
    </w:pPr>
    <w:rPr>
      <w:rFonts w:ascii="Calibri" w:hAnsi="Calibri" w:cs="Times New Roman"/>
      <w:sz w:val="22"/>
      <w:szCs w:val="22"/>
      <w:lang w:eastAsia="en-US"/>
    </w:rPr>
  </w:style>
  <w:style w:type="paragraph" w:customStyle="1" w:styleId="197">
    <w:name w:val="图标题"/>
    <w:basedOn w:val="173"/>
    <w:qFormat/>
    <w:uiPriority w:val="0"/>
    <w:pPr>
      <w:spacing w:line="300" w:lineRule="exact"/>
      <w:ind w:firstLine="0" w:firstLineChars="0"/>
      <w:jc w:val="both"/>
    </w:pPr>
  </w:style>
  <w:style w:type="paragraph" w:customStyle="1" w:styleId="198">
    <w:name w:val="1"/>
    <w:basedOn w:val="1"/>
    <w:next w:val="22"/>
    <w:qFormat/>
    <w:uiPriority w:val="0"/>
    <w:pPr>
      <w:widowControl w:val="0"/>
      <w:spacing w:line="360" w:lineRule="auto"/>
      <w:ind w:firstLine="480"/>
      <w:jc w:val="both"/>
    </w:pPr>
    <w:rPr>
      <w:rFonts w:hAnsi="Times New Roman" w:cs="Times New Roman"/>
      <w:kern w:val="2"/>
    </w:rPr>
  </w:style>
  <w:style w:type="paragraph" w:customStyle="1" w:styleId="199">
    <w:name w:val="条题"/>
    <w:basedOn w:val="1"/>
    <w:qFormat/>
    <w:uiPriority w:val="0"/>
    <w:pPr>
      <w:widowControl w:val="0"/>
      <w:numPr>
        <w:ilvl w:val="0"/>
        <w:numId w:val="3"/>
      </w:numPr>
      <w:spacing w:line="420" w:lineRule="exact"/>
      <w:ind w:left="0" w:firstLine="200" w:firstLineChars="200"/>
      <w:jc w:val="both"/>
    </w:pPr>
    <w:rPr>
      <w:rFonts w:ascii="Times New Roman" w:hAnsi="Times New Roman" w:eastAsia="黑体" w:cs="Times New Roman"/>
      <w:kern w:val="2"/>
    </w:rPr>
  </w:style>
  <w:style w:type="paragraph" w:customStyle="1" w:styleId="200">
    <w:name w:val="样式 样式 标题 4 + 黑色 左侧:  -0.01 厘米 首行缩进:  0.01 厘米 + 左侧:  0 厘米 首行缩进: ..."/>
    <w:basedOn w:val="1"/>
    <w:qFormat/>
    <w:uiPriority w:val="0"/>
    <w:pPr>
      <w:widowControl w:val="0"/>
      <w:numPr>
        <w:ilvl w:val="3"/>
        <w:numId w:val="4"/>
      </w:numPr>
      <w:spacing w:before="120" w:beforeLines="50" w:line="360" w:lineRule="auto"/>
      <w:jc w:val="both"/>
      <w:outlineLvl w:val="3"/>
    </w:pPr>
    <w:rPr>
      <w:rFonts w:ascii="Times New Roman" w:hAnsi="Times New Roman"/>
      <w:b/>
      <w:color w:val="000000"/>
      <w:kern w:val="2"/>
      <w:szCs w:val="20"/>
    </w:rPr>
  </w:style>
  <w:style w:type="paragraph" w:customStyle="1" w:styleId="201">
    <w:name w:val="CC Char Char Char"/>
    <w:basedOn w:val="31"/>
    <w:next w:val="31"/>
    <w:qFormat/>
    <w:uiPriority w:val="0"/>
    <w:pPr>
      <w:spacing w:before="0" w:line="480" w:lineRule="auto"/>
      <w:ind w:left="630" w:leftChars="100" w:right="100" w:rightChars="100" w:firstLine="0"/>
    </w:pPr>
    <w:rPr>
      <w:snapToGrid/>
      <w:kern w:val="2"/>
      <w:sz w:val="28"/>
      <w:szCs w:val="28"/>
    </w:rPr>
  </w:style>
  <w:style w:type="paragraph" w:customStyle="1" w:styleId="202">
    <w:name w:val="CM18"/>
    <w:basedOn w:val="144"/>
    <w:next w:val="144"/>
    <w:qFormat/>
    <w:uiPriority w:val="0"/>
    <w:pPr>
      <w:spacing w:after="163"/>
    </w:pPr>
    <w:rPr>
      <w:rFonts w:ascii="DF Hei" w:eastAsia="DF Hei"/>
      <w:color w:val="auto"/>
    </w:rPr>
  </w:style>
  <w:style w:type="paragraph" w:customStyle="1" w:styleId="203">
    <w:name w:val="ST20_1"/>
    <w:basedOn w:val="1"/>
    <w:qFormat/>
    <w:uiPriority w:val="0"/>
    <w:pPr>
      <w:widowControl w:val="0"/>
      <w:autoSpaceDE w:val="0"/>
      <w:autoSpaceDN w:val="0"/>
      <w:adjustRightInd w:val="0"/>
      <w:spacing w:line="312" w:lineRule="atLeast"/>
      <w:jc w:val="center"/>
      <w:textAlignment w:val="baseline"/>
    </w:pPr>
    <w:rPr>
      <w:rFonts w:hAnsi="Tms Rmn" w:cs="Times New Roman"/>
      <w:szCs w:val="20"/>
    </w:rPr>
  </w:style>
  <w:style w:type="paragraph" w:customStyle="1" w:styleId="204">
    <w:name w:val="xl23"/>
    <w:basedOn w:val="1"/>
    <w:qFormat/>
    <w:uiPriority w:val="0"/>
    <w:pPr>
      <w:pBdr>
        <w:left w:val="single" w:color="auto" w:sz="4" w:space="0"/>
        <w:right w:val="single" w:color="000000" w:sz="4" w:space="0"/>
      </w:pBdr>
      <w:spacing w:before="100" w:beforeAutospacing="1" w:after="100" w:afterAutospacing="1"/>
      <w:jc w:val="center"/>
    </w:pPr>
    <w:rPr>
      <w:rFonts w:ascii="仿宋_GB2312" w:eastAsia="仿宋_GB2312" w:cs="仿宋_GB2312"/>
      <w:color w:val="000000"/>
      <w:sz w:val="21"/>
      <w:szCs w:val="21"/>
    </w:rPr>
  </w:style>
  <w:style w:type="paragraph" w:customStyle="1" w:styleId="205">
    <w:name w:val="正文文本缩进1"/>
    <w:basedOn w:val="1"/>
    <w:qFormat/>
    <w:uiPriority w:val="0"/>
    <w:pPr>
      <w:widowControl w:val="0"/>
      <w:adjustRightInd w:val="0"/>
      <w:spacing w:after="120" w:line="360" w:lineRule="auto"/>
      <w:ind w:left="420" w:leftChars="200" w:firstLine="200" w:firstLineChars="200"/>
      <w:jc w:val="both"/>
      <w:textAlignment w:val="baseline"/>
    </w:pPr>
    <w:rPr>
      <w:rFonts w:ascii="Times New Roman" w:hAnsi="Times New Roman" w:cs="Times New Roman"/>
      <w:kern w:val="2"/>
    </w:rPr>
  </w:style>
  <w:style w:type="paragraph" w:customStyle="1" w:styleId="206">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207">
    <w:name w:val="1说明"/>
    <w:basedOn w:val="1"/>
    <w:qFormat/>
    <w:uiPriority w:val="0"/>
    <w:pPr>
      <w:widowControl w:val="0"/>
      <w:snapToGrid w:val="0"/>
      <w:spacing w:line="360" w:lineRule="auto"/>
      <w:ind w:firstLine="573"/>
      <w:jc w:val="both"/>
      <w:outlineLvl w:val="4"/>
    </w:pPr>
    <w:rPr>
      <w:rFonts w:ascii="Times New Roman" w:hAnsi="Times New Roman" w:eastAsia="仿宋_GB2312" w:cs="Times New Roman"/>
      <w:kern w:val="2"/>
    </w:rPr>
  </w:style>
  <w:style w:type="paragraph" w:customStyle="1" w:styleId="208">
    <w:name w:val="Char Char7 Char Char1 Char Char Char1 Char Char Char Char Char Char Char Char Char Char Char Char Char Char Char Char Char"/>
    <w:basedOn w:val="1"/>
    <w:qFormat/>
    <w:uiPriority w:val="0"/>
    <w:pPr>
      <w:widowControl w:val="0"/>
      <w:spacing w:line="240" w:lineRule="exact"/>
      <w:ind w:firstLine="200" w:firstLineChars="200"/>
      <w:jc w:val="both"/>
    </w:pPr>
    <w:rPr>
      <w:rFonts w:ascii="Times New Roman" w:hAnsi="Times New Roman" w:cs="Times New Roman"/>
      <w:kern w:val="2"/>
      <w:sz w:val="28"/>
      <w:szCs w:val="28"/>
    </w:rPr>
  </w:style>
  <w:style w:type="paragraph" w:customStyle="1" w:styleId="209">
    <w:name w:val="reader-word-layer reader-word-s2-0"/>
    <w:basedOn w:val="1"/>
    <w:qFormat/>
    <w:uiPriority w:val="0"/>
    <w:pPr>
      <w:spacing w:before="100" w:beforeAutospacing="1" w:after="100" w:afterAutospacing="1"/>
    </w:pPr>
  </w:style>
  <w:style w:type="paragraph" w:customStyle="1" w:styleId="210">
    <w:name w:val="B"/>
    <w:basedOn w:val="39"/>
    <w:qFormat/>
    <w:uiPriority w:val="0"/>
    <w:pPr>
      <w:numPr>
        <w:ilvl w:val="0"/>
        <w:numId w:val="5"/>
      </w:numPr>
      <w:spacing w:before="20" w:beforeLines="20" w:after="20" w:afterLines="20"/>
      <w:ind w:firstLine="0" w:firstLineChars="0"/>
      <w:jc w:val="center"/>
    </w:pPr>
    <w:rPr>
      <w:b/>
      <w:snapToGrid/>
      <w:kern w:val="2"/>
      <w:sz w:val="21"/>
      <w:szCs w:val="21"/>
    </w:rPr>
  </w:style>
  <w:style w:type="paragraph" w:customStyle="1" w:styleId="211">
    <w:name w:val="Char Char Char Char Char Char"/>
    <w:basedOn w:val="1"/>
    <w:qFormat/>
    <w:uiPriority w:val="0"/>
    <w:pPr>
      <w:widowControl w:val="0"/>
      <w:jc w:val="both"/>
    </w:pPr>
    <w:rPr>
      <w:rFonts w:ascii="Times New Roman" w:hAnsi="Times New Roman" w:cs="Times New Roman"/>
      <w:kern w:val="2"/>
    </w:rPr>
  </w:style>
  <w:style w:type="paragraph" w:customStyle="1" w:styleId="212">
    <w:name w:val="表"/>
    <w:basedOn w:val="1"/>
    <w:next w:val="39"/>
    <w:qFormat/>
    <w:uiPriority w:val="0"/>
    <w:pPr>
      <w:widowControl w:val="0"/>
      <w:spacing w:line="360" w:lineRule="auto"/>
      <w:jc w:val="center"/>
    </w:pPr>
    <w:rPr>
      <w:rFonts w:ascii="Times New Roman" w:hAnsi="Times New Roman" w:eastAsia="仿宋_GB2312" w:cs="Times New Roman"/>
      <w:color w:val="000000"/>
      <w:kern w:val="21"/>
      <w:sz w:val="21"/>
    </w:rPr>
  </w:style>
  <w:style w:type="paragraph" w:customStyle="1" w:styleId="213">
    <w:name w:val="样式 首行缩进:  2 字符"/>
    <w:basedOn w:val="1"/>
    <w:qFormat/>
    <w:uiPriority w:val="0"/>
    <w:pPr>
      <w:widowControl w:val="0"/>
      <w:tabs>
        <w:tab w:val="left" w:pos="0"/>
      </w:tabs>
      <w:spacing w:line="560" w:lineRule="exact"/>
      <w:ind w:firstLine="560" w:firstLineChars="200"/>
      <w:jc w:val="both"/>
    </w:pPr>
    <w:rPr>
      <w:rFonts w:ascii="Times New Roman" w:hAnsi="Times New Roman" w:eastAsia="仿宋_GB2312"/>
      <w:spacing w:val="12"/>
      <w:kern w:val="2"/>
      <w:sz w:val="28"/>
      <w:szCs w:val="20"/>
    </w:rPr>
  </w:style>
  <w:style w:type="paragraph" w:customStyle="1" w:styleId="214">
    <w:name w:val="表格"/>
    <w:basedOn w:val="1"/>
    <w:next w:val="1"/>
    <w:qFormat/>
    <w:uiPriority w:val="0"/>
    <w:pPr>
      <w:widowControl w:val="0"/>
      <w:adjustRightInd w:val="0"/>
      <w:snapToGrid w:val="0"/>
      <w:spacing w:line="280" w:lineRule="exact"/>
      <w:jc w:val="center"/>
      <w:textAlignment w:val="baseline"/>
    </w:pPr>
    <w:rPr>
      <w:rFonts w:ascii="Times New Roman" w:hAnsi="Times New Roman" w:cs="Times New Roman"/>
      <w:sz w:val="21"/>
      <w:szCs w:val="21"/>
    </w:rPr>
  </w:style>
  <w:style w:type="paragraph" w:customStyle="1" w:styleId="215">
    <w:name w:val="a"/>
    <w:basedOn w:val="1"/>
    <w:qFormat/>
    <w:uiPriority w:val="0"/>
    <w:pPr>
      <w:spacing w:before="100" w:beforeAutospacing="1" w:after="100" w:afterAutospacing="1"/>
    </w:pPr>
  </w:style>
  <w:style w:type="paragraph" w:customStyle="1" w:styleId="216">
    <w:name w:val="Char Char Char Char Char Char1"/>
    <w:basedOn w:val="19"/>
    <w:qFormat/>
    <w:uiPriority w:val="0"/>
    <w:pPr>
      <w:framePr w:vAnchor="margin" w:yAlign="inline"/>
      <w:shd w:val="clear" w:color="auto" w:fill="000080"/>
      <w:adjustRightInd w:val="0"/>
      <w:spacing w:line="436" w:lineRule="exact"/>
      <w:ind w:left="357"/>
      <w:jc w:val="left"/>
      <w:outlineLvl w:val="3"/>
    </w:pPr>
    <w:rPr>
      <w:rFonts w:ascii="Tahoma" w:hAnsi="Tahoma"/>
      <w:b/>
      <w:snapToGrid/>
      <w:color w:val="auto"/>
      <w:kern w:val="2"/>
      <w:sz w:val="24"/>
    </w:rPr>
  </w:style>
  <w:style w:type="paragraph" w:customStyle="1" w:styleId="217">
    <w:name w:val="Char Char Char Char Char Char Char Char Char Char Char Char Char Char Char Char Char Char Char Char Char Char Char Char Char Char Char Char Char Char2 Char Char Char Char Char Char Char"/>
    <w:basedOn w:val="1"/>
    <w:qFormat/>
    <w:uiPriority w:val="0"/>
    <w:pPr>
      <w:widowControl w:val="0"/>
      <w:jc w:val="both"/>
    </w:pPr>
    <w:rPr>
      <w:rFonts w:ascii="Times New Roman" w:hAnsi="Times New Roman" w:cs="Times New Roman"/>
      <w:kern w:val="2"/>
    </w:rPr>
  </w:style>
  <w:style w:type="paragraph" w:customStyle="1" w:styleId="218">
    <w:name w:val="reader-word-layer reader-word-s1-4"/>
    <w:basedOn w:val="1"/>
    <w:qFormat/>
    <w:uiPriority w:val="0"/>
    <w:pPr>
      <w:spacing w:before="100" w:beforeAutospacing="1" w:after="100" w:afterAutospacing="1"/>
    </w:pPr>
  </w:style>
  <w:style w:type="paragraph" w:customStyle="1" w:styleId="219">
    <w:name w:val="表格式"/>
    <w:basedOn w:val="39"/>
    <w:qFormat/>
    <w:uiPriority w:val="0"/>
    <w:pPr>
      <w:spacing w:line="400" w:lineRule="exact"/>
      <w:ind w:left="0" w:firstLine="0" w:firstLineChars="0"/>
      <w:jc w:val="center"/>
    </w:pPr>
    <w:rPr>
      <w:rFonts w:ascii="宋体"/>
      <w:snapToGrid/>
      <w:kern w:val="2"/>
      <w:sz w:val="21"/>
    </w:rPr>
  </w:style>
  <w:style w:type="paragraph" w:customStyle="1" w:styleId="220">
    <w:name w:val="xl67"/>
    <w:basedOn w:val="1"/>
    <w:qFormat/>
    <w:uiPriority w:val="0"/>
    <w:pPr>
      <w:pBdr>
        <w:left w:val="single" w:color="auto" w:sz="4" w:space="0"/>
      </w:pBdr>
      <w:spacing w:before="100" w:beforeAutospacing="1" w:after="100" w:afterAutospacing="1"/>
      <w:jc w:val="center"/>
    </w:pPr>
    <w:rPr>
      <w:rFonts w:hint="eastAsia" w:ascii="仿宋_GB2312" w:eastAsia="仿宋_GB2312" w:cs="Times New Roman"/>
    </w:rPr>
  </w:style>
  <w:style w:type="paragraph" w:customStyle="1" w:styleId="221">
    <w:name w:val="rcn435"/>
    <w:basedOn w:val="1"/>
    <w:qFormat/>
    <w:uiPriority w:val="0"/>
    <w:pPr>
      <w:spacing w:before="100" w:beforeAutospacing="1" w:after="100" w:afterAutospacing="1"/>
    </w:pPr>
  </w:style>
  <w:style w:type="paragraph" w:customStyle="1" w:styleId="222">
    <w:name w:val="一级条标题"/>
    <w:basedOn w:val="1"/>
    <w:next w:val="1"/>
    <w:qFormat/>
    <w:uiPriority w:val="0"/>
    <w:pPr>
      <w:tabs>
        <w:tab w:val="left" w:pos="360"/>
        <w:tab w:val="left" w:pos="855"/>
        <w:tab w:val="left" w:pos="1320"/>
        <w:tab w:val="left" w:pos="1740"/>
        <w:tab w:val="left" w:pos="1820"/>
      </w:tabs>
      <w:ind w:left="1820" w:hanging="420"/>
      <w:jc w:val="both"/>
      <w:outlineLvl w:val="2"/>
    </w:pPr>
    <w:rPr>
      <w:rFonts w:ascii="黑体" w:hAnsi="Times New Roman" w:eastAsia="黑体" w:cs="Times New Roman"/>
      <w:sz w:val="21"/>
      <w:szCs w:val="20"/>
    </w:rPr>
  </w:style>
  <w:style w:type="paragraph" w:customStyle="1" w:styleId="223">
    <w:name w:val="xl24"/>
    <w:basedOn w:val="1"/>
    <w:qFormat/>
    <w:uiPriority w:val="0"/>
    <w:pPr>
      <w:spacing w:before="100" w:beforeAutospacing="1" w:after="100" w:afterAutospacing="1"/>
      <w:jc w:val="center"/>
      <w:textAlignment w:val="center"/>
    </w:pPr>
    <w:rPr>
      <w:rFonts w:cs="Times New Roman"/>
    </w:rPr>
  </w:style>
  <w:style w:type="paragraph" w:customStyle="1" w:styleId="224">
    <w:name w:val="首行缩进"/>
    <w:basedOn w:val="1"/>
    <w:qFormat/>
    <w:uiPriority w:val="0"/>
    <w:pPr>
      <w:widowControl w:val="0"/>
      <w:adjustRightInd w:val="0"/>
      <w:spacing w:line="360" w:lineRule="auto"/>
      <w:ind w:firstLine="480" w:firstLineChars="200"/>
      <w:jc w:val="both"/>
      <w:textAlignment w:val="baseline"/>
    </w:pPr>
    <w:rPr>
      <w:rFonts w:ascii="Times New Roman" w:hAnsi="Times New Roman" w:cs="Times New Roman"/>
      <w:kern w:val="2"/>
    </w:rPr>
  </w:style>
  <w:style w:type="paragraph" w:customStyle="1" w:styleId="225">
    <w:name w:val="注×："/>
    <w:qFormat/>
    <w:uiPriority w:val="0"/>
    <w:pPr>
      <w:widowControl w:val="0"/>
      <w:tabs>
        <w:tab w:val="left" w:pos="1008"/>
      </w:tabs>
      <w:autoSpaceDE w:val="0"/>
      <w:autoSpaceDN w:val="0"/>
      <w:jc w:val="both"/>
    </w:pPr>
    <w:rPr>
      <w:rFonts w:ascii="宋体" w:hAnsi="Times New Roman" w:eastAsia="宋体" w:cs="Times New Roman"/>
      <w:sz w:val="18"/>
      <w:szCs w:val="18"/>
      <w:lang w:val="en-US" w:eastAsia="zh-CN" w:bidi="ar-SA"/>
    </w:rPr>
  </w:style>
  <w:style w:type="paragraph" w:customStyle="1" w:styleId="226">
    <w:name w:val="font5"/>
    <w:basedOn w:val="1"/>
    <w:qFormat/>
    <w:uiPriority w:val="0"/>
    <w:pPr>
      <w:spacing w:before="100" w:beforeAutospacing="1" w:after="100" w:afterAutospacing="1"/>
    </w:pPr>
    <w:rPr>
      <w:rFonts w:hint="eastAsia" w:cs="Times New Roman"/>
      <w:sz w:val="18"/>
      <w:szCs w:val="20"/>
    </w:rPr>
  </w:style>
  <w:style w:type="paragraph" w:customStyle="1" w:styleId="227">
    <w:name w:val="Char Char Char2"/>
    <w:basedOn w:val="1"/>
    <w:qFormat/>
    <w:uiPriority w:val="0"/>
    <w:pPr>
      <w:widowControl w:val="0"/>
      <w:spacing w:line="240" w:lineRule="exact"/>
      <w:ind w:firstLine="200" w:firstLineChars="200"/>
      <w:jc w:val="both"/>
    </w:pPr>
    <w:rPr>
      <w:rFonts w:ascii="Times New Roman" w:hAnsi="Times New Roman" w:cs="Times New Roman"/>
      <w:kern w:val="2"/>
      <w:sz w:val="28"/>
      <w:szCs w:val="28"/>
    </w:rPr>
  </w:style>
  <w:style w:type="paragraph" w:customStyle="1" w:styleId="228">
    <w:name w:val="默认段落字体 Para Char Char Char1 Char Char Char Char Char Char Char Char Char Char"/>
    <w:basedOn w:val="1"/>
    <w:qFormat/>
    <w:uiPriority w:val="0"/>
    <w:pPr>
      <w:widowControl w:val="0"/>
      <w:jc w:val="both"/>
    </w:pPr>
    <w:rPr>
      <w:rFonts w:ascii="Times New Roman" w:hAnsi="Times New Roman" w:cs="Times New Roman"/>
      <w:kern w:val="2"/>
    </w:rPr>
  </w:style>
  <w:style w:type="paragraph" w:customStyle="1" w:styleId="229">
    <w:name w:val="CM26"/>
    <w:basedOn w:val="1"/>
    <w:next w:val="1"/>
    <w:qFormat/>
    <w:uiPriority w:val="0"/>
    <w:pPr>
      <w:widowControl w:val="0"/>
      <w:autoSpaceDE w:val="0"/>
      <w:autoSpaceDN w:val="0"/>
      <w:adjustRightInd w:val="0"/>
      <w:spacing w:line="546" w:lineRule="atLeast"/>
    </w:pPr>
    <w:rPr>
      <w:rFonts w:ascii="Sim Sun" w:hAnsi="Times New Roman" w:eastAsia="Sim Sun" w:cs="Times New Roman"/>
    </w:rPr>
  </w:style>
  <w:style w:type="paragraph" w:customStyle="1" w:styleId="230">
    <w:name w:val="xl26"/>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cs="Times New Roman"/>
    </w:rPr>
  </w:style>
  <w:style w:type="paragraph" w:customStyle="1" w:styleId="231">
    <w:name w:val="xl31"/>
    <w:basedOn w:val="1"/>
    <w:qFormat/>
    <w:uiPriority w:val="0"/>
    <w:pPr>
      <w:spacing w:before="100" w:beforeAutospacing="1" w:after="100" w:afterAutospacing="1"/>
      <w:jc w:val="center"/>
    </w:pPr>
  </w:style>
  <w:style w:type="paragraph" w:customStyle="1" w:styleId="232">
    <w:name w:val="xl30"/>
    <w:basedOn w:val="1"/>
    <w:qFormat/>
    <w:uiPriority w:val="0"/>
    <w:pPr>
      <w:spacing w:before="100" w:beforeAutospacing="1" w:after="100" w:afterAutospacing="1"/>
      <w:jc w:val="center"/>
    </w:pPr>
    <w:rPr>
      <w:rFonts w:hint="eastAsia" w:ascii="仿宋_GB2312" w:hAnsi="Arial Unicode MS" w:eastAsia="仿宋_GB2312" w:cs="Arial Unicode MS"/>
      <w:sz w:val="21"/>
      <w:szCs w:val="21"/>
    </w:rPr>
  </w:style>
  <w:style w:type="paragraph" w:customStyle="1" w:styleId="233">
    <w:name w:val="样式 标题 2p2 + 左"/>
    <w:basedOn w:val="4"/>
    <w:qFormat/>
    <w:uiPriority w:val="0"/>
    <w:pPr>
      <w:tabs>
        <w:tab w:val="left" w:pos="2160"/>
      </w:tabs>
      <w:spacing w:before="0" w:beforeLines="0" w:after="0" w:afterLines="0" w:line="360" w:lineRule="auto"/>
    </w:pPr>
    <w:rPr>
      <w:rFonts w:ascii="Arial" w:hAnsi="Arial" w:cs="宋体"/>
      <w:snapToGrid/>
      <w:color w:val="FF00FF"/>
      <w:kern w:val="2"/>
    </w:rPr>
  </w:style>
  <w:style w:type="paragraph" w:customStyle="1" w:styleId="234">
    <w:name w:val="Char Char7 Char Char1 Char Char Char1 Char Char Char Char Char1 Char Char Char"/>
    <w:basedOn w:val="1"/>
    <w:qFormat/>
    <w:uiPriority w:val="0"/>
    <w:pPr>
      <w:widowControl w:val="0"/>
      <w:jc w:val="both"/>
    </w:pPr>
    <w:rPr>
      <w:rFonts w:ascii="Times New Roman" w:hAnsi="Times New Roman" w:cs="Times New Roman"/>
      <w:kern w:val="2"/>
      <w:sz w:val="21"/>
      <w:szCs w:val="21"/>
    </w:rPr>
  </w:style>
  <w:style w:type="paragraph" w:customStyle="1" w:styleId="235">
    <w:name w:val="默认段落字体 Para Char Char Char Char Char Char Char Char Char Char Char Char Char"/>
    <w:basedOn w:val="1"/>
    <w:qFormat/>
    <w:uiPriority w:val="0"/>
    <w:pPr>
      <w:widowControl w:val="0"/>
      <w:jc w:val="both"/>
    </w:pPr>
    <w:rPr>
      <w:rFonts w:ascii="Times New Roman" w:hAnsi="Times New Roman" w:cs="Times New Roman"/>
      <w:kern w:val="2"/>
      <w:sz w:val="21"/>
    </w:rPr>
  </w:style>
  <w:style w:type="paragraph" w:customStyle="1" w:styleId="236">
    <w:name w:val="单位"/>
    <w:basedOn w:val="1"/>
    <w:qFormat/>
    <w:uiPriority w:val="0"/>
    <w:pPr>
      <w:widowControl w:val="0"/>
      <w:tabs>
        <w:tab w:val="right" w:pos="0"/>
      </w:tabs>
      <w:adjustRightInd w:val="0"/>
      <w:snapToGrid w:val="0"/>
      <w:jc w:val="right"/>
    </w:pPr>
    <w:rPr>
      <w:rFonts w:hAnsi="Times New Roman" w:cs="Times New Roman"/>
      <w:bCs/>
      <w:spacing w:val="10"/>
      <w:kern w:val="2"/>
      <w:sz w:val="21"/>
    </w:rPr>
  </w:style>
  <w:style w:type="paragraph" w:customStyle="1" w:styleId="237">
    <w:name w:val="Char Char Char Char Char Char Char Char Char Char Char Char Char1 Char Char Char Char Char Char Char Char Char Char Char Char Char"/>
    <w:basedOn w:val="1"/>
    <w:qFormat/>
    <w:uiPriority w:val="0"/>
    <w:pPr>
      <w:widowControl w:val="0"/>
      <w:adjustRightInd w:val="0"/>
      <w:spacing w:line="360" w:lineRule="auto"/>
      <w:jc w:val="both"/>
    </w:pPr>
    <w:rPr>
      <w:rFonts w:ascii="Times New Roman" w:hAnsi="Times New Roman" w:cs="Times New Roman"/>
      <w:szCs w:val="20"/>
    </w:rPr>
  </w:style>
  <w:style w:type="paragraph" w:customStyle="1" w:styleId="238">
    <w:name w:val="9 Char Char Char7 Char"/>
    <w:basedOn w:val="1"/>
    <w:qFormat/>
    <w:uiPriority w:val="0"/>
    <w:pPr>
      <w:widowControl w:val="0"/>
      <w:spacing w:line="240" w:lineRule="exact"/>
      <w:ind w:firstLine="200" w:firstLineChars="200"/>
      <w:jc w:val="both"/>
    </w:pPr>
    <w:rPr>
      <w:rFonts w:ascii="Times New Roman" w:hAnsi="Times New Roman" w:cs="Times New Roman"/>
      <w:kern w:val="2"/>
      <w:sz w:val="28"/>
      <w:szCs w:val="28"/>
    </w:rPr>
  </w:style>
  <w:style w:type="paragraph" w:customStyle="1" w:styleId="239">
    <w:name w:val="正文(首行缩进两字)"/>
    <w:basedOn w:val="1"/>
    <w:next w:val="1"/>
    <w:qFormat/>
    <w:uiPriority w:val="0"/>
    <w:pPr>
      <w:widowControl w:val="0"/>
      <w:tabs>
        <w:tab w:val="left" w:pos="945"/>
        <w:tab w:val="right" w:leader="dot" w:pos="1155"/>
        <w:tab w:val="left" w:pos="8715"/>
      </w:tabs>
      <w:adjustRightInd w:val="0"/>
      <w:snapToGrid w:val="0"/>
      <w:spacing w:line="360" w:lineRule="auto"/>
      <w:ind w:firstLine="480" w:firstLineChars="200"/>
      <w:jc w:val="both"/>
    </w:pPr>
    <w:rPr>
      <w:rFonts w:cs="Times New Roman"/>
      <w:snapToGrid w:val="0"/>
    </w:rPr>
  </w:style>
  <w:style w:type="paragraph" w:customStyle="1" w:styleId="240">
    <w:name w:val="Char1 Char Char Char"/>
    <w:basedOn w:val="1"/>
    <w:qFormat/>
    <w:uiPriority w:val="0"/>
    <w:pPr>
      <w:widowControl w:val="0"/>
      <w:snapToGrid w:val="0"/>
      <w:spacing w:line="360" w:lineRule="auto"/>
      <w:ind w:firstLine="529" w:firstLineChars="200"/>
      <w:jc w:val="both"/>
    </w:pPr>
    <w:rPr>
      <w:rFonts w:cs="Times New Roman"/>
      <w:b/>
      <w:kern w:val="2"/>
      <w:sz w:val="21"/>
    </w:rPr>
  </w:style>
  <w:style w:type="paragraph" w:customStyle="1" w:styleId="241">
    <w:name w:val="我的样式（正文）"/>
    <w:basedOn w:val="1"/>
    <w:qFormat/>
    <w:uiPriority w:val="0"/>
    <w:pPr>
      <w:widowControl w:val="0"/>
      <w:spacing w:line="440" w:lineRule="exact"/>
      <w:jc w:val="both"/>
    </w:pPr>
    <w:rPr>
      <w:rFonts w:hAnsi="Times New Roman" w:cs="Times New Roman"/>
      <w:kern w:val="2"/>
      <w:sz w:val="28"/>
      <w:szCs w:val="20"/>
    </w:rPr>
  </w:style>
  <w:style w:type="paragraph" w:customStyle="1" w:styleId="242">
    <w:name w:val="样式 样式 标题4 + (中文) 宋体 + (中文) 宋体 首行缩进:  1.06 厘米"/>
    <w:basedOn w:val="1"/>
    <w:qFormat/>
    <w:uiPriority w:val="0"/>
    <w:pPr>
      <w:keepNext/>
      <w:keepLines/>
      <w:widowControl w:val="0"/>
      <w:spacing w:line="240" w:lineRule="exact"/>
      <w:jc w:val="both"/>
      <w:outlineLvl w:val="3"/>
    </w:pPr>
    <w:rPr>
      <w:rFonts w:ascii="Times New Roman" w:hAnsi="Times New Roman"/>
      <w:bCs/>
      <w:kern w:val="2"/>
      <w:sz w:val="28"/>
      <w:szCs w:val="28"/>
    </w:rPr>
  </w:style>
  <w:style w:type="paragraph" w:customStyle="1" w:styleId="243">
    <w:name w:val="Char Char Char Char Char Char Char Char Char Char"/>
    <w:basedOn w:val="1"/>
    <w:qFormat/>
    <w:uiPriority w:val="0"/>
    <w:pPr>
      <w:widowControl w:val="0"/>
      <w:jc w:val="both"/>
    </w:pPr>
    <w:rPr>
      <w:rFonts w:ascii="Times New Roman" w:hAnsi="Times New Roman" w:cs="Times New Roman"/>
      <w:kern w:val="2"/>
    </w:rPr>
  </w:style>
  <w:style w:type="paragraph" w:customStyle="1" w:styleId="244">
    <w:name w:val="样式 列表"/>
    <w:basedOn w:val="39"/>
    <w:qFormat/>
    <w:uiPriority w:val="0"/>
    <w:pPr>
      <w:spacing w:line="280" w:lineRule="exact"/>
      <w:ind w:left="0" w:firstLine="0" w:firstLineChars="0"/>
      <w:jc w:val="center"/>
    </w:pPr>
    <w:rPr>
      <w:rFonts w:eastAsia="方正仿宋_GBK" w:cs="宋体"/>
      <w:snapToGrid/>
      <w:kern w:val="2"/>
      <w:sz w:val="21"/>
    </w:rPr>
  </w:style>
  <w:style w:type="paragraph" w:customStyle="1" w:styleId="245">
    <w:name w:val="Char1"/>
    <w:basedOn w:val="1"/>
    <w:qFormat/>
    <w:uiPriority w:val="0"/>
    <w:pPr>
      <w:widowControl w:val="0"/>
      <w:snapToGrid w:val="0"/>
      <w:spacing w:line="360" w:lineRule="auto"/>
      <w:ind w:firstLine="200" w:firstLineChars="200"/>
      <w:jc w:val="both"/>
    </w:pPr>
    <w:rPr>
      <w:rFonts w:ascii="Times New Roman" w:hAnsi="Times New Roman" w:eastAsia="仿宋_GB2312" w:cs="Times New Roman"/>
      <w:kern w:val="2"/>
    </w:rPr>
  </w:style>
  <w:style w:type="paragraph" w:customStyle="1" w:styleId="246">
    <w:name w:val="论文正文"/>
    <w:basedOn w:val="8"/>
    <w:qFormat/>
    <w:uiPriority w:val="0"/>
    <w:pPr>
      <w:ind w:firstLine="480" w:firstLineChars="200"/>
    </w:pPr>
    <w:rPr>
      <w:rFonts w:ascii="宋体" w:hAnsi="宋体"/>
      <w:snapToGrid/>
      <w:kern w:val="2"/>
      <w:szCs w:val="24"/>
    </w:rPr>
  </w:style>
  <w:style w:type="paragraph" w:customStyle="1" w:styleId="247">
    <w:name w:val="XYF1"/>
    <w:basedOn w:val="1"/>
    <w:qFormat/>
    <w:uiPriority w:val="0"/>
    <w:pPr>
      <w:widowControl w:val="0"/>
      <w:tabs>
        <w:tab w:val="left" w:pos="1080"/>
      </w:tabs>
      <w:spacing w:line="440" w:lineRule="exact"/>
      <w:ind w:firstLine="195" w:firstLineChars="195"/>
      <w:jc w:val="both"/>
    </w:pPr>
    <w:rPr>
      <w:rFonts w:ascii="Times New Roman" w:hAnsi="Times New Roman" w:cs="Times New Roman"/>
      <w:kern w:val="2"/>
    </w:rPr>
  </w:style>
  <w:style w:type="paragraph" w:customStyle="1" w:styleId="248">
    <w:name w:val="样式2"/>
    <w:basedOn w:val="4"/>
    <w:qFormat/>
    <w:uiPriority w:val="0"/>
    <w:pPr>
      <w:spacing w:before="0" w:beforeLines="0" w:line="480" w:lineRule="auto"/>
    </w:pPr>
    <w:rPr>
      <w:rFonts w:ascii="仿宋_GB2312" w:eastAsia="仿宋_GB2312"/>
      <w:snapToGrid/>
      <w:kern w:val="2"/>
      <w:szCs w:val="28"/>
    </w:rPr>
  </w:style>
  <w:style w:type="paragraph" w:customStyle="1" w:styleId="249">
    <w:name w:val="Body Text 21"/>
    <w:basedOn w:val="1"/>
    <w:qFormat/>
    <w:uiPriority w:val="0"/>
    <w:pPr>
      <w:widowControl w:val="0"/>
      <w:adjustRightInd w:val="0"/>
      <w:jc w:val="both"/>
      <w:textAlignment w:val="baseline"/>
    </w:pPr>
    <w:rPr>
      <w:rFonts w:ascii="Times New Roman" w:hAnsi="Times New Roman" w:eastAsia="仿宋体" w:cs="Times New Roman"/>
      <w:kern w:val="2"/>
      <w:szCs w:val="20"/>
    </w:rPr>
  </w:style>
  <w:style w:type="paragraph" w:customStyle="1" w:styleId="250">
    <w:name w:val="默认段落字体 Para Char Char Char Char"/>
    <w:basedOn w:val="1"/>
    <w:qFormat/>
    <w:uiPriority w:val="0"/>
    <w:pPr>
      <w:widowControl w:val="0"/>
      <w:jc w:val="both"/>
    </w:pPr>
    <w:rPr>
      <w:rFonts w:ascii="Times New Roman" w:hAnsi="Times New Roman" w:cs="Times New Roman"/>
      <w:kern w:val="2"/>
      <w:sz w:val="21"/>
    </w:rPr>
  </w:style>
  <w:style w:type="paragraph" w:customStyle="1" w:styleId="251">
    <w:name w:val="Char4 Char Char"/>
    <w:basedOn w:val="1"/>
    <w:qFormat/>
    <w:uiPriority w:val="0"/>
    <w:pPr>
      <w:widowControl w:val="0"/>
      <w:jc w:val="both"/>
    </w:pPr>
    <w:rPr>
      <w:rFonts w:ascii="Times New Roman" w:hAnsi="Times New Roman" w:cs="Times New Roman"/>
      <w:kern w:val="2"/>
    </w:rPr>
  </w:style>
  <w:style w:type="paragraph" w:customStyle="1" w:styleId="252">
    <w:name w:val="Char Char Char Char"/>
    <w:basedOn w:val="1"/>
    <w:qFormat/>
    <w:uiPriority w:val="0"/>
    <w:pPr>
      <w:widowControl w:val="0"/>
      <w:ind w:left="432" w:hanging="432"/>
      <w:jc w:val="both"/>
    </w:pPr>
    <w:rPr>
      <w:rFonts w:ascii="Times New Roman" w:hAnsi="Times New Roman" w:cs="Times New Roman"/>
      <w:kern w:val="2"/>
    </w:rPr>
  </w:style>
  <w:style w:type="paragraph" w:customStyle="1" w:styleId="253">
    <w:name w:val="reader-word-layer reader-word-s1-7"/>
    <w:basedOn w:val="1"/>
    <w:qFormat/>
    <w:uiPriority w:val="0"/>
    <w:pPr>
      <w:spacing w:before="100" w:beforeAutospacing="1" w:after="100" w:afterAutospacing="1"/>
    </w:pPr>
  </w:style>
  <w:style w:type="paragraph" w:customStyle="1" w:styleId="254">
    <w:name w:val="CM94"/>
    <w:basedOn w:val="144"/>
    <w:next w:val="144"/>
    <w:qFormat/>
    <w:uiPriority w:val="0"/>
    <w:pPr>
      <w:spacing w:after="103"/>
    </w:pPr>
    <w:rPr>
      <w:rFonts w:ascii="Sim Sun" w:eastAsia="Sim Sun"/>
      <w:color w:val="auto"/>
    </w:rPr>
  </w:style>
  <w:style w:type="paragraph" w:customStyle="1" w:styleId="255">
    <w:name w:val="新表"/>
    <w:basedOn w:val="1"/>
    <w:qFormat/>
    <w:uiPriority w:val="0"/>
    <w:pPr>
      <w:widowControl w:val="0"/>
      <w:spacing w:line="360" w:lineRule="exact"/>
      <w:jc w:val="both"/>
    </w:pPr>
    <w:rPr>
      <w:rFonts w:eastAsia="仿宋_GB2312"/>
      <w:bCs/>
      <w:color w:val="000000"/>
      <w:szCs w:val="20"/>
    </w:rPr>
  </w:style>
  <w:style w:type="paragraph" w:customStyle="1" w:styleId="256">
    <w:name w:val="文本框"/>
    <w:basedOn w:val="1"/>
    <w:next w:val="1"/>
    <w:qFormat/>
    <w:uiPriority w:val="0"/>
    <w:pPr>
      <w:widowControl w:val="0"/>
      <w:tabs>
        <w:tab w:val="left" w:pos="0"/>
      </w:tabs>
      <w:spacing w:line="240" w:lineRule="atLeast"/>
      <w:jc w:val="center"/>
    </w:pPr>
    <w:rPr>
      <w:rFonts w:ascii="Times New Roman" w:hAnsi="Times New Roman" w:eastAsia="仿宋_GB2312" w:cs="Times New Roman"/>
      <w:spacing w:val="12"/>
      <w:kern w:val="2"/>
      <w:sz w:val="21"/>
      <w:szCs w:val="28"/>
    </w:rPr>
  </w:style>
  <w:style w:type="paragraph" w:customStyle="1" w:styleId="257">
    <w:name w:val="zww"/>
    <w:basedOn w:val="1"/>
    <w:qFormat/>
    <w:uiPriority w:val="0"/>
    <w:pPr>
      <w:widowControl w:val="0"/>
      <w:topLinePunct/>
      <w:spacing w:line="360" w:lineRule="auto"/>
      <w:ind w:firstLine="480" w:firstLineChars="200"/>
      <w:jc w:val="both"/>
    </w:pPr>
    <w:rPr>
      <w:rFonts w:ascii="Times New Roman" w:hAnsi="Times New Roman"/>
      <w:color w:val="FF6600"/>
    </w:rPr>
  </w:style>
  <w:style w:type="paragraph" w:customStyle="1" w:styleId="258">
    <w:name w:val="xl25"/>
    <w:basedOn w:val="1"/>
    <w:qFormat/>
    <w:uiPriority w:val="0"/>
    <w:pPr>
      <w:pBdr>
        <w:bottom w:val="single" w:color="auto" w:sz="4" w:space="0"/>
        <w:right w:val="single" w:color="auto" w:sz="4" w:space="0"/>
      </w:pBdr>
      <w:spacing w:before="100" w:beforeAutospacing="1" w:after="100" w:afterAutospacing="1"/>
      <w:jc w:val="center"/>
    </w:pPr>
    <w:rPr>
      <w:rFonts w:cs="Times New Roman"/>
      <w:sz w:val="21"/>
      <w:szCs w:val="21"/>
    </w:rPr>
  </w:style>
  <w:style w:type="paragraph" w:customStyle="1" w:styleId="259">
    <w:name w:val="Char Char Char Char Char1 Char Char Char Char Char Char Char Char Char Char"/>
    <w:basedOn w:val="1"/>
    <w:qFormat/>
    <w:uiPriority w:val="0"/>
    <w:pPr>
      <w:widowControl w:val="0"/>
      <w:adjustRightInd w:val="0"/>
      <w:spacing w:line="360" w:lineRule="auto"/>
      <w:jc w:val="both"/>
    </w:pPr>
    <w:rPr>
      <w:rFonts w:ascii="Times New Roman" w:hAnsi="Times New Roman" w:cs="Times New Roman"/>
      <w:szCs w:val="20"/>
    </w:rPr>
  </w:style>
  <w:style w:type="paragraph" w:customStyle="1" w:styleId="260">
    <w:name w:val="xl33"/>
    <w:basedOn w:val="1"/>
    <w:qFormat/>
    <w:uiPriority w:val="0"/>
    <w:pPr>
      <w:spacing w:before="100" w:beforeAutospacing="1" w:after="100" w:afterAutospacing="1"/>
      <w:jc w:val="center"/>
    </w:pPr>
    <w:rPr>
      <w:rFonts w:ascii="Arial Unicode MS" w:hAnsi="Arial Unicode MS" w:cs="Arial Unicode MS"/>
      <w:sz w:val="20"/>
      <w:szCs w:val="20"/>
    </w:rPr>
  </w:style>
  <w:style w:type="paragraph" w:customStyle="1" w:styleId="261">
    <w:name w:val="reader-word-layer reader-word-s1-12"/>
    <w:basedOn w:val="1"/>
    <w:qFormat/>
    <w:uiPriority w:val="0"/>
    <w:pPr>
      <w:spacing w:before="100" w:beforeAutospacing="1" w:after="100" w:afterAutospacing="1"/>
    </w:pPr>
  </w:style>
  <w:style w:type="paragraph" w:customStyle="1" w:styleId="262">
    <w:name w:val="正文1"/>
    <w:basedOn w:val="1"/>
    <w:qFormat/>
    <w:uiPriority w:val="0"/>
    <w:pPr>
      <w:widowControl w:val="0"/>
      <w:spacing w:line="360" w:lineRule="auto"/>
      <w:ind w:firstLine="200" w:firstLineChars="200"/>
      <w:jc w:val="both"/>
    </w:pPr>
    <w:rPr>
      <w:rFonts w:ascii="Times New Roman" w:hAnsi="Times New Roman" w:cs="Times New Roman"/>
      <w:spacing w:val="6"/>
      <w:kern w:val="2"/>
    </w:rPr>
  </w:style>
  <w:style w:type="paragraph" w:customStyle="1" w:styleId="263">
    <w:name w:val="表序号"/>
    <w:basedOn w:val="7"/>
    <w:qFormat/>
    <w:uiPriority w:val="0"/>
    <w:pPr>
      <w:tabs>
        <w:tab w:val="left" w:pos="1152"/>
      </w:tabs>
      <w:ind w:left="1152" w:hanging="1152"/>
      <w:jc w:val="center"/>
    </w:pPr>
    <w:rPr>
      <w:b/>
      <w:bCs/>
      <w:kern w:val="44"/>
    </w:rPr>
  </w:style>
  <w:style w:type="paragraph" w:customStyle="1" w:styleId="264">
    <w:name w:val="样式 标题 1 + (中文) 宋体 小三 行距: 多倍行距 1.35 字行"/>
    <w:basedOn w:val="3"/>
    <w:qFormat/>
    <w:uiPriority w:val="0"/>
    <w:pPr>
      <w:tabs>
        <w:tab w:val="left" w:pos="840"/>
      </w:tabs>
      <w:snapToGrid w:val="0"/>
      <w:spacing w:before="240" w:beforeLines="100" w:after="240" w:afterLines="100" w:line="240" w:lineRule="auto"/>
      <w:ind w:left="840" w:hanging="360"/>
    </w:pPr>
    <w:rPr>
      <w:rFonts w:ascii="黑体" w:hAnsi="宋体" w:eastAsia="黑体"/>
      <w:bCs/>
      <w:snapToGrid/>
      <w:kern w:val="44"/>
    </w:rPr>
  </w:style>
  <w:style w:type="paragraph" w:customStyle="1" w:styleId="265">
    <w:name w:val="修订1"/>
    <w:semiHidden/>
    <w:qFormat/>
    <w:uiPriority w:val="99"/>
    <w:rPr>
      <w:rFonts w:ascii="Times New Roman" w:hAnsi="Times New Roman" w:eastAsia="宋体" w:cs="Times New Roman"/>
      <w:snapToGrid w:val="0"/>
      <w:sz w:val="28"/>
      <w:lang w:val="en-US" w:eastAsia="zh-CN" w:bidi="ar-SA"/>
    </w:rPr>
  </w:style>
  <w:style w:type="paragraph" w:customStyle="1" w:styleId="266">
    <w:name w:val="样式4"/>
    <w:basedOn w:val="5"/>
    <w:qFormat/>
    <w:uiPriority w:val="0"/>
    <w:pPr>
      <w:keepNext w:val="0"/>
      <w:spacing w:before="120" w:beforeLines="50" w:after="120" w:afterLines="50"/>
    </w:pPr>
    <w:rPr>
      <w:rFonts w:ascii="仿宋_GB2312" w:eastAsia="仿宋_GB2312"/>
      <w:snapToGrid/>
      <w:szCs w:val="32"/>
    </w:rPr>
  </w:style>
  <w:style w:type="paragraph" w:customStyle="1" w:styleId="267">
    <w:name w:val="CM33"/>
    <w:basedOn w:val="144"/>
    <w:next w:val="144"/>
    <w:qFormat/>
    <w:uiPriority w:val="0"/>
    <w:pPr>
      <w:spacing w:line="583" w:lineRule="atLeast"/>
    </w:pPr>
    <w:rPr>
      <w:rFonts w:ascii="Sim Sun" w:eastAsia="Sim Sun"/>
      <w:color w:val="auto"/>
    </w:rPr>
  </w:style>
  <w:style w:type="paragraph" w:customStyle="1" w:styleId="268">
    <w:name w:val="红线"/>
    <w:basedOn w:val="3"/>
    <w:qFormat/>
    <w:uiPriority w:val="0"/>
    <w:pPr>
      <w:keepNext w:val="0"/>
      <w:keepLines w:val="0"/>
      <w:autoSpaceDE w:val="0"/>
      <w:autoSpaceDN w:val="0"/>
      <w:adjustRightInd w:val="0"/>
      <w:spacing w:before="0" w:beforeLines="0" w:after="851" w:afterLines="0" w:line="227" w:lineRule="atLeast"/>
      <w:ind w:right="-142"/>
      <w:jc w:val="center"/>
      <w:outlineLvl w:val="9"/>
    </w:pPr>
    <w:rPr>
      <w:rFonts w:ascii="宋体"/>
      <w:sz w:val="10"/>
      <w:szCs w:val="20"/>
    </w:rPr>
  </w:style>
  <w:style w:type="paragraph" w:customStyle="1" w:styleId="269">
    <w:name w:val="默认段落字体 Para Char"/>
    <w:basedOn w:val="1"/>
    <w:next w:val="1"/>
    <w:qFormat/>
    <w:uiPriority w:val="0"/>
    <w:pPr>
      <w:widowControl w:val="0"/>
      <w:spacing w:line="360" w:lineRule="auto"/>
      <w:ind w:firstLine="200" w:firstLineChars="200"/>
      <w:jc w:val="both"/>
    </w:pPr>
    <w:rPr>
      <w:kern w:val="2"/>
    </w:rPr>
  </w:style>
  <w:style w:type="paragraph" w:customStyle="1" w:styleId="270">
    <w:name w:val="reader-word-layer reader-word-s1-10"/>
    <w:basedOn w:val="1"/>
    <w:qFormat/>
    <w:uiPriority w:val="0"/>
    <w:pPr>
      <w:spacing w:before="100" w:beforeAutospacing="1" w:after="100" w:afterAutospacing="1"/>
    </w:pPr>
  </w:style>
  <w:style w:type="paragraph" w:customStyle="1" w:styleId="271">
    <w:name w:val="redtitle"/>
    <w:basedOn w:val="1"/>
    <w:qFormat/>
    <w:uiPriority w:val="0"/>
    <w:pPr>
      <w:spacing w:before="100" w:beforeAutospacing="1" w:after="100" w:afterAutospacing="1"/>
    </w:pPr>
    <w:rPr>
      <w:rFonts w:ascii="Times New Roman" w:hAnsi="Times New Roman" w:cs="Times New Roman"/>
      <w:color w:val="CF1018"/>
      <w:sz w:val="30"/>
      <w:szCs w:val="30"/>
    </w:rPr>
  </w:style>
  <w:style w:type="paragraph" w:customStyle="1" w:styleId="272">
    <w:name w:val="Char Char Char"/>
    <w:basedOn w:val="1"/>
    <w:qFormat/>
    <w:uiPriority w:val="0"/>
    <w:pPr>
      <w:widowControl w:val="0"/>
      <w:jc w:val="both"/>
    </w:pPr>
    <w:rPr>
      <w:rFonts w:ascii="Times New Roman" w:hAnsi="Times New Roman" w:cs="Times New Roman"/>
      <w:kern w:val="2"/>
    </w:rPr>
  </w:style>
  <w:style w:type="paragraph" w:customStyle="1" w:styleId="273">
    <w:name w:val="Body Text Indent1"/>
    <w:basedOn w:val="1"/>
    <w:qFormat/>
    <w:uiPriority w:val="0"/>
    <w:pPr>
      <w:widowControl w:val="0"/>
      <w:adjustRightInd w:val="0"/>
      <w:spacing w:after="120" w:line="360" w:lineRule="auto"/>
      <w:ind w:left="420" w:leftChars="200" w:firstLine="200" w:firstLineChars="200"/>
      <w:jc w:val="both"/>
      <w:textAlignment w:val="baseline"/>
    </w:pPr>
    <w:rPr>
      <w:rFonts w:ascii="Times New Roman" w:hAnsi="Times New Roman" w:cs="Times New Roman"/>
      <w:kern w:val="2"/>
    </w:rPr>
  </w:style>
  <w:style w:type="paragraph" w:customStyle="1" w:styleId="274">
    <w:name w:val="正文样式"/>
    <w:basedOn w:val="1"/>
    <w:qFormat/>
    <w:uiPriority w:val="0"/>
    <w:pPr>
      <w:widowControl w:val="0"/>
      <w:spacing w:line="460" w:lineRule="exact"/>
      <w:ind w:firstLine="200" w:firstLineChars="200"/>
      <w:jc w:val="both"/>
    </w:pPr>
    <w:rPr>
      <w:rFonts w:cs="Times New Roman"/>
      <w:kern w:val="2"/>
    </w:rPr>
  </w:style>
  <w:style w:type="paragraph" w:customStyle="1" w:styleId="275">
    <w:name w:val="Char2 Char Char Char Char Char Char Char Char Char Char Char Char Char Char Char Char Char Char Char Char Char Char Char Char Char Char Char Char Char Char Char Char Char Char Char"/>
    <w:basedOn w:val="1"/>
    <w:qFormat/>
    <w:uiPriority w:val="0"/>
    <w:pPr>
      <w:widowControl w:val="0"/>
      <w:tabs>
        <w:tab w:val="left" w:pos="360"/>
      </w:tabs>
      <w:snapToGrid w:val="0"/>
      <w:spacing w:line="360" w:lineRule="auto"/>
      <w:jc w:val="both"/>
    </w:pPr>
    <w:rPr>
      <w:rFonts w:ascii="Times New Roman" w:hAnsi="Times New Roman" w:eastAsia="仿宋_GB2312"/>
      <w:kern w:val="2"/>
    </w:rPr>
  </w:style>
  <w:style w:type="paragraph" w:styleId="276">
    <w:name w:val="List Paragraph"/>
    <w:basedOn w:val="1"/>
    <w:qFormat/>
    <w:uiPriority w:val="0"/>
    <w:pPr>
      <w:widowControl w:val="0"/>
      <w:spacing w:line="480" w:lineRule="auto"/>
      <w:ind w:firstLine="420" w:firstLineChars="200"/>
      <w:jc w:val="both"/>
    </w:pPr>
    <w:rPr>
      <w:rFonts w:ascii="Times New Roman" w:hAnsi="Times New Roman" w:cs="Times New Roman"/>
      <w:spacing w:val="-2"/>
      <w:kern w:val="2"/>
      <w:szCs w:val="20"/>
    </w:rPr>
  </w:style>
  <w:style w:type="paragraph" w:customStyle="1" w:styleId="277">
    <w:name w:val="char"/>
    <w:basedOn w:val="1"/>
    <w:qFormat/>
    <w:uiPriority w:val="0"/>
    <w:pPr>
      <w:spacing w:after="160" w:line="240" w:lineRule="exact"/>
    </w:pPr>
    <w:rPr>
      <w:rFonts w:ascii="Verdana" w:hAnsi="Verdana" w:eastAsia="仿宋_GB2312" w:cs="”“Times New Roman”“"/>
      <w:szCs w:val="20"/>
      <w:lang w:eastAsia="en-US"/>
    </w:rPr>
  </w:style>
  <w:style w:type="paragraph" w:customStyle="1" w:styleId="278">
    <w:name w:val="样式 标题 3 + (西文) Times New Roman (中文) 宋体 小四 加粗"/>
    <w:basedOn w:val="1"/>
    <w:qFormat/>
    <w:uiPriority w:val="0"/>
    <w:pPr>
      <w:widowControl w:val="0"/>
      <w:jc w:val="both"/>
    </w:pPr>
    <w:rPr>
      <w:rFonts w:ascii="Times New Roman" w:hAnsi="Times New Roman" w:cs="Times New Roman"/>
      <w:kern w:val="2"/>
      <w:sz w:val="21"/>
    </w:rPr>
  </w:style>
  <w:style w:type="paragraph" w:customStyle="1" w:styleId="279">
    <w:name w:val="列表标题"/>
    <w:basedOn w:val="1"/>
    <w:next w:val="1"/>
    <w:qFormat/>
    <w:uiPriority w:val="0"/>
    <w:pPr>
      <w:widowControl w:val="0"/>
      <w:jc w:val="center"/>
    </w:pPr>
    <w:rPr>
      <w:rFonts w:ascii="Times New Roman" w:hAnsi="Times New Roman" w:cs="Times New Roman"/>
      <w:kern w:val="2"/>
      <w:szCs w:val="20"/>
    </w:rPr>
  </w:style>
  <w:style w:type="paragraph" w:customStyle="1" w:styleId="280">
    <w:name w:val="Char Char Char Char Char Char Char Char Char Char Char Char Char"/>
    <w:basedOn w:val="1"/>
    <w:qFormat/>
    <w:uiPriority w:val="0"/>
    <w:pPr>
      <w:spacing w:after="160" w:line="240" w:lineRule="exact"/>
    </w:pPr>
    <w:rPr>
      <w:rFonts w:ascii="Times New Roman" w:hAnsi="Times New Roman" w:cs="Times New Roman"/>
      <w:kern w:val="2"/>
      <w:sz w:val="21"/>
    </w:rPr>
  </w:style>
  <w:style w:type="paragraph" w:customStyle="1" w:styleId="281">
    <w:name w:val="reader-word-layer reader-word-s1-11 reader-word-s1-14"/>
    <w:basedOn w:val="1"/>
    <w:qFormat/>
    <w:uiPriority w:val="0"/>
    <w:pPr>
      <w:spacing w:before="100" w:beforeAutospacing="1" w:after="100" w:afterAutospacing="1"/>
    </w:pPr>
  </w:style>
  <w:style w:type="paragraph" w:customStyle="1" w:styleId="282">
    <w:name w:val="xl27"/>
    <w:basedOn w:val="1"/>
    <w:qFormat/>
    <w:uiPriority w:val="0"/>
    <w:pPr>
      <w:pBdr>
        <w:bottom w:val="single" w:color="auto" w:sz="12" w:space="0"/>
      </w:pBdr>
      <w:spacing w:before="100" w:after="100"/>
      <w:jc w:val="center"/>
    </w:pPr>
    <w:rPr>
      <w:rFonts w:cs="Times New Roman"/>
      <w:sz w:val="21"/>
      <w:szCs w:val="20"/>
    </w:rPr>
  </w:style>
  <w:style w:type="paragraph" w:customStyle="1" w:styleId="283">
    <w:name w:val="Char"/>
    <w:basedOn w:val="1"/>
    <w:qFormat/>
    <w:uiPriority w:val="0"/>
    <w:pPr>
      <w:widowControl w:val="0"/>
      <w:jc w:val="both"/>
    </w:pPr>
    <w:rPr>
      <w:rFonts w:ascii="Times New Roman" w:hAnsi="Times New Roman" w:cs="Times New Roman"/>
      <w:kern w:val="2"/>
      <w:sz w:val="21"/>
    </w:rPr>
  </w:style>
  <w:style w:type="paragraph" w:customStyle="1" w:styleId="284">
    <w:name w:val="简单回函地址"/>
    <w:basedOn w:val="1"/>
    <w:qFormat/>
    <w:uiPriority w:val="0"/>
    <w:pPr>
      <w:widowControl w:val="0"/>
      <w:jc w:val="both"/>
    </w:pPr>
    <w:rPr>
      <w:rFonts w:ascii="Times New Roman" w:hAnsi="Times New Roman" w:cs="Times New Roman"/>
      <w:kern w:val="2"/>
      <w:sz w:val="21"/>
      <w:szCs w:val="20"/>
    </w:rPr>
  </w:style>
  <w:style w:type="paragraph" w:customStyle="1" w:styleId="285">
    <w:name w:val="文本正文"/>
    <w:basedOn w:val="1"/>
    <w:qFormat/>
    <w:uiPriority w:val="0"/>
    <w:pPr>
      <w:widowControl w:val="0"/>
      <w:tabs>
        <w:tab w:val="left" w:pos="560"/>
      </w:tabs>
      <w:adjustRightInd w:val="0"/>
      <w:snapToGrid w:val="0"/>
      <w:spacing w:line="500" w:lineRule="exact"/>
      <w:ind w:firstLine="480" w:firstLineChars="200"/>
      <w:jc w:val="both"/>
    </w:pPr>
    <w:rPr>
      <w:rFonts w:ascii="Times New Roman" w:hAnsi="Times New Roman" w:cs="Times New Roman"/>
      <w:color w:val="FF00FF"/>
      <w:kern w:val="2"/>
    </w:rPr>
  </w:style>
  <w:style w:type="paragraph" w:customStyle="1" w:styleId="286">
    <w:name w:val="表题"/>
    <w:next w:val="1"/>
    <w:qFormat/>
    <w:uiPriority w:val="0"/>
    <w:pPr>
      <w:keepNext/>
      <w:spacing w:line="480" w:lineRule="exact"/>
      <w:ind w:firstLine="560" w:firstLineChars="200"/>
      <w:jc w:val="both"/>
    </w:pPr>
    <w:rPr>
      <w:rFonts w:ascii="Times New Roman" w:hAnsi="Times New Roman" w:eastAsia="宋体" w:cs="Times New Roman"/>
      <w:sz w:val="28"/>
      <w:lang w:val="en-US" w:eastAsia="zh-CN" w:bidi="ar-SA"/>
    </w:rPr>
  </w:style>
  <w:style w:type="paragraph" w:customStyle="1" w:styleId="287">
    <w:name w:val="样式 标题 1 + 段前: 1 行 段后: 1.5 行"/>
    <w:basedOn w:val="3"/>
    <w:qFormat/>
    <w:uiPriority w:val="0"/>
    <w:pPr>
      <w:numPr>
        <w:ilvl w:val="0"/>
        <w:numId w:val="6"/>
      </w:numPr>
      <w:adjustRightInd w:val="0"/>
      <w:snapToGrid w:val="0"/>
      <w:spacing w:before="340" w:beforeLines="50" w:after="330" w:afterLines="150" w:line="300" w:lineRule="auto"/>
    </w:pPr>
    <w:rPr>
      <w:rFonts w:ascii="仿宋_GB2312" w:eastAsia="仿宋_GB2312" w:cs="宋体"/>
      <w:bCs/>
      <w:snapToGrid/>
      <w:kern w:val="44"/>
    </w:rPr>
  </w:style>
  <w:style w:type="paragraph" w:customStyle="1" w:styleId="288">
    <w:name w:val="样式 页眉页眉1页眉2 + 小四 加粗 底端: (无框线) 行距: 固定值 17 磅"/>
    <w:basedOn w:val="34"/>
    <w:qFormat/>
    <w:uiPriority w:val="0"/>
    <w:pPr>
      <w:pBdr>
        <w:bottom w:val="none" w:color="auto" w:sz="0" w:space="0"/>
      </w:pBdr>
      <w:spacing w:line="340" w:lineRule="exact"/>
      <w:ind w:left="-176" w:leftChars="-63" w:right="-202" w:rightChars="-72"/>
    </w:pPr>
    <w:rPr>
      <w:rFonts w:cs="宋体"/>
      <w:b/>
      <w:bCs/>
      <w:spacing w:val="-4"/>
      <w:sz w:val="24"/>
    </w:rPr>
  </w:style>
  <w:style w:type="paragraph" w:customStyle="1" w:styleId="289">
    <w:name w:val="reader-word-layer reader-word-s1-6"/>
    <w:basedOn w:val="1"/>
    <w:qFormat/>
    <w:uiPriority w:val="0"/>
    <w:pPr>
      <w:spacing w:before="100" w:beforeAutospacing="1" w:after="100" w:afterAutospacing="1"/>
    </w:pPr>
  </w:style>
  <w:style w:type="paragraph" w:customStyle="1" w:styleId="290">
    <w:name w:val="reader-word-layer reader-word-s1-14"/>
    <w:basedOn w:val="1"/>
    <w:qFormat/>
    <w:uiPriority w:val="0"/>
    <w:pPr>
      <w:spacing w:before="100" w:beforeAutospacing="1" w:after="100" w:afterAutospacing="1"/>
    </w:pPr>
  </w:style>
  <w:style w:type="paragraph" w:customStyle="1" w:styleId="291">
    <w:name w:val="样式 列表 + 左侧:  0 厘米 悬挂缩进: 5.85 字符"/>
    <w:basedOn w:val="39"/>
    <w:qFormat/>
    <w:uiPriority w:val="0"/>
    <w:pPr>
      <w:ind w:left="0" w:firstLine="0" w:firstLineChars="0"/>
      <w:jc w:val="center"/>
    </w:pPr>
    <w:rPr>
      <w:snapToGrid/>
      <w:color w:val="FF0000"/>
      <w:kern w:val="2"/>
      <w:sz w:val="21"/>
      <w:szCs w:val="21"/>
      <w:lang w:val="zh-CN"/>
    </w:rPr>
  </w:style>
  <w:style w:type="paragraph" w:customStyle="1" w:styleId="292">
    <w:name w:val="样式 标题 3 + 首行缩进:  2 字符"/>
    <w:basedOn w:val="5"/>
    <w:qFormat/>
    <w:uiPriority w:val="0"/>
    <w:pPr>
      <w:spacing w:before="30" w:after="30"/>
    </w:pPr>
    <w:rPr>
      <w:rFonts w:cs="宋体"/>
      <w:bCs/>
      <w:snapToGrid/>
      <w:color w:val="FF00FF"/>
      <w:kern w:val="2"/>
      <w:sz w:val="30"/>
      <w:szCs w:val="20"/>
    </w:rPr>
  </w:style>
  <w:style w:type="paragraph" w:customStyle="1" w:styleId="293">
    <w:name w:val="CM101"/>
    <w:basedOn w:val="144"/>
    <w:next w:val="144"/>
    <w:qFormat/>
    <w:uiPriority w:val="0"/>
    <w:pPr>
      <w:spacing w:after="295"/>
    </w:pPr>
    <w:rPr>
      <w:rFonts w:ascii="Sim Sun" w:eastAsia="Sim Sun"/>
      <w:color w:val="auto"/>
    </w:rPr>
  </w:style>
  <w:style w:type="paragraph" w:customStyle="1" w:styleId="294">
    <w:name w:val="表体"/>
    <w:basedOn w:val="1"/>
    <w:qFormat/>
    <w:uiPriority w:val="0"/>
    <w:pPr>
      <w:widowControl w:val="0"/>
      <w:adjustRightInd w:val="0"/>
      <w:snapToGrid w:val="0"/>
      <w:ind w:left="90" w:hanging="90"/>
      <w:jc w:val="center"/>
    </w:pPr>
    <w:rPr>
      <w:kern w:val="2"/>
      <w:sz w:val="21"/>
      <w:szCs w:val="21"/>
    </w:rPr>
  </w:style>
  <w:style w:type="paragraph" w:customStyle="1" w:styleId="295">
    <w:name w:val="style5"/>
    <w:basedOn w:val="1"/>
    <w:qFormat/>
    <w:uiPriority w:val="0"/>
    <w:pPr>
      <w:spacing w:before="100" w:beforeAutospacing="1" w:after="100" w:afterAutospacing="1"/>
    </w:pPr>
    <w:rPr>
      <w:rFonts w:cs="Times New Roman"/>
      <w:sz w:val="18"/>
      <w:szCs w:val="18"/>
    </w:rPr>
  </w:style>
  <w:style w:type="paragraph" w:customStyle="1" w:styleId="296">
    <w:name w:val="样式 样式 标题 2节 + (西文) Times New Roman (中文) 宋体 四号 段前: 0.5 行 段后: 0......"/>
    <w:basedOn w:val="1"/>
    <w:qFormat/>
    <w:uiPriority w:val="0"/>
    <w:pPr>
      <w:keepNext/>
      <w:keepLines/>
      <w:widowControl w:val="0"/>
      <w:tabs>
        <w:tab w:val="left" w:pos="1320"/>
      </w:tabs>
      <w:adjustRightInd w:val="0"/>
      <w:snapToGrid w:val="0"/>
      <w:spacing w:before="192" w:beforeLines="80" w:after="192" w:afterLines="80"/>
      <w:ind w:left="1320" w:hanging="420"/>
      <w:jc w:val="both"/>
      <w:outlineLvl w:val="1"/>
    </w:pPr>
    <w:rPr>
      <w:rFonts w:ascii="黑体" w:eastAsia="黑体" w:cs="Times New Roman"/>
      <w:bCs/>
      <w:color w:val="000000"/>
      <w:kern w:val="2"/>
      <w:sz w:val="30"/>
      <w:szCs w:val="30"/>
    </w:rPr>
  </w:style>
  <w:style w:type="paragraph" w:customStyle="1" w:styleId="297">
    <w:name w:val="5"/>
    <w:basedOn w:val="1"/>
    <w:next w:val="27"/>
    <w:qFormat/>
    <w:uiPriority w:val="0"/>
    <w:pPr>
      <w:widowControl w:val="0"/>
      <w:jc w:val="both"/>
    </w:pPr>
    <w:rPr>
      <w:rFonts w:hAnsi="Courier New" w:cs="Times New Roman"/>
      <w:kern w:val="2"/>
      <w:sz w:val="21"/>
      <w:szCs w:val="20"/>
    </w:rPr>
  </w:style>
  <w:style w:type="paragraph" w:customStyle="1" w:styleId="298">
    <w:name w:val="列表段落1"/>
    <w:basedOn w:val="1"/>
    <w:qFormat/>
    <w:uiPriority w:val="0"/>
    <w:pPr>
      <w:widowControl w:val="0"/>
      <w:ind w:firstLine="420" w:firstLineChars="200"/>
      <w:jc w:val="both"/>
    </w:pPr>
    <w:rPr>
      <w:rFonts w:ascii="Calibri" w:hAnsi="Calibri" w:cs="Times New Roman"/>
      <w:kern w:val="2"/>
      <w:sz w:val="21"/>
      <w:szCs w:val="22"/>
    </w:rPr>
  </w:style>
  <w:style w:type="paragraph" w:customStyle="1" w:styleId="299">
    <w:name w:val="正文 宋体 小四 行距: 1.5 倍行距"/>
    <w:basedOn w:val="1"/>
    <w:qFormat/>
    <w:uiPriority w:val="0"/>
    <w:pPr>
      <w:widowControl w:val="0"/>
      <w:spacing w:line="360" w:lineRule="auto"/>
      <w:ind w:firstLine="480" w:firstLineChars="200"/>
      <w:jc w:val="both"/>
    </w:pPr>
    <w:rPr>
      <w:rFonts w:hAnsi="Times New Roman" w:cs="Times New Roman"/>
      <w:kern w:val="44"/>
      <w:szCs w:val="20"/>
    </w:rPr>
  </w:style>
  <w:style w:type="paragraph" w:customStyle="1" w:styleId="300">
    <w:name w:val="CM19"/>
    <w:basedOn w:val="144"/>
    <w:next w:val="144"/>
    <w:qFormat/>
    <w:uiPriority w:val="0"/>
    <w:pPr>
      <w:spacing w:after="298"/>
    </w:pPr>
    <w:rPr>
      <w:rFonts w:ascii="DF Hei" w:eastAsia="DF Hei"/>
      <w:color w:val="auto"/>
    </w:rPr>
  </w:style>
  <w:style w:type="paragraph" w:customStyle="1" w:styleId="301">
    <w:name w:val="TOC 标题1"/>
    <w:basedOn w:val="3"/>
    <w:next w:val="1"/>
    <w:qFormat/>
    <w:uiPriority w:val="39"/>
    <w:pPr>
      <w:widowControl/>
      <w:spacing w:before="480" w:beforeLines="0" w:after="0" w:afterLines="0" w:line="276" w:lineRule="auto"/>
      <w:jc w:val="left"/>
      <w:outlineLvl w:val="9"/>
    </w:pPr>
    <w:rPr>
      <w:rFonts w:ascii="Cambria" w:hAnsi="Cambria"/>
      <w:bCs/>
      <w:snapToGrid/>
      <w:color w:val="365F91"/>
      <w:sz w:val="28"/>
      <w:szCs w:val="28"/>
    </w:rPr>
  </w:style>
  <w:style w:type="paragraph" w:customStyle="1" w:styleId="302">
    <w:name w:val="Char4 Char Char Char"/>
    <w:basedOn w:val="1"/>
    <w:qFormat/>
    <w:uiPriority w:val="0"/>
    <w:pPr>
      <w:widowControl w:val="0"/>
      <w:spacing w:line="240" w:lineRule="exact"/>
      <w:ind w:firstLine="200" w:firstLineChars="200"/>
      <w:jc w:val="both"/>
    </w:pPr>
    <w:rPr>
      <w:rFonts w:ascii="Times New Roman" w:hAnsi="Times New Roman" w:cs="Times New Roman"/>
      <w:kern w:val="2"/>
      <w:sz w:val="21"/>
      <w:szCs w:val="20"/>
    </w:rPr>
  </w:style>
  <w:style w:type="paragraph" w:customStyle="1" w:styleId="303">
    <w:name w:val="表格1"/>
    <w:basedOn w:val="1"/>
    <w:qFormat/>
    <w:uiPriority w:val="0"/>
    <w:pPr>
      <w:widowControl w:val="0"/>
      <w:adjustRightInd w:val="0"/>
      <w:spacing w:line="400" w:lineRule="atLeast"/>
      <w:jc w:val="center"/>
    </w:pPr>
    <w:rPr>
      <w:rFonts w:ascii="Times New Roman" w:hAnsi="Times New Roman" w:cs="Times New Roman"/>
    </w:rPr>
  </w:style>
  <w:style w:type="paragraph" w:customStyle="1" w:styleId="304">
    <w:name w:val="Char1 Char Char Char Char Char Char Char Char Char Char Char Char Char Char Char Char Char Char Char"/>
    <w:basedOn w:val="1"/>
    <w:qFormat/>
    <w:uiPriority w:val="0"/>
    <w:pPr>
      <w:widowControl w:val="0"/>
      <w:jc w:val="both"/>
    </w:pPr>
    <w:rPr>
      <w:rFonts w:ascii="Times New Roman" w:hAnsi="Times New Roman" w:cs="Times New Roman"/>
      <w:kern w:val="2"/>
    </w:rPr>
  </w:style>
  <w:style w:type="paragraph" w:customStyle="1" w:styleId="305">
    <w:name w:val="reader-word-layer reader-word-s1-3"/>
    <w:basedOn w:val="1"/>
    <w:qFormat/>
    <w:uiPriority w:val="0"/>
    <w:pPr>
      <w:spacing w:before="100" w:beforeAutospacing="1" w:after="100" w:afterAutospacing="1"/>
    </w:pPr>
  </w:style>
  <w:style w:type="paragraph" w:customStyle="1" w:styleId="306">
    <w:name w:val="Char1 Char Char Char Char Char 字元 字元"/>
    <w:basedOn w:val="1"/>
    <w:qFormat/>
    <w:uiPriority w:val="0"/>
    <w:pPr>
      <w:widowControl w:val="0"/>
      <w:jc w:val="both"/>
    </w:pPr>
    <w:rPr>
      <w:rFonts w:ascii="Times New Roman" w:hAnsi="Times New Roman" w:cs="Times New Roman"/>
      <w:kern w:val="2"/>
      <w:sz w:val="21"/>
      <w:szCs w:val="21"/>
    </w:rPr>
  </w:style>
  <w:style w:type="paragraph" w:customStyle="1" w:styleId="307">
    <w:name w:val="样式 标题 4 + (西文) Times New Roman (中文) 宋体 小四"/>
    <w:basedOn w:val="6"/>
    <w:qFormat/>
    <w:uiPriority w:val="0"/>
    <w:pPr>
      <w:tabs>
        <w:tab w:val="left" w:pos="1247"/>
      </w:tabs>
      <w:snapToGrid w:val="0"/>
      <w:spacing w:before="78" w:beforeLines="25" w:after="78" w:afterLines="25" w:line="360" w:lineRule="auto"/>
      <w:ind w:left="964" w:hanging="964"/>
    </w:pPr>
    <w:rPr>
      <w:rFonts w:ascii="幼圆" w:hAnsi="Times New Roman" w:eastAsia="幼圆"/>
      <w:b w:val="0"/>
      <w:bCs w:val="0"/>
      <w:snapToGrid/>
      <w:color w:val="0000FF"/>
      <w:kern w:val="2"/>
      <w:sz w:val="24"/>
      <w:szCs w:val="24"/>
    </w:rPr>
  </w:style>
  <w:style w:type="paragraph" w:customStyle="1" w:styleId="308">
    <w:name w:val="reader-word-layer reader-word-s1-2"/>
    <w:basedOn w:val="1"/>
    <w:qFormat/>
    <w:uiPriority w:val="0"/>
    <w:pPr>
      <w:spacing w:before="100" w:beforeAutospacing="1" w:after="100" w:afterAutospacing="1"/>
    </w:pPr>
  </w:style>
  <w:style w:type="paragraph" w:customStyle="1" w:styleId="309">
    <w:name w:val="标题1 Char Char Char"/>
    <w:basedOn w:val="1"/>
    <w:next w:val="1"/>
    <w:qFormat/>
    <w:uiPriority w:val="0"/>
    <w:pPr>
      <w:widowControl w:val="0"/>
      <w:spacing w:before="156" w:beforeLines="50" w:after="156" w:afterLines="50"/>
      <w:jc w:val="center"/>
    </w:pPr>
    <w:rPr>
      <w:rFonts w:ascii="Times New Roman" w:hAnsi="Times New Roman" w:cs="Times New Roman"/>
      <w:kern w:val="2"/>
      <w:sz w:val="21"/>
    </w:rPr>
  </w:style>
  <w:style w:type="paragraph" w:customStyle="1" w:styleId="310">
    <w:name w:val="Char4 Char Char Char Char Char1 Char Char Char Char Char Char Char Char Char Char Char Char Char"/>
    <w:basedOn w:val="1"/>
    <w:qFormat/>
    <w:uiPriority w:val="0"/>
    <w:pPr>
      <w:widowControl w:val="0"/>
      <w:spacing w:line="240" w:lineRule="exact"/>
      <w:ind w:firstLine="200" w:firstLineChars="200"/>
      <w:jc w:val="both"/>
    </w:pPr>
    <w:rPr>
      <w:rFonts w:ascii="Times New Roman" w:hAnsi="Times New Roman" w:cs="Times New Roman"/>
      <w:kern w:val="2"/>
      <w:sz w:val="21"/>
      <w:szCs w:val="20"/>
    </w:rPr>
  </w:style>
  <w:style w:type="paragraph" w:customStyle="1" w:styleId="311">
    <w:name w:val="p0"/>
    <w:basedOn w:val="1"/>
    <w:qFormat/>
    <w:uiPriority w:val="0"/>
    <w:pPr>
      <w:jc w:val="both"/>
    </w:pPr>
    <w:rPr>
      <w:rFonts w:ascii="Times New Roman" w:hAnsi="Times New Roman" w:cs="Times New Roman"/>
      <w:sz w:val="21"/>
      <w:szCs w:val="21"/>
    </w:rPr>
  </w:style>
  <w:style w:type="paragraph" w:customStyle="1" w:styleId="312">
    <w:name w:val="CM63"/>
    <w:basedOn w:val="144"/>
    <w:next w:val="144"/>
    <w:qFormat/>
    <w:uiPriority w:val="0"/>
    <w:pPr>
      <w:spacing w:line="580" w:lineRule="atLeast"/>
    </w:pPr>
    <w:rPr>
      <w:rFonts w:ascii="Sim Sun" w:eastAsia="Sim Sun"/>
      <w:color w:val="auto"/>
    </w:rPr>
  </w:style>
  <w:style w:type="paragraph" w:customStyle="1" w:styleId="313">
    <w:name w:val="表格文字2"/>
    <w:basedOn w:val="1"/>
    <w:qFormat/>
    <w:uiPriority w:val="0"/>
    <w:pPr>
      <w:widowControl w:val="0"/>
      <w:tabs>
        <w:tab w:val="left" w:pos="277"/>
        <w:tab w:val="left" w:pos="600"/>
        <w:tab w:val="left" w:pos="780"/>
        <w:tab w:val="left" w:pos="2517"/>
      </w:tabs>
      <w:adjustRightInd w:val="0"/>
      <w:spacing w:before="60"/>
      <w:jc w:val="center"/>
    </w:pPr>
    <w:rPr>
      <w:rFonts w:ascii="Times New Roman" w:hAnsi="Times New Roman" w:cs="Times New Roman"/>
      <w:sz w:val="21"/>
      <w:szCs w:val="21"/>
    </w:rPr>
  </w:style>
  <w:style w:type="paragraph" w:customStyle="1" w:styleId="314">
    <w:name w:val="font6"/>
    <w:basedOn w:val="1"/>
    <w:qFormat/>
    <w:uiPriority w:val="0"/>
    <w:pPr>
      <w:spacing w:before="100" w:beforeAutospacing="1" w:after="100" w:afterAutospacing="1"/>
    </w:pPr>
    <w:rPr>
      <w:rFonts w:ascii="Times New Roman" w:hAnsi="Times New Roman" w:cs="Times New Roman"/>
    </w:rPr>
  </w:style>
  <w:style w:type="paragraph" w:customStyle="1" w:styleId="315">
    <w:name w:val="CM20"/>
    <w:basedOn w:val="144"/>
    <w:next w:val="144"/>
    <w:qFormat/>
    <w:uiPriority w:val="0"/>
    <w:pPr>
      <w:spacing w:line="548" w:lineRule="atLeast"/>
    </w:pPr>
    <w:rPr>
      <w:rFonts w:ascii="Sim Sun" w:eastAsia="Sim Sun"/>
      <w:color w:val="auto"/>
    </w:rPr>
  </w:style>
  <w:style w:type="paragraph" w:customStyle="1" w:styleId="316">
    <w:name w:val="表文字"/>
    <w:basedOn w:val="1"/>
    <w:qFormat/>
    <w:uiPriority w:val="0"/>
    <w:pPr>
      <w:widowControl w:val="0"/>
      <w:tabs>
        <w:tab w:val="left" w:pos="945"/>
        <w:tab w:val="right" w:leader="dot" w:pos="1155"/>
        <w:tab w:val="left" w:pos="8715"/>
      </w:tabs>
      <w:adjustRightInd w:val="0"/>
      <w:snapToGrid w:val="0"/>
      <w:spacing w:before="51" w:beforeLines="15" w:after="51" w:afterLines="15" w:line="360" w:lineRule="auto"/>
      <w:jc w:val="center"/>
      <w:textAlignment w:val="baseline"/>
    </w:pPr>
    <w:rPr>
      <w:rFonts w:cs="Times New Roman"/>
      <w:snapToGrid w:val="0"/>
      <w:color w:val="000000"/>
      <w:sz w:val="21"/>
      <w:szCs w:val="9"/>
    </w:rPr>
  </w:style>
  <w:style w:type="paragraph" w:customStyle="1" w:styleId="317">
    <w:name w:val="w正文"/>
    <w:basedOn w:val="1"/>
    <w:qFormat/>
    <w:uiPriority w:val="0"/>
    <w:pPr>
      <w:widowControl w:val="0"/>
      <w:spacing w:line="360" w:lineRule="auto"/>
      <w:ind w:firstLine="480" w:firstLineChars="200"/>
      <w:jc w:val="both"/>
    </w:pPr>
    <w:rPr>
      <w:rFonts w:ascii="Times New Roman" w:hAnsi="Times New Roman" w:cs="Times New Roman"/>
      <w:snapToGrid w:val="0"/>
      <w:color w:val="000000"/>
      <w:kern w:val="2"/>
      <w:szCs w:val="30"/>
    </w:rPr>
  </w:style>
  <w:style w:type="paragraph" w:customStyle="1" w:styleId="318">
    <w:name w:val="Char Char1 Char Char Char Char Char Char Char Char Char Char Char Char Char Char Char Char Char Char Char Char1 Char"/>
    <w:basedOn w:val="1"/>
    <w:qFormat/>
    <w:uiPriority w:val="0"/>
    <w:pPr>
      <w:widowControl w:val="0"/>
      <w:spacing w:line="360" w:lineRule="auto"/>
      <w:ind w:firstLine="200" w:firstLineChars="200"/>
      <w:jc w:val="both"/>
    </w:pPr>
    <w:rPr>
      <w:kern w:val="2"/>
    </w:rPr>
  </w:style>
  <w:style w:type="paragraph" w:customStyle="1" w:styleId="319">
    <w:name w:val="文字"/>
    <w:basedOn w:val="1"/>
    <w:qFormat/>
    <w:uiPriority w:val="0"/>
    <w:pPr>
      <w:spacing w:after="120" w:afterLines="50" w:line="360" w:lineRule="auto"/>
      <w:ind w:firstLine="420"/>
      <w:jc w:val="both"/>
    </w:pPr>
    <w:rPr>
      <w:rFonts w:ascii="Times New Roman" w:hAnsi="Times New Roman" w:cs="Times New Roman"/>
    </w:rPr>
  </w:style>
  <w:style w:type="paragraph" w:styleId="320">
    <w:name w:val="No Spacing"/>
    <w:qFormat/>
    <w:uiPriority w:val="0"/>
    <w:pPr>
      <w:widowControl w:val="0"/>
      <w:spacing w:line="420" w:lineRule="exact"/>
      <w:jc w:val="both"/>
    </w:pPr>
    <w:rPr>
      <w:rFonts w:ascii="Times New Roman" w:hAnsi="Times New Roman" w:eastAsia="宋体" w:cs="Times New Roman"/>
      <w:kern w:val="2"/>
      <w:sz w:val="21"/>
      <w:szCs w:val="24"/>
      <w:lang w:val="en-US" w:eastAsia="zh-CN" w:bidi="ar-SA"/>
    </w:rPr>
  </w:style>
  <w:style w:type="paragraph" w:customStyle="1" w:styleId="321">
    <w:name w:val="无间隔1"/>
    <w:qFormat/>
    <w:uiPriority w:val="0"/>
    <w:pPr>
      <w:widowControl w:val="0"/>
      <w:spacing w:line="420" w:lineRule="exact"/>
      <w:jc w:val="both"/>
    </w:pPr>
    <w:rPr>
      <w:rFonts w:ascii="Times New Roman" w:hAnsi="Times New Roman" w:eastAsia="宋体" w:cs="Times New Roman"/>
      <w:kern w:val="2"/>
      <w:sz w:val="21"/>
      <w:szCs w:val="24"/>
      <w:lang w:val="en-US" w:eastAsia="zh-CN" w:bidi="ar-SA"/>
    </w:rPr>
  </w:style>
  <w:style w:type="paragraph" w:customStyle="1" w:styleId="322">
    <w:name w:val="环正文"/>
    <w:basedOn w:val="1"/>
    <w:qFormat/>
    <w:uiPriority w:val="0"/>
    <w:pPr>
      <w:suppressAutoHyphens/>
      <w:adjustRightInd w:val="0"/>
      <w:spacing w:line="240" w:lineRule="atLeast"/>
      <w:ind w:firstLine="512" w:firstLineChars="187"/>
      <w:jc w:val="both"/>
      <w:textAlignment w:val="baseline"/>
    </w:pPr>
    <w:rPr>
      <w:rFonts w:cs="Times New Roman"/>
      <w:szCs w:val="20"/>
    </w:rPr>
  </w:style>
  <w:style w:type="paragraph" w:customStyle="1" w:styleId="323">
    <w:name w:val="reader-word-layer reader-word-s1-1"/>
    <w:basedOn w:val="1"/>
    <w:qFormat/>
    <w:uiPriority w:val="0"/>
    <w:pPr>
      <w:spacing w:before="100" w:beforeAutospacing="1" w:after="100" w:afterAutospacing="1"/>
    </w:pPr>
  </w:style>
  <w:style w:type="paragraph" w:customStyle="1" w:styleId="324">
    <w:name w:val="引言"/>
    <w:basedOn w:val="1"/>
    <w:next w:val="1"/>
    <w:qFormat/>
    <w:uiPriority w:val="0"/>
    <w:pPr>
      <w:widowControl w:val="0"/>
      <w:snapToGrid w:val="0"/>
      <w:jc w:val="center"/>
    </w:pPr>
    <w:rPr>
      <w:rFonts w:ascii="??_GB2312" w:hAnsi="Times New Roman" w:eastAsia="Times New Roman" w:cs="??_GB2312"/>
      <w:color w:val="000000"/>
      <w:kern w:val="2"/>
    </w:rPr>
  </w:style>
  <w:style w:type="paragraph" w:customStyle="1" w:styleId="325">
    <w:name w:val="xl42"/>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cs="Times New Roman"/>
      <w:color w:val="000000"/>
      <w:sz w:val="21"/>
      <w:szCs w:val="21"/>
    </w:rPr>
  </w:style>
  <w:style w:type="paragraph" w:customStyle="1" w:styleId="326">
    <w:name w:val="Char Char Char2 Char Char Char Char Char Char Char Char Char Char Char Char Char Char Char Char Char Char"/>
    <w:basedOn w:val="1"/>
    <w:qFormat/>
    <w:uiPriority w:val="0"/>
    <w:pPr>
      <w:widowControl w:val="0"/>
      <w:autoSpaceDE w:val="0"/>
      <w:autoSpaceDN w:val="0"/>
      <w:adjustRightInd w:val="0"/>
      <w:snapToGrid w:val="0"/>
      <w:spacing w:line="400" w:lineRule="atLeast"/>
      <w:textAlignment w:val="baseline"/>
    </w:pPr>
    <w:rPr>
      <w:rFonts w:ascii="黑体" w:hAnsi="黑体" w:eastAsia="黑体" w:cs="Times New Roman"/>
      <w:b/>
      <w:spacing w:val="10"/>
      <w:sz w:val="28"/>
      <w:szCs w:val="20"/>
    </w:rPr>
  </w:style>
  <w:style w:type="paragraph" w:customStyle="1" w:styleId="327">
    <w:name w:val="小四表文左齐"/>
    <w:basedOn w:val="1"/>
    <w:qFormat/>
    <w:uiPriority w:val="0"/>
    <w:pPr>
      <w:widowControl w:val="0"/>
      <w:jc w:val="both"/>
    </w:pPr>
    <w:rPr>
      <w:rFonts w:cs="Times New Roman"/>
      <w:kern w:val="2"/>
    </w:rPr>
  </w:style>
  <w:style w:type="paragraph" w:customStyle="1" w:styleId="328">
    <w:name w:val="reader-word-layer reader-word-s1-9 reader-word-s1-10"/>
    <w:basedOn w:val="1"/>
    <w:qFormat/>
    <w:uiPriority w:val="0"/>
    <w:pPr>
      <w:spacing w:before="100" w:beforeAutospacing="1" w:after="100" w:afterAutospacing="1"/>
    </w:pPr>
  </w:style>
  <w:style w:type="paragraph" w:customStyle="1" w:styleId="329">
    <w:name w:val="Char2"/>
    <w:basedOn w:val="1"/>
    <w:qFormat/>
    <w:uiPriority w:val="0"/>
    <w:pPr>
      <w:widowControl w:val="0"/>
      <w:jc w:val="both"/>
    </w:pPr>
    <w:rPr>
      <w:rFonts w:ascii="Times New Roman" w:hAnsi="Times New Roman" w:cs="Times New Roman"/>
      <w:kern w:val="2"/>
    </w:rPr>
  </w:style>
  <w:style w:type="paragraph" w:customStyle="1" w:styleId="330">
    <w:name w:val="样式 标题 3标题 3 Char标题 3 Char Char Char Char Char Char Char Char C...4"/>
    <w:basedOn w:val="5"/>
    <w:qFormat/>
    <w:uiPriority w:val="0"/>
    <w:pPr>
      <w:tabs>
        <w:tab w:val="left" w:pos="4860"/>
      </w:tabs>
      <w:spacing w:line="360" w:lineRule="auto"/>
    </w:pPr>
    <w:rPr>
      <w:rFonts w:ascii="宋体" w:hAnsi="宋体"/>
      <w:b w:val="0"/>
      <w:snapToGrid/>
      <w:color w:val="FF00FF"/>
      <w:kern w:val="2"/>
      <w:sz w:val="24"/>
      <w:szCs w:val="32"/>
    </w:rPr>
  </w:style>
  <w:style w:type="paragraph" w:customStyle="1" w:styleId="331">
    <w:name w:val="reader-word-layer reader-word-s1-13"/>
    <w:basedOn w:val="1"/>
    <w:qFormat/>
    <w:uiPriority w:val="0"/>
    <w:pPr>
      <w:spacing w:before="100" w:beforeAutospacing="1" w:after="100" w:afterAutospacing="1"/>
    </w:pPr>
  </w:style>
  <w:style w:type="paragraph" w:customStyle="1" w:styleId="332">
    <w:name w:val="样式 标题 2 + 首行缩进:  2 字符"/>
    <w:basedOn w:val="4"/>
    <w:qFormat/>
    <w:uiPriority w:val="0"/>
    <w:pPr>
      <w:spacing w:before="40" w:beforeLines="0" w:after="40" w:afterLines="0" w:line="520" w:lineRule="exact"/>
    </w:pPr>
    <w:rPr>
      <w:rFonts w:ascii="Arial" w:hAnsi="Arial" w:eastAsia="黑体" w:cs="宋体"/>
      <w:snapToGrid/>
      <w:color w:val="FF00FF"/>
      <w:kern w:val="2"/>
      <w:sz w:val="32"/>
    </w:rPr>
  </w:style>
  <w:style w:type="paragraph" w:customStyle="1" w:styleId="333">
    <w:name w:val="表头文字"/>
    <w:basedOn w:val="1"/>
    <w:qFormat/>
    <w:uiPriority w:val="0"/>
    <w:pPr>
      <w:widowControl w:val="0"/>
      <w:topLinePunct/>
      <w:spacing w:before="60" w:after="60"/>
      <w:jc w:val="center"/>
    </w:pPr>
    <w:rPr>
      <w:rFonts w:ascii="Times New Roman" w:hAnsi="Times New Roman" w:cs="Times New Roman"/>
      <w:kern w:val="2"/>
      <w:sz w:val="21"/>
      <w:szCs w:val="20"/>
    </w:rPr>
  </w:style>
  <w:style w:type="paragraph" w:customStyle="1" w:styleId="334">
    <w:name w:val="CM3"/>
    <w:basedOn w:val="144"/>
    <w:next w:val="144"/>
    <w:qFormat/>
    <w:uiPriority w:val="0"/>
    <w:pPr>
      <w:spacing w:line="400" w:lineRule="atLeast"/>
    </w:pPr>
    <w:rPr>
      <w:rFonts w:ascii="DF Hei" w:eastAsia="DF Hei"/>
      <w:color w:val="auto"/>
    </w:rPr>
  </w:style>
  <w:style w:type="paragraph" w:customStyle="1" w:styleId="335">
    <w:name w:val="晓丹"/>
    <w:basedOn w:val="53"/>
    <w:qFormat/>
    <w:uiPriority w:val="0"/>
    <w:pPr>
      <w:adjustRightInd w:val="0"/>
      <w:snapToGrid w:val="0"/>
      <w:spacing w:after="0" w:line="360" w:lineRule="auto"/>
      <w:ind w:firstLine="200" w:firstLineChars="200"/>
      <w:textAlignment w:val="baseline"/>
    </w:pPr>
    <w:rPr>
      <w:rFonts w:ascii="宋体" w:hAnsi="宋体"/>
      <w:snapToGrid/>
      <w:color w:val="000000"/>
      <w:spacing w:val="6"/>
      <w:sz w:val="24"/>
      <w:szCs w:val="24"/>
    </w:rPr>
  </w:style>
  <w:style w:type="paragraph" w:customStyle="1" w:styleId="336">
    <w:name w:val="content"/>
    <w:basedOn w:val="1"/>
    <w:qFormat/>
    <w:uiPriority w:val="0"/>
    <w:pPr>
      <w:spacing w:before="100" w:beforeAutospacing="1" w:after="100" w:afterAutospacing="1"/>
    </w:pPr>
  </w:style>
  <w:style w:type="paragraph" w:customStyle="1" w:styleId="337">
    <w:name w:val="正文格式42"/>
    <w:basedOn w:val="1"/>
    <w:qFormat/>
    <w:uiPriority w:val="0"/>
    <w:pPr>
      <w:widowControl w:val="0"/>
      <w:spacing w:line="360" w:lineRule="auto"/>
      <w:ind w:firstLine="482"/>
      <w:jc w:val="both"/>
    </w:pPr>
    <w:rPr>
      <w:rFonts w:cs="Times New Roman"/>
      <w:kern w:val="2"/>
    </w:rPr>
  </w:style>
  <w:style w:type="paragraph" w:customStyle="1" w:styleId="338">
    <w:name w:val="Char1 Char Char Char Char Char Char Char Char Char Char Char Char Char Char Char Char Char"/>
    <w:basedOn w:val="1"/>
    <w:qFormat/>
    <w:uiPriority w:val="0"/>
    <w:pPr>
      <w:widowControl w:val="0"/>
      <w:jc w:val="both"/>
    </w:pPr>
    <w:rPr>
      <w:rFonts w:ascii="Times New Roman" w:hAnsi="Times New Roman" w:cs="Times New Roman"/>
      <w:kern w:val="2"/>
    </w:rPr>
  </w:style>
  <w:style w:type="paragraph" w:customStyle="1" w:styleId="339">
    <w:name w:val="样式 标题 1 + 首行缩进:  2 字符"/>
    <w:basedOn w:val="3"/>
    <w:qFormat/>
    <w:uiPriority w:val="0"/>
    <w:pPr>
      <w:spacing w:before="80" w:beforeLines="0" w:after="80" w:afterLines="0" w:line="560" w:lineRule="exact"/>
    </w:pPr>
    <w:rPr>
      <w:rFonts w:cs="宋体"/>
      <w:bCs/>
      <w:snapToGrid/>
      <w:kern w:val="44"/>
      <w:sz w:val="36"/>
      <w:szCs w:val="20"/>
    </w:rPr>
  </w:style>
  <w:style w:type="paragraph" w:customStyle="1" w:styleId="340">
    <w:name w:val="样式 正文文本缩进 + 仿宋_GB2312 四号 首行缩进:  2 字符"/>
    <w:basedOn w:val="22"/>
    <w:qFormat/>
    <w:uiPriority w:val="0"/>
    <w:pPr>
      <w:spacing w:after="0" w:line="500" w:lineRule="exact"/>
      <w:ind w:left="0" w:leftChars="0" w:firstLine="200" w:firstLineChars="200"/>
    </w:pPr>
    <w:rPr>
      <w:rFonts w:ascii="仿宋_GB2312" w:eastAsia="仿宋_GB2312" w:cs="宋体"/>
      <w:snapToGrid/>
      <w:kern w:val="2"/>
      <w:szCs w:val="28"/>
    </w:rPr>
  </w:style>
  <w:style w:type="paragraph" w:customStyle="1" w:styleId="341">
    <w:name w:val="默认段落字体 Para Char Char Char Char Char Char1 Char Char Char Char Char Char Char"/>
    <w:basedOn w:val="1"/>
    <w:qFormat/>
    <w:uiPriority w:val="0"/>
    <w:pPr>
      <w:widowControl w:val="0"/>
      <w:jc w:val="both"/>
    </w:pPr>
    <w:rPr>
      <w:rFonts w:ascii="Times New Roman" w:hAnsi="Times New Roman" w:cs="Times New Roman"/>
      <w:kern w:val="2"/>
    </w:rPr>
  </w:style>
  <w:style w:type="paragraph" w:customStyle="1" w:styleId="342">
    <w:name w:val="reader-word-layer reader-word-s1-5"/>
    <w:basedOn w:val="1"/>
    <w:qFormat/>
    <w:uiPriority w:val="0"/>
    <w:pPr>
      <w:spacing w:before="100" w:beforeAutospacing="1" w:after="100" w:afterAutospacing="1"/>
    </w:pPr>
  </w:style>
  <w:style w:type="paragraph" w:customStyle="1" w:styleId="343">
    <w:name w:val="Char Char4 Char Char Char Char"/>
    <w:basedOn w:val="1"/>
    <w:qFormat/>
    <w:uiPriority w:val="0"/>
    <w:pPr>
      <w:widowControl w:val="0"/>
      <w:spacing w:line="240" w:lineRule="exact"/>
      <w:ind w:firstLine="200" w:firstLineChars="200"/>
      <w:jc w:val="both"/>
    </w:pPr>
    <w:rPr>
      <w:rFonts w:ascii="Times New Roman" w:hAnsi="Times New Roman" w:cs="Times New Roman"/>
      <w:kern w:val="2"/>
      <w:sz w:val="28"/>
      <w:szCs w:val="28"/>
    </w:rPr>
  </w:style>
  <w:style w:type="paragraph" w:customStyle="1" w:styleId="344">
    <w:name w:val="Char Char Char Char1"/>
    <w:basedOn w:val="1"/>
    <w:qFormat/>
    <w:uiPriority w:val="0"/>
    <w:pPr>
      <w:widowControl w:val="0"/>
      <w:jc w:val="both"/>
    </w:pPr>
    <w:rPr>
      <w:rFonts w:cs="Times New Roman"/>
      <w:color w:val="000000"/>
      <w:kern w:val="2"/>
      <w:szCs w:val="21"/>
    </w:rPr>
  </w:style>
  <w:style w:type="paragraph" w:customStyle="1" w:styleId="345">
    <w:name w:val="正文100516"/>
    <w:basedOn w:val="1"/>
    <w:qFormat/>
    <w:uiPriority w:val="0"/>
    <w:pPr>
      <w:spacing w:before="120" w:after="120" w:line="360" w:lineRule="auto"/>
      <w:ind w:firstLine="480" w:firstLineChars="200"/>
    </w:pPr>
    <w:rPr>
      <w:rFonts w:ascii="Arial" w:hAnsi="Arial"/>
      <w:szCs w:val="20"/>
      <w:lang w:val="fr-FR"/>
    </w:rPr>
  </w:style>
  <w:style w:type="paragraph" w:customStyle="1" w:styleId="346">
    <w:name w:val="小四表格"/>
    <w:basedOn w:val="1"/>
    <w:qFormat/>
    <w:uiPriority w:val="0"/>
    <w:pPr>
      <w:widowControl w:val="0"/>
      <w:snapToGrid w:val="0"/>
      <w:jc w:val="center"/>
    </w:pPr>
    <w:rPr>
      <w:rFonts w:ascii="Times New Roman" w:hAnsi="Times New Roman" w:cs="Times New Roman"/>
      <w:szCs w:val="20"/>
    </w:rPr>
  </w:style>
  <w:style w:type="paragraph" w:customStyle="1" w:styleId="347">
    <w:name w:val="正文（首行缩进两字） + 首行缩进:  2 字符1"/>
    <w:basedOn w:val="8"/>
    <w:next w:val="8"/>
    <w:qFormat/>
    <w:uiPriority w:val="0"/>
    <w:pPr>
      <w:tabs>
        <w:tab w:val="left" w:pos="945"/>
        <w:tab w:val="right" w:leader="dot" w:pos="1155"/>
        <w:tab w:val="left" w:pos="8715"/>
      </w:tabs>
      <w:adjustRightInd w:val="0"/>
      <w:snapToGrid w:val="0"/>
      <w:spacing w:line="360" w:lineRule="auto"/>
      <w:ind w:firstLine="480" w:firstLineChars="200"/>
    </w:pPr>
    <w:rPr>
      <w:rFonts w:ascii="宋体" w:hAnsi="宋体"/>
      <w:sz w:val="24"/>
      <w:szCs w:val="21"/>
    </w:rPr>
  </w:style>
  <w:style w:type="paragraph" w:customStyle="1" w:styleId="348">
    <w:name w:val="Char Char Char1 Char Char Char1 Char Char Char1 Char"/>
    <w:basedOn w:val="1"/>
    <w:qFormat/>
    <w:uiPriority w:val="0"/>
    <w:pPr>
      <w:widowControl w:val="0"/>
      <w:spacing w:line="400" w:lineRule="exact"/>
      <w:ind w:firstLine="200" w:firstLineChars="200"/>
      <w:jc w:val="both"/>
    </w:pPr>
    <w:rPr>
      <w:rFonts w:ascii="Times New Roman" w:hAnsi="Times New Roman" w:cs="Times New Roman"/>
      <w:kern w:val="2"/>
      <w:sz w:val="28"/>
      <w:szCs w:val="28"/>
    </w:rPr>
  </w:style>
  <w:style w:type="paragraph" w:customStyle="1" w:styleId="349">
    <w:name w:val="reader-word-layer reader-word-s1-11"/>
    <w:basedOn w:val="1"/>
    <w:qFormat/>
    <w:uiPriority w:val="0"/>
    <w:pPr>
      <w:spacing w:before="100" w:beforeAutospacing="1" w:after="100" w:afterAutospacing="1"/>
    </w:pPr>
  </w:style>
  <w:style w:type="paragraph" w:customStyle="1" w:styleId="350">
    <w:name w:val="样式 标题 3 + 宋体 四号 黑色"/>
    <w:basedOn w:val="5"/>
    <w:qFormat/>
    <w:uiPriority w:val="0"/>
    <w:pPr>
      <w:spacing w:line="460" w:lineRule="exact"/>
    </w:pPr>
    <w:rPr>
      <w:rFonts w:ascii="宋体" w:hAnsi="宋体"/>
      <w:bCs/>
      <w:snapToGrid/>
      <w:kern w:val="2"/>
    </w:rPr>
  </w:style>
  <w:style w:type="paragraph" w:customStyle="1" w:styleId="351">
    <w:name w:val="样式 标题 3条标题1.1.1条标题1.1.11条标题1.1.12条标题1.1.13条标题1.1.111条标题1.1...2"/>
    <w:basedOn w:val="5"/>
    <w:qFormat/>
    <w:uiPriority w:val="0"/>
    <w:pPr>
      <w:spacing w:before="120" w:after="120"/>
    </w:pPr>
    <w:rPr>
      <w:rFonts w:ascii="宋体" w:hAnsi="宋体" w:cs="宋体"/>
      <w:bCs/>
      <w:snapToGrid/>
      <w:kern w:val="2"/>
      <w:szCs w:val="20"/>
    </w:rPr>
  </w:style>
  <w:style w:type="paragraph" w:customStyle="1" w:styleId="352">
    <w:name w:val="正文标号1"/>
    <w:basedOn w:val="1"/>
    <w:qFormat/>
    <w:uiPriority w:val="0"/>
    <w:pPr>
      <w:widowControl w:val="0"/>
      <w:snapToGrid w:val="0"/>
      <w:spacing w:line="360" w:lineRule="auto"/>
      <w:ind w:left="2836" w:hanging="1984"/>
    </w:pPr>
    <w:rPr>
      <w:rFonts w:ascii="华文细黑" w:hAnsi="华文细黑" w:eastAsia="华文细黑" w:cs="华文细黑"/>
    </w:rPr>
  </w:style>
  <w:style w:type="paragraph" w:customStyle="1" w:styleId="353">
    <w:name w:val="低行距图表文字"/>
    <w:basedOn w:val="175"/>
    <w:qFormat/>
    <w:uiPriority w:val="0"/>
    <w:pPr>
      <w:spacing w:line="240" w:lineRule="exact"/>
    </w:pPr>
    <w:rPr>
      <w:rFonts w:hAnsi="仿宋_GB2312"/>
      <w:szCs w:val="21"/>
    </w:rPr>
  </w:style>
  <w:style w:type="paragraph" w:customStyle="1" w:styleId="354">
    <w:name w:val="字元"/>
    <w:basedOn w:val="1"/>
    <w:qFormat/>
    <w:uiPriority w:val="0"/>
    <w:pPr>
      <w:widowControl w:val="0"/>
      <w:jc w:val="both"/>
    </w:pPr>
    <w:rPr>
      <w:rFonts w:ascii="Times New Roman" w:hAnsi="Times New Roman" w:cs="Times New Roman"/>
      <w:kern w:val="2"/>
    </w:rPr>
  </w:style>
  <w:style w:type="paragraph" w:customStyle="1" w:styleId="355">
    <w:name w:val="样式 标题 2 + 行距: 1.5 倍行距"/>
    <w:basedOn w:val="4"/>
    <w:qFormat/>
    <w:uiPriority w:val="0"/>
    <w:pPr>
      <w:spacing w:before="260" w:beforeLines="0" w:after="260" w:afterLines="0" w:line="360" w:lineRule="auto"/>
    </w:pPr>
    <w:rPr>
      <w:rFonts w:ascii="宋体" w:hAnsi="宋体"/>
      <w:snapToGrid/>
      <w:color w:val="FF00FF"/>
      <w:kern w:val="2"/>
      <w:sz w:val="32"/>
    </w:rPr>
  </w:style>
  <w:style w:type="paragraph" w:customStyle="1" w:styleId="356">
    <w:name w:val="1正文"/>
    <w:basedOn w:val="27"/>
    <w:qFormat/>
    <w:uiPriority w:val="0"/>
    <w:pPr>
      <w:spacing w:line="560" w:lineRule="exact"/>
      <w:ind w:firstLine="480" w:firstLineChars="200"/>
    </w:pPr>
    <w:rPr>
      <w:rFonts w:ascii="Times New Roman" w:hAnsi="Times New Roman"/>
      <w:sz w:val="24"/>
    </w:rPr>
  </w:style>
  <w:style w:type="paragraph" w:customStyle="1" w:styleId="357">
    <w:name w:val="列出段落2"/>
    <w:basedOn w:val="1"/>
    <w:qFormat/>
    <w:uiPriority w:val="0"/>
    <w:pPr>
      <w:widowControl w:val="0"/>
      <w:spacing w:line="360" w:lineRule="auto"/>
      <w:ind w:firstLine="420" w:firstLineChars="200"/>
    </w:pPr>
    <w:rPr>
      <w:rFonts w:ascii="Times New Roman" w:hAnsi="Times New Roman" w:eastAsia="黑体" w:cs="Times New Roman"/>
      <w:kern w:val="2"/>
      <w:sz w:val="21"/>
    </w:rPr>
  </w:style>
  <w:style w:type="paragraph" w:customStyle="1" w:styleId="358">
    <w:name w:val="字元 字元"/>
    <w:basedOn w:val="1"/>
    <w:qFormat/>
    <w:uiPriority w:val="0"/>
    <w:pPr>
      <w:widowControl w:val="0"/>
      <w:jc w:val="both"/>
    </w:pPr>
    <w:rPr>
      <w:rFonts w:ascii="Times New Roman" w:hAnsi="Times New Roman" w:cs="Times New Roman"/>
      <w:kern w:val="2"/>
      <w:sz w:val="21"/>
      <w:szCs w:val="21"/>
    </w:rPr>
  </w:style>
  <w:style w:type="paragraph" w:customStyle="1" w:styleId="359">
    <w:name w:val="reader-word-layer reader-word-s1-8"/>
    <w:basedOn w:val="1"/>
    <w:qFormat/>
    <w:uiPriority w:val="0"/>
    <w:pPr>
      <w:spacing w:before="100" w:beforeAutospacing="1" w:after="100" w:afterAutospacing="1"/>
    </w:pPr>
  </w:style>
  <w:style w:type="paragraph" w:customStyle="1" w:styleId="360">
    <w:name w:val="9 Char Char Char7 Char Char Char Char Char Char"/>
    <w:basedOn w:val="1"/>
    <w:qFormat/>
    <w:uiPriority w:val="0"/>
    <w:pPr>
      <w:widowControl w:val="0"/>
      <w:spacing w:line="240" w:lineRule="exact"/>
      <w:ind w:firstLine="200" w:firstLineChars="200"/>
      <w:jc w:val="both"/>
    </w:pPr>
    <w:rPr>
      <w:rFonts w:ascii="Times New Roman" w:hAnsi="Times New Roman" w:cs="Times New Roman"/>
      <w:kern w:val="2"/>
      <w:sz w:val="28"/>
      <w:szCs w:val="28"/>
    </w:rPr>
  </w:style>
  <w:style w:type="paragraph" w:customStyle="1" w:styleId="361">
    <w:name w:val="英方字母"/>
    <w:basedOn w:val="1"/>
    <w:qFormat/>
    <w:uiPriority w:val="0"/>
    <w:pPr>
      <w:widowControl w:val="0"/>
      <w:tabs>
        <w:tab w:val="left" w:pos="360"/>
      </w:tabs>
      <w:autoSpaceDE w:val="0"/>
      <w:autoSpaceDN w:val="0"/>
      <w:adjustRightInd w:val="0"/>
      <w:spacing w:line="360" w:lineRule="auto"/>
      <w:jc w:val="both"/>
    </w:pPr>
    <w:rPr>
      <w:rFonts w:ascii="Bookman Old Style" w:hAnsi="Bookman Old Style" w:cs="Bookman Old Style"/>
    </w:rPr>
  </w:style>
  <w:style w:type="paragraph" w:customStyle="1" w:styleId="362">
    <w:name w:val="正文楷体"/>
    <w:basedOn w:val="1"/>
    <w:qFormat/>
    <w:uiPriority w:val="0"/>
    <w:pPr>
      <w:widowControl w:val="0"/>
      <w:jc w:val="both"/>
    </w:pPr>
    <w:rPr>
      <w:rFonts w:ascii="Times New Roman" w:hAnsi="Times New Roman" w:eastAsia="楷体_GB2312" w:cs="Times New Roman"/>
      <w:kern w:val="2"/>
      <w:sz w:val="21"/>
      <w:szCs w:val="21"/>
    </w:rPr>
  </w:style>
  <w:style w:type="character" w:customStyle="1" w:styleId="363">
    <w:name w:val="标题2"/>
    <w:basedOn w:val="59"/>
    <w:qFormat/>
    <w:uiPriority w:val="0"/>
    <w:rPr>
      <w:snapToGrid/>
      <w:kern w:val="2"/>
      <w:szCs w:val="28"/>
    </w:rPr>
  </w:style>
  <w:style w:type="character" w:customStyle="1" w:styleId="364">
    <w:name w:val="words-outer-wrap words-wrap-hover"/>
    <w:basedOn w:val="59"/>
    <w:qFormat/>
    <w:uiPriority w:val="0"/>
    <w:rPr>
      <w:snapToGrid/>
      <w:kern w:val="2"/>
      <w:szCs w:val="28"/>
    </w:rPr>
  </w:style>
  <w:style w:type="character" w:customStyle="1" w:styleId="365">
    <w:name w:val="正文文本缩进 Char1"/>
    <w:qFormat/>
    <w:uiPriority w:val="0"/>
    <w:rPr>
      <w:snapToGrid w:val="0"/>
      <w:sz w:val="28"/>
    </w:rPr>
  </w:style>
  <w:style w:type="character" w:customStyle="1" w:styleId="366">
    <w:name w:val="Char Char41"/>
    <w:qFormat/>
    <w:uiPriority w:val="0"/>
    <w:rPr>
      <w:rFonts w:ascii="Arial" w:hAnsi="Arial" w:eastAsia="宋体" w:cs="Arial"/>
      <w:b/>
      <w:bCs/>
      <w:kern w:val="2"/>
      <w:sz w:val="32"/>
      <w:szCs w:val="32"/>
      <w:lang w:val="en-US" w:eastAsia="zh-CN" w:bidi="ar-SA"/>
    </w:rPr>
  </w:style>
  <w:style w:type="character" w:customStyle="1" w:styleId="367">
    <w:name w:val="Char Char61"/>
    <w:qFormat/>
    <w:uiPriority w:val="0"/>
    <w:rPr>
      <w:rFonts w:eastAsia="宋体"/>
      <w:snapToGrid w:val="0"/>
      <w:w w:val="90"/>
      <w:sz w:val="21"/>
      <w:lang w:val="en-US" w:eastAsia="zh-CN" w:bidi="ar-SA"/>
    </w:rPr>
  </w:style>
  <w:style w:type="character" w:customStyle="1" w:styleId="368">
    <w:name w:val="H4 Char2"/>
    <w:qFormat/>
    <w:uiPriority w:val="0"/>
    <w:rPr>
      <w:rFonts w:ascii="Arial" w:hAnsi="Arial" w:eastAsia="黑体"/>
      <w:b/>
      <w:bCs/>
      <w:snapToGrid w:val="0"/>
      <w:sz w:val="28"/>
      <w:szCs w:val="28"/>
      <w:lang w:val="en-US" w:eastAsia="zh-CN" w:bidi="ar-SA"/>
    </w:rPr>
  </w:style>
  <w:style w:type="character" w:customStyle="1" w:styleId="369">
    <w:name w:val="split-word"/>
    <w:basedOn w:val="59"/>
    <w:qFormat/>
    <w:uiPriority w:val="0"/>
    <w:rPr>
      <w:snapToGrid/>
      <w:kern w:val="2"/>
      <w:szCs w:val="28"/>
    </w:rPr>
  </w:style>
  <w:style w:type="character" w:customStyle="1" w:styleId="370">
    <w:name w:val="Char3 Char"/>
    <w:qFormat/>
    <w:uiPriority w:val="0"/>
    <w:rPr>
      <w:rFonts w:ascii="Times New Roman" w:hAnsi="Times New Roman"/>
      <w:kern w:val="2"/>
      <w:sz w:val="18"/>
      <w:szCs w:val="18"/>
    </w:rPr>
  </w:style>
  <w:style w:type="character" w:customStyle="1" w:styleId="371">
    <w:name w:val="在编文字 Char Char2"/>
    <w:qFormat/>
    <w:uiPriority w:val="0"/>
    <w:rPr>
      <w:rFonts w:eastAsia="宋体"/>
      <w:snapToGrid w:val="0"/>
      <w:w w:val="90"/>
      <w:sz w:val="21"/>
      <w:lang w:val="en-US" w:eastAsia="zh-CN" w:bidi="ar-SA"/>
    </w:rPr>
  </w:style>
  <w:style w:type="character" w:customStyle="1" w:styleId="372">
    <w:name w:val="Char Char101"/>
    <w:qFormat/>
    <w:uiPriority w:val="0"/>
    <w:rPr>
      <w:rFonts w:ascii="Arial" w:hAnsi="Arial" w:eastAsia="黑体"/>
      <w:b/>
      <w:bCs/>
      <w:snapToGrid w:val="0"/>
      <w:sz w:val="28"/>
      <w:szCs w:val="28"/>
      <w:lang w:val="en-US" w:eastAsia="zh-CN" w:bidi="ar-SA"/>
    </w:rPr>
  </w:style>
  <w:style w:type="character" w:customStyle="1" w:styleId="373">
    <w:name w:val="name"/>
    <w:basedOn w:val="59"/>
    <w:qFormat/>
    <w:uiPriority w:val="0"/>
    <w:rPr>
      <w:snapToGrid/>
      <w:kern w:val="2"/>
      <w:szCs w:val="28"/>
    </w:rPr>
  </w:style>
  <w:style w:type="character" w:customStyle="1" w:styleId="374">
    <w:name w:val="words-outer-wrap"/>
    <w:basedOn w:val="59"/>
    <w:qFormat/>
    <w:uiPriority w:val="0"/>
    <w:rPr>
      <w:snapToGrid/>
      <w:kern w:val="2"/>
      <w:szCs w:val="28"/>
    </w:rPr>
  </w:style>
  <w:style w:type="character" w:customStyle="1" w:styleId="375">
    <w:name w:val="注释标题 字符"/>
    <w:basedOn w:val="59"/>
    <w:link w:val="14"/>
    <w:qFormat/>
    <w:uiPriority w:val="0"/>
    <w:rPr>
      <w:rFonts w:ascii="Calibri" w:hAnsi="Calibri"/>
      <w:snapToGrid w:val="0"/>
      <w:sz w:val="28"/>
    </w:rPr>
  </w:style>
  <w:style w:type="paragraph" w:customStyle="1" w:styleId="376">
    <w:name w:val="段"/>
    <w:qFormat/>
    <w:uiPriority w:val="0"/>
    <w:pPr>
      <w:tabs>
        <w:tab w:val="center" w:pos="4201"/>
        <w:tab w:val="right" w:leader="dot" w:pos="9298"/>
      </w:tabs>
      <w:autoSpaceDE w:val="0"/>
      <w:autoSpaceDN w:val="0"/>
      <w:ind w:firstLine="420" w:firstLineChars="200"/>
      <w:jc w:val="both"/>
    </w:pPr>
    <w:rPr>
      <w:rFonts w:ascii="宋体" w:hAnsi="Calibri" w:eastAsia="宋体" w:cs="Times New Roman"/>
      <w:sz w:val="21"/>
      <w:lang w:val="en-US" w:eastAsia="zh-CN" w:bidi="ar-SA"/>
    </w:rPr>
  </w:style>
  <w:style w:type="paragraph" w:customStyle="1" w:styleId="377">
    <w:name w:val="Char Char4 Char Char Char Char1"/>
    <w:basedOn w:val="1"/>
    <w:qFormat/>
    <w:uiPriority w:val="0"/>
    <w:pPr>
      <w:widowControl w:val="0"/>
      <w:spacing w:line="240" w:lineRule="exact"/>
      <w:ind w:firstLine="200" w:firstLineChars="200"/>
      <w:jc w:val="both"/>
    </w:pPr>
    <w:rPr>
      <w:rFonts w:ascii="Calibri" w:hAnsi="Calibri" w:cs="Times New Roman"/>
      <w:kern w:val="2"/>
      <w:sz w:val="28"/>
      <w:szCs w:val="28"/>
    </w:rPr>
  </w:style>
  <w:style w:type="paragraph" w:customStyle="1" w:styleId="378">
    <w:name w:val="No Spacing1"/>
    <w:qFormat/>
    <w:uiPriority w:val="0"/>
    <w:pPr>
      <w:widowControl w:val="0"/>
      <w:spacing w:line="420" w:lineRule="exact"/>
      <w:jc w:val="both"/>
    </w:pPr>
    <w:rPr>
      <w:rFonts w:ascii="Calibri" w:hAnsi="Calibri" w:eastAsia="宋体" w:cs="Times New Roman"/>
      <w:kern w:val="2"/>
      <w:sz w:val="21"/>
      <w:szCs w:val="24"/>
      <w:lang w:val="en-US" w:eastAsia="zh-CN" w:bidi="ar-SA"/>
    </w:rPr>
  </w:style>
  <w:style w:type="paragraph" w:customStyle="1" w:styleId="379">
    <w:name w:val="正文缩进2"/>
    <w:basedOn w:val="1"/>
    <w:unhideWhenUsed/>
    <w:qFormat/>
    <w:uiPriority w:val="0"/>
    <w:pPr>
      <w:widowControl w:val="0"/>
      <w:ind w:firstLine="420"/>
      <w:jc w:val="both"/>
    </w:pPr>
    <w:rPr>
      <w:rFonts w:hint="eastAsia" w:ascii="Calibri" w:hAnsi="Calibri" w:cs="Times New Roman"/>
      <w:kern w:val="2"/>
      <w:sz w:val="28"/>
      <w:szCs w:val="20"/>
    </w:rPr>
  </w:style>
  <w:style w:type="paragraph" w:customStyle="1" w:styleId="380">
    <w:name w:val="List Paragraph1"/>
    <w:basedOn w:val="1"/>
    <w:qFormat/>
    <w:uiPriority w:val="0"/>
    <w:pPr>
      <w:widowControl w:val="0"/>
      <w:ind w:firstLine="420" w:firstLineChars="200"/>
      <w:jc w:val="both"/>
    </w:pPr>
    <w:rPr>
      <w:rFonts w:ascii="Calibri" w:hAnsi="Calibri" w:cs="Times New Roman"/>
      <w:kern w:val="2"/>
      <w:sz w:val="21"/>
      <w:szCs w:val="22"/>
    </w:rPr>
  </w:style>
  <w:style w:type="paragraph" w:customStyle="1" w:styleId="381">
    <w:name w:val="Char Char Char1"/>
    <w:basedOn w:val="1"/>
    <w:qFormat/>
    <w:uiPriority w:val="0"/>
    <w:pPr>
      <w:widowControl w:val="0"/>
      <w:jc w:val="both"/>
    </w:pPr>
    <w:rPr>
      <w:rFonts w:ascii="Calibri" w:hAnsi="Calibri" w:cs="Times New Roman"/>
      <w:kern w:val="2"/>
    </w:rPr>
  </w:style>
  <w:style w:type="paragraph" w:customStyle="1" w:styleId="382">
    <w:name w:val="表中文字1"/>
    <w:qFormat/>
    <w:uiPriority w:val="0"/>
    <w:pPr>
      <w:widowControl w:val="0"/>
      <w:jc w:val="center"/>
    </w:pPr>
    <w:rPr>
      <w:rFonts w:ascii="仿宋_GB2312" w:hAnsi="Calibri" w:eastAsia="仿宋_GB2312" w:cs="Times New Roman"/>
      <w:kern w:val="2"/>
      <w:sz w:val="24"/>
      <w:lang w:val="en-US" w:eastAsia="zh-CN" w:bidi="ar-SA"/>
    </w:rPr>
  </w:style>
  <w:style w:type="paragraph" w:customStyle="1" w:styleId="383">
    <w:name w:val="Char1 Char Char Char1"/>
    <w:basedOn w:val="1"/>
    <w:qFormat/>
    <w:uiPriority w:val="0"/>
    <w:pPr>
      <w:widowControl w:val="0"/>
      <w:snapToGrid w:val="0"/>
      <w:spacing w:line="360" w:lineRule="auto"/>
      <w:ind w:firstLine="529" w:firstLineChars="200"/>
      <w:jc w:val="both"/>
    </w:pPr>
    <w:rPr>
      <w:rFonts w:cs="Times New Roman"/>
      <w:b/>
      <w:kern w:val="2"/>
      <w:sz w:val="21"/>
    </w:rPr>
  </w:style>
  <w:style w:type="paragraph" w:customStyle="1" w:styleId="384">
    <w:name w:val="二级条标题"/>
    <w:basedOn w:val="222"/>
    <w:next w:val="376"/>
    <w:qFormat/>
    <w:uiPriority w:val="0"/>
    <w:pPr>
      <w:spacing w:before="50" w:after="50"/>
      <w:ind w:left="0" w:firstLine="0"/>
      <w:outlineLvl w:val="3"/>
    </w:pPr>
    <w:rPr>
      <w:rFonts w:hAnsi="Calibri"/>
    </w:rPr>
  </w:style>
  <w:style w:type="paragraph" w:customStyle="1" w:styleId="385">
    <w:name w:val="Char2 Char Char Char Char Char Char Char Char Char Char Char Char Char Char Char Char Char Char Char Char Char Char Char Char Char Char Char Char Char Char Char Char Char Char Char1"/>
    <w:basedOn w:val="1"/>
    <w:qFormat/>
    <w:uiPriority w:val="0"/>
    <w:pPr>
      <w:widowControl w:val="0"/>
      <w:tabs>
        <w:tab w:val="left" w:pos="360"/>
      </w:tabs>
      <w:snapToGrid w:val="0"/>
      <w:spacing w:line="360" w:lineRule="auto"/>
      <w:jc w:val="both"/>
    </w:pPr>
    <w:rPr>
      <w:rFonts w:ascii="Calibri" w:hAnsi="Calibri" w:eastAsia="仿宋_GB2312"/>
      <w:kern w:val="2"/>
    </w:rPr>
  </w:style>
  <w:style w:type="paragraph" w:customStyle="1" w:styleId="386">
    <w:name w:val="Char Char7 Char Char1 Char Char Char1 Char Char Char Char Char1 Char Char Char1"/>
    <w:basedOn w:val="1"/>
    <w:qFormat/>
    <w:uiPriority w:val="0"/>
    <w:pPr>
      <w:widowControl w:val="0"/>
      <w:jc w:val="both"/>
    </w:pPr>
    <w:rPr>
      <w:rFonts w:ascii="Calibri" w:hAnsi="Calibri" w:cs="Times New Roman"/>
      <w:kern w:val="2"/>
      <w:sz w:val="21"/>
      <w:szCs w:val="21"/>
    </w:rPr>
  </w:style>
  <w:style w:type="paragraph" w:customStyle="1" w:styleId="387">
    <w:name w:val="Char3"/>
    <w:basedOn w:val="1"/>
    <w:qFormat/>
    <w:uiPriority w:val="0"/>
    <w:pPr>
      <w:widowControl w:val="0"/>
      <w:jc w:val="both"/>
    </w:pPr>
    <w:rPr>
      <w:rFonts w:ascii="Calibri" w:hAnsi="Calibri" w:cs="Times New Roman"/>
      <w:kern w:val="2"/>
      <w:sz w:val="21"/>
    </w:rPr>
  </w:style>
  <w:style w:type="paragraph" w:customStyle="1" w:styleId="388">
    <w:name w:val="Char1 Char Char Char Char Char Char Char Char Char Char Char Char Char Char Char Char Char1"/>
    <w:basedOn w:val="1"/>
    <w:qFormat/>
    <w:uiPriority w:val="0"/>
    <w:pPr>
      <w:widowControl w:val="0"/>
      <w:jc w:val="both"/>
    </w:pPr>
    <w:rPr>
      <w:rFonts w:ascii="Calibri" w:hAnsi="Calibri" w:cs="Times New Roman"/>
      <w:kern w:val="2"/>
    </w:rPr>
  </w:style>
  <w:style w:type="paragraph" w:customStyle="1" w:styleId="389">
    <w:name w:val="Char Char1 Char Char Char Char Char Char Char Char Char Char Char Char Char Char Char Char Char Char Char Char1 Char1"/>
    <w:basedOn w:val="1"/>
    <w:qFormat/>
    <w:uiPriority w:val="0"/>
    <w:pPr>
      <w:widowControl w:val="0"/>
      <w:spacing w:line="360" w:lineRule="auto"/>
      <w:ind w:firstLine="200" w:firstLineChars="200"/>
      <w:jc w:val="both"/>
    </w:pPr>
    <w:rPr>
      <w:kern w:val="2"/>
    </w:rPr>
  </w:style>
  <w:style w:type="paragraph" w:customStyle="1" w:styleId="390">
    <w:name w:val="Char11"/>
    <w:basedOn w:val="1"/>
    <w:qFormat/>
    <w:uiPriority w:val="0"/>
    <w:pPr>
      <w:widowControl w:val="0"/>
      <w:snapToGrid w:val="0"/>
      <w:spacing w:line="360" w:lineRule="auto"/>
      <w:ind w:firstLine="200" w:firstLineChars="200"/>
      <w:jc w:val="both"/>
    </w:pPr>
    <w:rPr>
      <w:rFonts w:ascii="Calibri" w:hAnsi="Calibri" w:eastAsia="仿宋_GB2312" w:cs="Times New Roman"/>
      <w:kern w:val="2"/>
    </w:rPr>
  </w:style>
  <w:style w:type="paragraph" w:customStyle="1" w:styleId="391">
    <w:name w:val="Char Char7 Char Char1 Char Char Char1 Char Char Char Char Char Char Char Char Char Char Char Char Char Char Char Char Char1"/>
    <w:basedOn w:val="1"/>
    <w:qFormat/>
    <w:uiPriority w:val="0"/>
    <w:pPr>
      <w:widowControl w:val="0"/>
      <w:spacing w:line="240" w:lineRule="exact"/>
      <w:ind w:firstLine="200" w:firstLineChars="200"/>
      <w:jc w:val="both"/>
    </w:pPr>
    <w:rPr>
      <w:rFonts w:ascii="Calibri" w:hAnsi="Calibri" w:cs="Times New Roman"/>
      <w:kern w:val="2"/>
      <w:sz w:val="28"/>
      <w:szCs w:val="28"/>
    </w:rPr>
  </w:style>
  <w:style w:type="paragraph" w:customStyle="1" w:styleId="392">
    <w:name w:val="Char Char Char2 Char Char Char Char Char Char Char Char Char Char Char Char Char Char Char Char Char Char1"/>
    <w:basedOn w:val="1"/>
    <w:qFormat/>
    <w:uiPriority w:val="0"/>
    <w:pPr>
      <w:widowControl w:val="0"/>
      <w:autoSpaceDE w:val="0"/>
      <w:autoSpaceDN w:val="0"/>
      <w:adjustRightInd w:val="0"/>
      <w:snapToGrid w:val="0"/>
      <w:spacing w:line="400" w:lineRule="atLeast"/>
      <w:textAlignment w:val="baseline"/>
    </w:pPr>
    <w:rPr>
      <w:rFonts w:ascii="黑体" w:hAnsi="黑体" w:eastAsia="黑体" w:cs="Times New Roman"/>
      <w:b/>
      <w:spacing w:val="10"/>
      <w:sz w:val="28"/>
      <w:szCs w:val="20"/>
    </w:rPr>
  </w:style>
  <w:style w:type="paragraph" w:customStyle="1" w:styleId="393">
    <w:name w:val="Char Char Char Char Char Char2"/>
    <w:basedOn w:val="19"/>
    <w:qFormat/>
    <w:uiPriority w:val="0"/>
    <w:pPr>
      <w:framePr w:vAnchor="margin" w:yAlign="top"/>
      <w:shd w:val="clear" w:color="auto" w:fill="000080"/>
      <w:adjustRightInd w:val="0"/>
      <w:spacing w:line="436" w:lineRule="exact"/>
      <w:ind w:left="357"/>
      <w:jc w:val="left"/>
      <w:outlineLvl w:val="3"/>
    </w:pPr>
    <w:rPr>
      <w:rFonts w:ascii="Tahoma" w:hAnsi="Tahoma"/>
      <w:b/>
      <w:snapToGrid/>
      <w:color w:val="auto"/>
      <w:kern w:val="2"/>
      <w:sz w:val="24"/>
    </w:rPr>
  </w:style>
  <w:style w:type="paragraph" w:customStyle="1" w:styleId="394">
    <w:name w:val="Char4 Char Char1"/>
    <w:basedOn w:val="1"/>
    <w:qFormat/>
    <w:uiPriority w:val="0"/>
    <w:pPr>
      <w:widowControl w:val="0"/>
      <w:jc w:val="both"/>
    </w:pPr>
    <w:rPr>
      <w:rFonts w:ascii="Calibri" w:hAnsi="Calibri" w:cs="Times New Roman"/>
      <w:kern w:val="2"/>
    </w:rPr>
  </w:style>
  <w:style w:type="paragraph" w:customStyle="1" w:styleId="395">
    <w:name w:val="Char Char Char Char Char Char Char Char Char Char Char Char Char1"/>
    <w:basedOn w:val="1"/>
    <w:qFormat/>
    <w:uiPriority w:val="0"/>
    <w:pPr>
      <w:spacing w:after="160" w:line="240" w:lineRule="exact"/>
    </w:pPr>
    <w:rPr>
      <w:rFonts w:ascii="Calibri" w:hAnsi="Calibri" w:cs="Times New Roman"/>
      <w:kern w:val="2"/>
      <w:sz w:val="21"/>
    </w:rPr>
  </w:style>
  <w:style w:type="paragraph" w:customStyle="1" w:styleId="396">
    <w:name w:val="p15"/>
    <w:basedOn w:val="1"/>
    <w:qFormat/>
    <w:uiPriority w:val="0"/>
    <w:pPr>
      <w:ind w:firstLine="420"/>
      <w:jc w:val="both"/>
    </w:pPr>
    <w:rPr>
      <w:rFonts w:ascii="Calibri" w:hAnsi="Calibri" w:cs="Times New Roman"/>
      <w:sz w:val="22"/>
      <w:szCs w:val="22"/>
    </w:rPr>
  </w:style>
  <w:style w:type="paragraph" w:customStyle="1" w:styleId="397">
    <w:name w:val="Char Char Char Char Char Char Char Char Char1 Char Char Char Char"/>
    <w:basedOn w:val="1"/>
    <w:qFormat/>
    <w:uiPriority w:val="0"/>
    <w:pPr>
      <w:widowControl w:val="0"/>
      <w:numPr>
        <w:ilvl w:val="0"/>
        <w:numId w:val="7"/>
      </w:numPr>
      <w:ind w:left="0" w:firstLine="0"/>
      <w:jc w:val="both"/>
    </w:pPr>
    <w:rPr>
      <w:rFonts w:ascii="Calibri" w:hAnsi="Calibri" w:cs="Times New Roman"/>
      <w:kern w:val="2"/>
      <w:sz w:val="21"/>
      <w:szCs w:val="21"/>
    </w:rPr>
  </w:style>
  <w:style w:type="character" w:customStyle="1" w:styleId="398">
    <w:name w:val="font01"/>
    <w:qFormat/>
    <w:uiPriority w:val="0"/>
    <w:rPr>
      <w:rFonts w:hint="default" w:ascii="Times New Roman" w:hAnsi="Times New Roman" w:cs="Times New Roman"/>
      <w:snapToGrid/>
      <w:color w:val="FF0000"/>
      <w:kern w:val="2"/>
      <w:sz w:val="21"/>
      <w:szCs w:val="21"/>
      <w:u w:val="none"/>
      <w:vertAlign w:val="subscript"/>
    </w:rPr>
  </w:style>
  <w:style w:type="paragraph" w:customStyle="1" w:styleId="399">
    <w:name w:val="正文2"/>
    <w:qFormat/>
    <w:uiPriority w:val="0"/>
    <w:pPr>
      <w:jc w:val="both"/>
    </w:pPr>
    <w:rPr>
      <w:rFonts w:ascii="宋体" w:hAnsi="宋体" w:eastAsia="宋体" w:cs="宋体"/>
      <w:kern w:val="2"/>
      <w:sz w:val="21"/>
      <w:szCs w:val="21"/>
      <w:lang w:val="en-US" w:eastAsia="zh-CN" w:bidi="ar-SA"/>
    </w:rPr>
  </w:style>
  <w:style w:type="character" w:customStyle="1" w:styleId="400">
    <w:name w:val="未处理的提及1"/>
    <w:basedOn w:val="59"/>
    <w:semiHidden/>
    <w:unhideWhenUsed/>
    <w:qFormat/>
    <w:uiPriority w:val="99"/>
    <w:rPr>
      <w:color w:val="605E5C"/>
      <w:shd w:val="clear" w:color="auto" w:fill="E1DFDD"/>
    </w:rPr>
  </w:style>
  <w:style w:type="paragraph" w:customStyle="1" w:styleId="401">
    <w:name w:val="正文3"/>
    <w:qFormat/>
    <w:uiPriority w:val="0"/>
    <w:pPr>
      <w:jc w:val="both"/>
    </w:pPr>
    <w:rPr>
      <w:rFonts w:ascii="Calibri" w:hAnsi="Calibri" w:eastAsia="宋体" w:cs="Calibri"/>
      <w:kern w:val="2"/>
      <w:sz w:val="21"/>
      <w:szCs w:val="21"/>
      <w:lang w:val="en-US" w:eastAsia="zh-CN" w:bidi="ar-SA"/>
    </w:rPr>
  </w:style>
  <w:style w:type="character" w:customStyle="1" w:styleId="402">
    <w:name w:val="font31"/>
    <w:basedOn w:val="59"/>
    <w:qFormat/>
    <w:uiPriority w:val="0"/>
    <w:rPr>
      <w:rFonts w:hint="eastAsia" w:ascii="宋体" w:hAnsi="宋体" w:eastAsia="宋体" w:cs="宋体"/>
      <w:color w:val="000000"/>
      <w:sz w:val="24"/>
      <w:szCs w:val="24"/>
      <w:u w:val="none"/>
    </w:rPr>
  </w:style>
  <w:style w:type="character" w:customStyle="1" w:styleId="403">
    <w:name w:val="font161"/>
    <w:basedOn w:val="59"/>
    <w:qFormat/>
    <w:uiPriority w:val="0"/>
    <w:rPr>
      <w:rFonts w:hint="eastAsia" w:ascii="宋体" w:hAnsi="宋体" w:eastAsia="宋体" w:cs="宋体"/>
      <w:color w:val="000000"/>
      <w:sz w:val="21"/>
      <w:szCs w:val="21"/>
      <w:u w:val="none"/>
    </w:rPr>
  </w:style>
  <w:style w:type="character" w:customStyle="1" w:styleId="404">
    <w:name w:val="font141"/>
    <w:basedOn w:val="59"/>
    <w:qFormat/>
    <w:uiPriority w:val="0"/>
    <w:rPr>
      <w:rFonts w:hint="default" w:ascii="Times New Roman" w:hAnsi="Times New Roman" w:cs="Times New Roman"/>
      <w:color w:val="000000"/>
      <w:sz w:val="21"/>
      <w:szCs w:val="21"/>
      <w:u w:val="none"/>
      <w:vertAlign w:val="subscript"/>
    </w:rPr>
  </w:style>
  <w:style w:type="character" w:customStyle="1" w:styleId="405">
    <w:name w:val="font181"/>
    <w:basedOn w:val="59"/>
    <w:qFormat/>
    <w:uiPriority w:val="0"/>
    <w:rPr>
      <w:rFonts w:hint="default" w:ascii="Times New Roman" w:hAnsi="Times New Roman" w:cs="Times New Roman"/>
      <w:color w:val="000000"/>
      <w:sz w:val="21"/>
      <w:szCs w:val="21"/>
      <w:u w:val="none"/>
    </w:rPr>
  </w:style>
  <w:style w:type="character" w:customStyle="1" w:styleId="406">
    <w:name w:val="font51"/>
    <w:basedOn w:val="59"/>
    <w:qFormat/>
    <w:uiPriority w:val="0"/>
    <w:rPr>
      <w:rFonts w:hint="eastAsia" w:ascii="宋体" w:hAnsi="宋体" w:eastAsia="宋体" w:cs="宋体"/>
      <w:color w:val="000000"/>
      <w:sz w:val="21"/>
      <w:szCs w:val="21"/>
      <w:u w:val="none"/>
    </w:rPr>
  </w:style>
  <w:style w:type="character" w:customStyle="1" w:styleId="407">
    <w:name w:val="font121"/>
    <w:basedOn w:val="59"/>
    <w:qFormat/>
    <w:uiPriority w:val="0"/>
    <w:rPr>
      <w:rFonts w:hint="eastAsia" w:ascii="宋体" w:hAnsi="宋体" w:eastAsia="宋体" w:cs="宋体"/>
      <w:color w:val="000000"/>
      <w:sz w:val="21"/>
      <w:szCs w:val="21"/>
      <w:u w:val="none"/>
    </w:rPr>
  </w:style>
  <w:style w:type="character" w:customStyle="1" w:styleId="408">
    <w:name w:val="font171"/>
    <w:basedOn w:val="59"/>
    <w:qFormat/>
    <w:uiPriority w:val="0"/>
    <w:rPr>
      <w:rFonts w:hint="eastAsia" w:ascii="宋体" w:hAnsi="宋体" w:eastAsia="宋体" w:cs="宋体"/>
      <w:color w:val="000000"/>
      <w:sz w:val="21"/>
      <w:szCs w:val="21"/>
      <w:u w:val="none"/>
    </w:rPr>
  </w:style>
  <w:style w:type="character" w:customStyle="1" w:styleId="409">
    <w:name w:val="font41"/>
    <w:basedOn w:val="59"/>
    <w:qFormat/>
    <w:uiPriority w:val="0"/>
    <w:rPr>
      <w:rFonts w:hint="eastAsia" w:ascii="宋体" w:hAnsi="宋体" w:eastAsia="宋体" w:cs="宋体"/>
      <w:color w:val="000000"/>
      <w:sz w:val="21"/>
      <w:szCs w:val="21"/>
      <w:u w:val="none"/>
    </w:rPr>
  </w:style>
  <w:style w:type="character" w:customStyle="1" w:styleId="410">
    <w:name w:val="font61"/>
    <w:basedOn w:val="59"/>
    <w:qFormat/>
    <w:uiPriority w:val="0"/>
    <w:rPr>
      <w:rFonts w:hint="default" w:ascii="Times New Roman" w:hAnsi="Times New Roman" w:cs="Times New Roman"/>
      <w:color w:val="000000"/>
      <w:sz w:val="22"/>
      <w:szCs w:val="22"/>
      <w:u w:val="none"/>
    </w:rPr>
  </w:style>
  <w:style w:type="character" w:customStyle="1" w:styleId="411">
    <w:name w:val="正文缩进 字符1"/>
    <w:qFormat/>
    <w:uiPriority w:val="0"/>
    <w:rPr>
      <w:rFonts w:eastAsia="宋体"/>
      <w:snapToGrid w:val="0"/>
      <w:sz w:val="28"/>
      <w:lang w:val="en-US" w:eastAsia="zh-CN" w:bidi="ar-SA"/>
    </w:rPr>
  </w:style>
  <w:style w:type="paragraph" w:customStyle="1" w:styleId="412">
    <w:name w:val="Char Char4 Char Char Char Char2"/>
    <w:basedOn w:val="1"/>
    <w:qFormat/>
    <w:uiPriority w:val="0"/>
    <w:pPr>
      <w:widowControl w:val="0"/>
      <w:spacing w:line="240" w:lineRule="exact"/>
      <w:ind w:firstLine="200" w:firstLineChars="200"/>
      <w:jc w:val="both"/>
    </w:pPr>
    <w:rPr>
      <w:rFonts w:ascii="Times New Roman" w:hAnsi="Times New Roman" w:cs="Times New Roman"/>
      <w:kern w:val="2"/>
      <w:sz w:val="28"/>
      <w:szCs w:val="28"/>
    </w:rPr>
  </w:style>
  <w:style w:type="paragraph" w:customStyle="1" w:styleId="413">
    <w:name w:val="Char4"/>
    <w:basedOn w:val="1"/>
    <w:qFormat/>
    <w:uiPriority w:val="0"/>
    <w:pPr>
      <w:widowControl w:val="0"/>
      <w:jc w:val="both"/>
    </w:pPr>
    <w:rPr>
      <w:rFonts w:ascii="Times New Roman" w:hAnsi="Times New Roman" w:cs="Times New Roman"/>
      <w:kern w:val="2"/>
      <w:sz w:val="21"/>
    </w:rPr>
  </w:style>
  <w:style w:type="paragraph" w:customStyle="1" w:styleId="414">
    <w:name w:val="正文文本1"/>
    <w:basedOn w:val="1"/>
    <w:unhideWhenUsed/>
    <w:qFormat/>
    <w:uiPriority w:val="0"/>
    <w:pPr>
      <w:shd w:val="clear" w:color="auto" w:fill="FFFFFF"/>
      <w:adjustRightInd w:val="0"/>
      <w:snapToGrid w:val="0"/>
      <w:spacing w:after="60" w:line="499" w:lineRule="exact"/>
      <w:ind w:firstLine="883" w:firstLineChars="200"/>
    </w:pPr>
    <w:rPr>
      <w:rFonts w:eastAsia="Times New Roman"/>
    </w:rPr>
  </w:style>
  <w:style w:type="paragraph" w:customStyle="1" w:styleId="415">
    <w:name w:val="环评正文"/>
    <w:qFormat/>
    <w:uiPriority w:val="0"/>
    <w:pPr>
      <w:spacing w:line="48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416">
    <w:name w:val="Char Char4 Char Char Char Char3"/>
    <w:basedOn w:val="1"/>
    <w:qFormat/>
    <w:uiPriority w:val="0"/>
    <w:pPr>
      <w:widowControl w:val="0"/>
      <w:spacing w:line="240" w:lineRule="exact"/>
      <w:ind w:firstLine="200" w:firstLineChars="200"/>
      <w:jc w:val="both"/>
    </w:pPr>
    <w:rPr>
      <w:rFonts w:ascii="Times New Roman" w:hAnsi="Times New Roman" w:cs="Times New Roman"/>
      <w:kern w:val="2"/>
      <w:sz w:val="28"/>
      <w:szCs w:val="28"/>
    </w:rPr>
  </w:style>
  <w:style w:type="paragraph" w:customStyle="1" w:styleId="417">
    <w:name w:val=".."/>
    <w:basedOn w:val="1"/>
    <w:next w:val="1"/>
    <w:qFormat/>
    <w:uiPriority w:val="0"/>
    <w:pPr>
      <w:autoSpaceDE w:val="0"/>
      <w:autoSpaceDN w:val="0"/>
      <w:adjustRightInd w:val="0"/>
      <w:jc w:val="center"/>
    </w:pPr>
    <w:rPr>
      <w:rFonts w:ascii=".." w:hAnsi="Times New Roman" w:eastAsia=".."/>
    </w:rPr>
  </w:style>
  <w:style w:type="paragraph" w:customStyle="1" w:styleId="418">
    <w:name w:val="二级无标题条"/>
    <w:basedOn w:val="1"/>
    <w:qFormat/>
    <w:uiPriority w:val="0"/>
    <w:rPr>
      <w:rFonts w:ascii="Times New Roman" w:hAnsi="Times New Roman"/>
    </w:rPr>
  </w:style>
  <w:style w:type="paragraph" w:customStyle="1" w:styleId="419">
    <w:name w:val="Con-p-正文"/>
    <w:basedOn w:val="49"/>
    <w:qFormat/>
    <w:uiPriority w:val="0"/>
    <w:pPr>
      <w:spacing w:line="360" w:lineRule="auto"/>
      <w:jc w:val="both"/>
    </w:pPr>
    <w:rPr>
      <w:rFonts w:ascii="Times New Roman" w:hAnsi="Times New Roman" w:eastAsia="仿宋_GB2312"/>
      <w:sz w:val="28"/>
      <w:szCs w:val="28"/>
    </w:rPr>
  </w:style>
  <w:style w:type="paragraph" w:customStyle="1" w:styleId="420">
    <w:name w:val="模板表标题"/>
    <w:basedOn w:val="1"/>
    <w:qFormat/>
    <w:uiPriority w:val="0"/>
    <w:pPr>
      <w:keepNext/>
      <w:ind w:firstLine="482"/>
      <w:jc w:val="center"/>
      <w:outlineLvl w:val="7"/>
    </w:pPr>
    <w:rPr>
      <w:b/>
    </w:rPr>
  </w:style>
  <w:style w:type="paragraph" w:customStyle="1" w:styleId="421">
    <w:name w:val="表内容"/>
    <w:qFormat/>
    <w:uiPriority w:val="0"/>
    <w:pPr>
      <w:adjustRightInd w:val="0"/>
      <w:snapToGrid w:val="0"/>
      <w:jc w:val="center"/>
    </w:pPr>
    <w:rPr>
      <w:rFonts w:ascii="Times New Roman" w:hAnsi="Times New Roman" w:eastAsia="宋体" w:cs="Times New Roman"/>
      <w:kern w:val="2"/>
      <w:sz w:val="21"/>
      <w:lang w:val="en-US" w:eastAsia="zh-CN" w:bidi="ar-SA"/>
    </w:rPr>
  </w:style>
  <w:style w:type="paragraph" w:customStyle="1" w:styleId="422">
    <w:name w:val="模板2标题5"/>
    <w:qFormat/>
    <w:uiPriority w:val="0"/>
    <w:pPr>
      <w:adjustRightInd w:val="0"/>
      <w:snapToGrid w:val="0"/>
      <w:spacing w:line="500" w:lineRule="exact"/>
      <w:jc w:val="both"/>
    </w:pPr>
    <w:rPr>
      <w:rFonts w:ascii="Times New Roman" w:hAnsi="Times New Roman" w:eastAsia="宋体" w:cs="Times New Roman"/>
      <w:b/>
      <w:bCs/>
      <w:kern w:val="2"/>
      <w:sz w:val="24"/>
      <w:szCs w:val="32"/>
      <w:lang w:val="en-US" w:eastAsia="zh-CN" w:bidi="ar-SA"/>
    </w:rPr>
  </w:style>
  <w:style w:type="paragraph" w:customStyle="1" w:styleId="423">
    <w:name w:val="标题3"/>
    <w:basedOn w:val="1"/>
    <w:qFormat/>
    <w:uiPriority w:val="0"/>
    <w:pPr>
      <w:adjustRightInd w:val="0"/>
      <w:snapToGrid w:val="0"/>
      <w:spacing w:before="40" w:after="40"/>
    </w:pPr>
    <w:rPr>
      <w:b/>
      <w:bCs/>
      <w:sz w:val="28"/>
      <w:szCs w:val="28"/>
    </w:rPr>
  </w:style>
  <w:style w:type="paragraph" w:customStyle="1" w:styleId="424">
    <w:name w:val="正文 首行缩进:  2 字符"/>
    <w:basedOn w:val="1"/>
    <w:qFormat/>
    <w:uiPriority w:val="99"/>
    <w:pPr>
      <w:widowControl w:val="0"/>
      <w:ind w:firstLine="579" w:firstLineChars="200"/>
      <w:jc w:val="both"/>
    </w:pPr>
    <w:rPr>
      <w:sz w:val="28"/>
      <w:szCs w:val="20"/>
    </w:rPr>
  </w:style>
  <w:style w:type="paragraph" w:customStyle="1" w:styleId="425">
    <w:name w:val="文本框样式"/>
    <w:basedOn w:val="1"/>
    <w:qFormat/>
    <w:uiPriority w:val="0"/>
    <w:pPr>
      <w:jc w:val="center"/>
    </w:pPr>
    <w:rPr>
      <w:szCs w:val="21"/>
    </w:rPr>
  </w:style>
  <w:style w:type="paragraph" w:customStyle="1" w:styleId="426">
    <w:name w:val="正文文本 32"/>
    <w:basedOn w:val="1"/>
    <w:qFormat/>
    <w:uiPriority w:val="0"/>
    <w:pPr>
      <w:spacing w:line="240" w:lineRule="auto"/>
      <w:ind w:firstLine="1446"/>
      <w:jc w:val="center"/>
    </w:pPr>
    <w:rPr>
      <w:rFonts w:eastAsia="楷体_GB2312"/>
      <w:b/>
      <w:kern w:val="0"/>
      <w:sz w:val="7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6" Type="http://schemas.openxmlformats.org/officeDocument/2006/relationships/fontTable" Target="fontTable.xml"/><Relationship Id="rId85" Type="http://schemas.openxmlformats.org/officeDocument/2006/relationships/customXml" Target="../customXml/item2.xml"/><Relationship Id="rId84" Type="http://schemas.openxmlformats.org/officeDocument/2006/relationships/numbering" Target="numbering.xml"/><Relationship Id="rId83" Type="http://schemas.openxmlformats.org/officeDocument/2006/relationships/customXml" Target="../customXml/item1.xml"/><Relationship Id="rId82" Type="http://schemas.openxmlformats.org/officeDocument/2006/relationships/image" Target="media/image61.png"/><Relationship Id="rId81" Type="http://schemas.openxmlformats.org/officeDocument/2006/relationships/image" Target="media/image60.png"/><Relationship Id="rId80" Type="http://schemas.openxmlformats.org/officeDocument/2006/relationships/image" Target="media/image59.png"/><Relationship Id="rId8" Type="http://schemas.openxmlformats.org/officeDocument/2006/relationships/footer" Target="footer3.xml"/><Relationship Id="rId79" Type="http://schemas.openxmlformats.org/officeDocument/2006/relationships/image" Target="media/image58.png"/><Relationship Id="rId78" Type="http://schemas.openxmlformats.org/officeDocument/2006/relationships/image" Target="media/image57.png"/><Relationship Id="rId77" Type="http://schemas.openxmlformats.org/officeDocument/2006/relationships/image" Target="media/image56.png"/><Relationship Id="rId76" Type="http://schemas.openxmlformats.org/officeDocument/2006/relationships/image" Target="media/image55.png"/><Relationship Id="rId75" Type="http://schemas.openxmlformats.org/officeDocument/2006/relationships/image" Target="media/image54.png"/><Relationship Id="rId74" Type="http://schemas.openxmlformats.org/officeDocument/2006/relationships/image" Target="media/image53.png"/><Relationship Id="rId73" Type="http://schemas.openxmlformats.org/officeDocument/2006/relationships/image" Target="media/image52.png"/><Relationship Id="rId72" Type="http://schemas.openxmlformats.org/officeDocument/2006/relationships/image" Target="media/image51.png"/><Relationship Id="rId71" Type="http://schemas.openxmlformats.org/officeDocument/2006/relationships/image" Target="media/image50.wmf"/><Relationship Id="rId70" Type="http://schemas.openxmlformats.org/officeDocument/2006/relationships/oleObject" Target="embeddings/oleObject9.bin"/><Relationship Id="rId7" Type="http://schemas.openxmlformats.org/officeDocument/2006/relationships/footer" Target="footer2.xml"/><Relationship Id="rId69" Type="http://schemas.openxmlformats.org/officeDocument/2006/relationships/image" Target="media/image49.wmf"/><Relationship Id="rId68" Type="http://schemas.openxmlformats.org/officeDocument/2006/relationships/oleObject" Target="embeddings/oleObject8.bin"/><Relationship Id="rId67" Type="http://schemas.openxmlformats.org/officeDocument/2006/relationships/image" Target="media/image48.png"/><Relationship Id="rId66" Type="http://schemas.openxmlformats.org/officeDocument/2006/relationships/image" Target="media/image47.png"/><Relationship Id="rId65" Type="http://schemas.openxmlformats.org/officeDocument/2006/relationships/image" Target="media/image46.png"/><Relationship Id="rId64" Type="http://schemas.openxmlformats.org/officeDocument/2006/relationships/image" Target="media/image45.png"/><Relationship Id="rId63" Type="http://schemas.openxmlformats.org/officeDocument/2006/relationships/image" Target="media/image44.png"/><Relationship Id="rId62" Type="http://schemas.openxmlformats.org/officeDocument/2006/relationships/image" Target="media/image43.wmf"/><Relationship Id="rId61" Type="http://schemas.openxmlformats.org/officeDocument/2006/relationships/oleObject" Target="embeddings/oleObject7.bin"/><Relationship Id="rId60" Type="http://schemas.openxmlformats.org/officeDocument/2006/relationships/image" Target="media/image42.wmf"/><Relationship Id="rId6" Type="http://schemas.openxmlformats.org/officeDocument/2006/relationships/header" Target="header3.xml"/><Relationship Id="rId59" Type="http://schemas.openxmlformats.org/officeDocument/2006/relationships/oleObject" Target="embeddings/oleObject6.bin"/><Relationship Id="rId58" Type="http://schemas.openxmlformats.org/officeDocument/2006/relationships/image" Target="media/image41.wmf"/><Relationship Id="rId57" Type="http://schemas.openxmlformats.org/officeDocument/2006/relationships/oleObject" Target="embeddings/oleObject5.bin"/><Relationship Id="rId56" Type="http://schemas.openxmlformats.org/officeDocument/2006/relationships/image" Target="media/image40.wmf"/><Relationship Id="rId55" Type="http://schemas.openxmlformats.org/officeDocument/2006/relationships/oleObject" Target="embeddings/oleObject4.bin"/><Relationship Id="rId54" Type="http://schemas.openxmlformats.org/officeDocument/2006/relationships/image" Target="media/image39.wmf"/><Relationship Id="rId53" Type="http://schemas.openxmlformats.org/officeDocument/2006/relationships/oleObject" Target="embeddings/oleObject3.bin"/><Relationship Id="rId52" Type="http://schemas.openxmlformats.org/officeDocument/2006/relationships/image" Target="media/image38.wmf"/><Relationship Id="rId51" Type="http://schemas.openxmlformats.org/officeDocument/2006/relationships/oleObject" Target="embeddings/oleObject2.bin"/><Relationship Id="rId50" Type="http://schemas.openxmlformats.org/officeDocument/2006/relationships/image" Target="media/image37.wmf"/><Relationship Id="rId5" Type="http://schemas.openxmlformats.org/officeDocument/2006/relationships/footer" Target="footer1.xml"/><Relationship Id="rId49" Type="http://schemas.openxmlformats.org/officeDocument/2006/relationships/oleObject" Target="embeddings/oleObject1.bin"/><Relationship Id="rId48" Type="http://schemas.openxmlformats.org/officeDocument/2006/relationships/image" Target="media/image36.jpeg"/><Relationship Id="rId47" Type="http://schemas.openxmlformats.org/officeDocument/2006/relationships/image" Target="media/image35.jpeg"/><Relationship Id="rId46" Type="http://schemas.openxmlformats.org/officeDocument/2006/relationships/image" Target="media/image34.png"/><Relationship Id="rId45" Type="http://schemas.openxmlformats.org/officeDocument/2006/relationships/image" Target="media/image33.jpeg"/><Relationship Id="rId44" Type="http://schemas.openxmlformats.org/officeDocument/2006/relationships/image" Target="media/image32.jpeg"/><Relationship Id="rId43" Type="http://schemas.openxmlformats.org/officeDocument/2006/relationships/image" Target="media/image31.png"/><Relationship Id="rId42" Type="http://schemas.openxmlformats.org/officeDocument/2006/relationships/image" Target="media/image30.jpeg"/><Relationship Id="rId41" Type="http://schemas.openxmlformats.org/officeDocument/2006/relationships/image" Target="media/image29.jpeg"/><Relationship Id="rId40" Type="http://schemas.openxmlformats.org/officeDocument/2006/relationships/image" Target="media/image28.jpeg"/><Relationship Id="rId4" Type="http://schemas.openxmlformats.org/officeDocument/2006/relationships/header" Target="head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emf"/><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9CD380-FDC5-492B-86C6-492D152D499F}">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204</Pages>
  <Words>123828</Words>
  <Characters>138555</Characters>
  <Lines>709</Lines>
  <Paragraphs>199</Paragraphs>
  <TotalTime>83</TotalTime>
  <ScaleCrop>false</ScaleCrop>
  <LinksUpToDate>false</LinksUpToDate>
  <CharactersWithSpaces>139367</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2019-07-10T15:11:00Z</dcterms:created>
  <dc:creator>stiga</dc:creator>
  <cp:lastModifiedBy>admin</cp:lastModifiedBy>
  <cp:lastPrinted>2021-09-28T07:15:12Z</cp:lastPrinted>
  <dcterms:modified xsi:type="dcterms:W3CDTF">2021-09-28T08:35:31Z</dcterms:modified>
  <dc:title>江苏金久科技新材料有限公司</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76858FF1B4ED4BBA88228A18E34BB0FC</vt:lpwstr>
  </property>
</Properties>
</file>